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237AC" w14:paraId="1643A4CA" w14:textId="77777777" w:rsidTr="003237A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237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237AC" w14:paraId="127EAD7E" w14:textId="77777777" w:rsidTr="003237AC">
        <w:trPr>
          <w:trHeight w:val="413"/>
        </w:trPr>
        <w:tc>
          <w:tcPr>
            <w:tcW w:w="1266" w:type="pct"/>
          </w:tcPr>
          <w:p w14:paraId="3C159AA5" w14:textId="77777777" w:rsidR="0000007A" w:rsidRPr="003237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23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9EDC3A8" w:rsidR="0000007A" w:rsidRPr="003237AC" w:rsidRDefault="007E6C0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237A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3237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3237AC" w14:paraId="73C90375" w14:textId="77777777" w:rsidTr="003237AC">
        <w:trPr>
          <w:trHeight w:val="290"/>
        </w:trPr>
        <w:tc>
          <w:tcPr>
            <w:tcW w:w="1266" w:type="pct"/>
          </w:tcPr>
          <w:p w14:paraId="20D28135" w14:textId="77777777" w:rsidR="0000007A" w:rsidRPr="003237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371E54B" w:rsidR="0000007A" w:rsidRPr="003237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53E36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5257</w:t>
            </w:r>
          </w:p>
        </w:tc>
      </w:tr>
      <w:tr w:rsidR="0000007A" w:rsidRPr="003237AC" w14:paraId="05B60576" w14:textId="77777777" w:rsidTr="003237AC">
        <w:trPr>
          <w:trHeight w:val="331"/>
        </w:trPr>
        <w:tc>
          <w:tcPr>
            <w:tcW w:w="1266" w:type="pct"/>
          </w:tcPr>
          <w:p w14:paraId="0196A627" w14:textId="77777777" w:rsidR="0000007A" w:rsidRPr="003237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E5F0C1" w:rsidR="0000007A" w:rsidRPr="003237AC" w:rsidRDefault="007E6C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237AC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Red Clay Ultrafiltration Membranes for Oil-Water Separation</w:t>
            </w:r>
          </w:p>
        </w:tc>
      </w:tr>
      <w:tr w:rsidR="00CF0BBB" w:rsidRPr="003237AC" w14:paraId="6D508B1C" w14:textId="77777777" w:rsidTr="003237AC">
        <w:trPr>
          <w:trHeight w:val="332"/>
        </w:trPr>
        <w:tc>
          <w:tcPr>
            <w:tcW w:w="1266" w:type="pct"/>
          </w:tcPr>
          <w:p w14:paraId="32FC28F7" w14:textId="77777777" w:rsidR="00CF0BBB" w:rsidRPr="003237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14ACD7" w:rsidR="00CF0BBB" w:rsidRPr="003237AC" w:rsidRDefault="007E6C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237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237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237A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237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237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237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237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237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237A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237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F6E00C3" w:rsidR="00E03C32" w:rsidRDefault="007E6C0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E6C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Crystals 2021, 11(3), 248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7968892" w:rsidR="00E03C32" w:rsidRPr="007B54A4" w:rsidRDefault="007E6C0F" w:rsidP="007E6C0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631725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https://doi.org/10.3390/cryst11030248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237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237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237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237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37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37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37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37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237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237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37AC">
              <w:rPr>
                <w:rFonts w:ascii="Arial" w:hAnsi="Arial" w:cs="Arial"/>
                <w:lang w:val="en-GB"/>
              </w:rPr>
              <w:t>Author’s Feedback</w:t>
            </w:r>
            <w:r w:rsidRPr="003237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37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237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237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237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8319795" w:rsidR="00F1171E" w:rsidRPr="003237AC" w:rsidRDefault="00585BAD" w:rsidP="001011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importan</w:t>
            </w:r>
            <w:r w:rsidR="00101108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for the scientific community.</w:t>
            </w:r>
          </w:p>
        </w:tc>
        <w:tc>
          <w:tcPr>
            <w:tcW w:w="1523" w:type="pct"/>
          </w:tcPr>
          <w:p w14:paraId="462A339C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37A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237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237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34BCFE" w:rsidR="00F1171E" w:rsidRPr="003237AC" w:rsidRDefault="00924A5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</w:t>
            </w:r>
            <w:r w:rsidR="00585BAD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article is suitable.</w:t>
            </w:r>
          </w:p>
        </w:tc>
        <w:tc>
          <w:tcPr>
            <w:tcW w:w="1523" w:type="pct"/>
          </w:tcPr>
          <w:p w14:paraId="405B6701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37A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237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bookmarkStart w:id="0" w:name="_Hlk194990745"/>
            <w:r w:rsidRPr="003237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  <w:bookmarkEnd w:id="0"/>
          </w:p>
          <w:p w14:paraId="3760981A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D680AA6" w:rsidR="00F1171E" w:rsidRPr="003237AC" w:rsidRDefault="00585BA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of the article is sufficiently comprehensive for publication.</w:t>
            </w:r>
          </w:p>
        </w:tc>
        <w:tc>
          <w:tcPr>
            <w:tcW w:w="1523" w:type="pct"/>
          </w:tcPr>
          <w:p w14:paraId="1D54B730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37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237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94990835"/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  <w:bookmarkEnd w:id="1"/>
          </w:p>
        </w:tc>
        <w:tc>
          <w:tcPr>
            <w:tcW w:w="2212" w:type="pct"/>
          </w:tcPr>
          <w:p w14:paraId="0CDE619E" w14:textId="25F29481" w:rsidR="00585BAD" w:rsidRPr="003237AC" w:rsidRDefault="00585BAD" w:rsidP="00585B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 and appropriately constructed.</w:t>
            </w:r>
          </w:p>
          <w:p w14:paraId="2B5A7721" w14:textId="77777777" w:rsidR="00F1171E" w:rsidRPr="003237A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37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237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2" w:name="_Hlk194990939"/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E01E71D" w14:textId="77777777" w:rsidR="00924A50" w:rsidRPr="003237AC" w:rsidRDefault="00924A5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bookmarkEnd w:id="2"/>
          <w:p w14:paraId="7EFC02A2" w14:textId="02D2DD76" w:rsidR="00F1171E" w:rsidRPr="003237AC" w:rsidRDefault="00924A50" w:rsidP="00924A50">
            <w:pPr>
              <w:pStyle w:val="EndNoteBibliography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12" w:type="pct"/>
          </w:tcPr>
          <w:p w14:paraId="466E884E" w14:textId="18228BCD" w:rsidR="002E1109" w:rsidRPr="003237AC" w:rsidRDefault="002E1109" w:rsidP="002E11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not up-to-date</w:t>
            </w:r>
            <w:r w:rsidR="00B11C80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the most recent cited reference is from 2020. Science Direct has cited 4,450 articles on ultrafiltration oil/water separation</w:t>
            </w:r>
            <w:r w:rsidR="00B11C80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last three years</w:t>
            </w:r>
            <w:r w:rsidR="00924A50"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  <w:p w14:paraId="0059E542" w14:textId="77777777" w:rsidR="00101108" w:rsidRPr="003237AC" w:rsidRDefault="00101108" w:rsidP="002E11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86B0A9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Agrawal, M., Chakraborty, T., Yadav, D., Saxena, S., &amp; Shukla, S. (2025). Hydrophilic and superoleophobic GO-TiO2 PVDF/PEI membrane with antifouling properties for efficient oil-water separation.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Next Materials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8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, 100618. https://doi.org/https://doi.org/10.1016/j.nxmate.2025.100618 </w:t>
            </w:r>
          </w:p>
          <w:p w14:paraId="40343776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Kuang, C., Li, Y., Liu, D., Li, Y., Sun, D., Chen, J., Ding, D., &amp; Xiao, G. (2024). An Al2O3@ZnO membrane for oil-in-water emulsion separation with photocatalytic regeneration prepared via a simple deposition route.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Journal of Water Process Engineering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67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, 106254. https://doi.org/https://doi.org/10.1016/j.jwpe.2024.106254 </w:t>
            </w:r>
          </w:p>
          <w:p w14:paraId="2E408236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Sutrisna, P. D., Khoiruddin, K., Mustika, P. C. W. B., Ismadji, S., &amp; Wenten, I. G. (2024). Advancements in ceramic membranes for robust oil-water separation.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Journal of Environmental Chemical Engineering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12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(5), 113658. https://doi.org/https://doi.org/10.1016/j.jece.2024.113658 </w:t>
            </w:r>
          </w:p>
          <w:p w14:paraId="7BD00B02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Tian, L., Xing, Y., Gao, C., Ji, S., Gong, T., Bai, Y., Gan, F., &amp; Wu, Z. (2024). Construction of metal polyphenol network of phytic acid-Graphene oxide PES ultrafiltration membranes achieving high-efficiency separation of oil-water emulsions.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Journal of Environmental Chemical Engineering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12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(6), 114529. https://doi.org/https://doi.org/10.1016/j.jece.2024.114529 </w:t>
            </w:r>
          </w:p>
          <w:p w14:paraId="7743512C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Wang, J., Nie, L., Zhang, C., &amp; Wang, B. (2023). Low-pressure air plasma-assisted acrylic grafted polyetherimide ultrafiltration membranes with excellent oil-water separation and high anti-fouling performances.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Materials Today Communications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35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, 106325. https://doi.org/https://doi.org/10.1016/j.mtcomm.2023.106325 </w:t>
            </w:r>
          </w:p>
          <w:p w14:paraId="6C8DF227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Wang, X., Yu, R., Pu, L., Chen, M., Zhu, X., Fan, S., Liu, P., &amp; Shen, X. (2025). Bioinspired fabrication of ZrO2 nanocomposite PVDF membranes with underwater superoleophobicity for oil/water separation.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Colloids and Surfaces A: Physicochemical and Engineering Aspects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707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, 135920. https://doi.org/https://doi.org/10.1016/j.colsurfa.2024.135920 </w:t>
            </w:r>
          </w:p>
          <w:p w14:paraId="1C8FB509" w14:textId="77777777" w:rsidR="00101108" w:rsidRPr="003237AC" w:rsidRDefault="00101108" w:rsidP="00101108">
            <w:pPr>
              <w:pStyle w:val="EndNoteBibliography"/>
              <w:spacing w:after="0"/>
              <w:ind w:left="720" w:hanging="720"/>
              <w:rPr>
                <w:rFonts w:ascii="Arial" w:hAnsi="Arial" w:cs="Arial"/>
                <w:noProof/>
                <w:sz w:val="20"/>
                <w:szCs w:val="20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Yin, H., Zhou, Y., Ren, Q., &amp; Rao, P. (2025). Preparation of superhydrophilic-underwater superoleophobic SiO2@SiC ultrafiltration ceramic membrane for high-efficient oil-water 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separation.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Journal of Water Process Engineering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69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, 106811. https://doi.org/https://doi.org/10.1016/j.jwpe.2024.106811 </w:t>
            </w:r>
          </w:p>
          <w:p w14:paraId="24FE0567" w14:textId="5020DF47" w:rsidR="00F1171E" w:rsidRPr="003237AC" w:rsidRDefault="00101108" w:rsidP="001011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noProof/>
                <w:sz w:val="20"/>
                <w:szCs w:val="20"/>
              </w:rPr>
              <w:t xml:space="preserve">Zhang, P., Mao, H., Zhou, S., Jia, M., Zhou, L., Zhai, J., Xue, A., Li, M., Zhong, J., Zhang, Q., &amp; Zhao, Y. (2025). Robust Fe3O4@attapulgite-intercalated carboxylated graphene oxide composite membrane for efficient and stable oil-in-water emulsion separation. 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>Colloids and Surfaces A: Physicochemical and Engineering Aspects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3237A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715</w:t>
            </w:r>
            <w:r w:rsidRPr="003237AC">
              <w:rPr>
                <w:rFonts w:ascii="Arial" w:hAnsi="Arial" w:cs="Arial"/>
                <w:noProof/>
                <w:sz w:val="20"/>
                <w:szCs w:val="20"/>
              </w:rPr>
              <w:t>, 136605. https://doi.org/https://doi.org/10.1016/j.colsurfa.2025.136605</w:t>
            </w:r>
          </w:p>
        </w:tc>
        <w:tc>
          <w:tcPr>
            <w:tcW w:w="1523" w:type="pct"/>
          </w:tcPr>
          <w:p w14:paraId="40220055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37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237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bookmarkStart w:id="3" w:name="_Hlk194991801"/>
            <w:r w:rsidRPr="003237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bookmarkEnd w:id="3"/>
          <w:p w14:paraId="7722B85E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DAFA6EB" w:rsidR="00F1171E" w:rsidRPr="003237AC" w:rsidRDefault="002E1109" w:rsidP="002E1109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37AC">
              <w:rPr>
                <w:rFonts w:ascii="Arial" w:hAnsi="Arial" w:cs="Arial"/>
                <w:bCs w:val="0"/>
                <w:lang w:val="en-GB"/>
              </w:rPr>
              <w:t xml:space="preserve">      Yes, it is.</w:t>
            </w:r>
          </w:p>
          <w:p w14:paraId="41E28118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37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37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37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37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E8D1744" w14:textId="77777777" w:rsidR="00101108" w:rsidRPr="003237AC" w:rsidRDefault="00101108" w:rsidP="0010110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that the Introduction section be updated with more recent sources and redraw Figure 2, then a manuscript be prepared for printing.</w:t>
            </w:r>
          </w:p>
          <w:p w14:paraId="15DFD0E8" w14:textId="2C06D78A" w:rsidR="00F1171E" w:rsidRPr="003237AC" w:rsidRDefault="00101108" w:rsidP="00101108">
            <w:pPr>
              <w:pStyle w:val="NormalWeb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37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B11C80" w:rsidRPr="003237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suggest that the literature be updated and the sketch in Figure 2 be drawn more professionally.</w:t>
            </w:r>
          </w:p>
        </w:tc>
        <w:tc>
          <w:tcPr>
            <w:tcW w:w="1523" w:type="pct"/>
          </w:tcPr>
          <w:p w14:paraId="465E098E" w14:textId="77777777" w:rsidR="00F1171E" w:rsidRPr="003237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237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237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237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237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237A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37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2AE7C615" w:rsidR="00F1171E" w:rsidRPr="003237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37AC">
              <w:rPr>
                <w:rFonts w:ascii="Arial" w:hAnsi="Arial" w:cs="Arial"/>
                <w:lang w:val="en-GB"/>
              </w:rPr>
              <w:t>Author’s comment</w:t>
            </w:r>
            <w:r w:rsidRPr="003237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37AC">
              <w:rPr>
                <w:rFonts w:ascii="Arial" w:hAnsi="Arial" w:cs="Arial"/>
                <w:b w:val="0"/>
                <w:i/>
                <w:lang w:val="en-GB"/>
              </w:rPr>
              <w:t xml:space="preserve">(if agreed with the </w:t>
            </w:r>
            <w:r w:rsidR="00924A50" w:rsidRPr="003237AC">
              <w:rPr>
                <w:rFonts w:ascii="Arial" w:hAnsi="Arial" w:cs="Arial"/>
                <w:b w:val="0"/>
                <w:i/>
                <w:lang w:val="en-GB"/>
              </w:rPr>
              <w:t>Reviewer</w:t>
            </w:r>
            <w:r w:rsidRPr="003237AC">
              <w:rPr>
                <w:rFonts w:ascii="Arial" w:hAnsi="Arial" w:cs="Arial"/>
                <w:b w:val="0"/>
                <w:i/>
                <w:lang w:val="en-GB"/>
              </w:rPr>
              <w:t>, correct the manuscript and highlight that part in the manuscript. It is mandatory that authors should write his/her feedback here)</w:t>
            </w:r>
          </w:p>
        </w:tc>
      </w:tr>
      <w:tr w:rsidR="00F1171E" w:rsidRPr="003237A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37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37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37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37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237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237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237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237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BC7A893" w14:textId="77777777" w:rsidR="003237AC" w:rsidRDefault="003237AC" w:rsidP="003237AC">
      <w:r w:rsidRPr="003B3DF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9AF274" w14:textId="77777777" w:rsidR="003237AC" w:rsidRPr="003B3DFC" w:rsidRDefault="003237AC" w:rsidP="003237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B3DFC">
        <w:rPr>
          <w:rFonts w:ascii="Arial" w:hAnsi="Arial" w:cs="Arial"/>
          <w:b/>
          <w:color w:val="000000"/>
        </w:rPr>
        <w:t>Milenko Ros, Slovenia</w:t>
      </w:r>
    </w:p>
    <w:p w14:paraId="38C012B7" w14:textId="77777777" w:rsidR="003237AC" w:rsidRPr="003237AC" w:rsidRDefault="003237A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237AC" w:rsidRPr="003237A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3217" w14:textId="77777777" w:rsidR="000C7598" w:rsidRPr="0000007A" w:rsidRDefault="000C7598" w:rsidP="0099583E">
      <w:r>
        <w:separator/>
      </w:r>
    </w:p>
  </w:endnote>
  <w:endnote w:type="continuationSeparator" w:id="0">
    <w:p w14:paraId="0E1B3968" w14:textId="77777777" w:rsidR="000C7598" w:rsidRPr="0000007A" w:rsidRDefault="000C75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7E5C" w14:textId="77777777" w:rsidR="000C7598" w:rsidRPr="0000007A" w:rsidRDefault="000C7598" w:rsidP="0099583E">
      <w:r>
        <w:separator/>
      </w:r>
    </w:p>
  </w:footnote>
  <w:footnote w:type="continuationSeparator" w:id="0">
    <w:p w14:paraId="1D71CB1A" w14:textId="77777777" w:rsidR="000C7598" w:rsidRPr="0000007A" w:rsidRDefault="000C75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4937"/>
    <w:multiLevelType w:val="hybridMultilevel"/>
    <w:tmpl w:val="D59E8E92"/>
    <w:lvl w:ilvl="0" w:tplc="A9A22B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652017">
    <w:abstractNumId w:val="3"/>
  </w:num>
  <w:num w:numId="2" w16cid:durableId="454370679">
    <w:abstractNumId w:val="7"/>
  </w:num>
  <w:num w:numId="3" w16cid:durableId="554239198">
    <w:abstractNumId w:val="6"/>
  </w:num>
  <w:num w:numId="4" w16cid:durableId="1504542562">
    <w:abstractNumId w:val="8"/>
  </w:num>
  <w:num w:numId="5" w16cid:durableId="1415323237">
    <w:abstractNumId w:val="5"/>
  </w:num>
  <w:num w:numId="6" w16cid:durableId="446119425">
    <w:abstractNumId w:val="0"/>
  </w:num>
  <w:num w:numId="7" w16cid:durableId="308286024">
    <w:abstractNumId w:val="1"/>
  </w:num>
  <w:num w:numId="8" w16cid:durableId="724257272">
    <w:abstractNumId w:val="10"/>
  </w:num>
  <w:num w:numId="9" w16cid:durableId="2044357715">
    <w:abstractNumId w:val="9"/>
  </w:num>
  <w:num w:numId="10" w16cid:durableId="941449973">
    <w:abstractNumId w:val="2"/>
  </w:num>
  <w:num w:numId="11" w16cid:durableId="1305547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DD6"/>
    <w:rsid w:val="0007151E"/>
    <w:rsid w:val="000747C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598"/>
    <w:rsid w:val="000D13B0"/>
    <w:rsid w:val="000F6EA8"/>
    <w:rsid w:val="00101108"/>
    <w:rsid w:val="00101322"/>
    <w:rsid w:val="00103178"/>
    <w:rsid w:val="00110DF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2F61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109"/>
    <w:rsid w:val="002E1211"/>
    <w:rsid w:val="002E2339"/>
    <w:rsid w:val="002E5C81"/>
    <w:rsid w:val="002E6D86"/>
    <w:rsid w:val="002E7787"/>
    <w:rsid w:val="002F6935"/>
    <w:rsid w:val="00312559"/>
    <w:rsid w:val="00315399"/>
    <w:rsid w:val="003204B8"/>
    <w:rsid w:val="003237AC"/>
    <w:rsid w:val="00326D7D"/>
    <w:rsid w:val="0033018A"/>
    <w:rsid w:val="0033692F"/>
    <w:rsid w:val="00353718"/>
    <w:rsid w:val="00353E36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C9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5BAD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47C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2D31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C0F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51F4"/>
    <w:rsid w:val="008C2F62"/>
    <w:rsid w:val="008C4B1F"/>
    <w:rsid w:val="008C75AD"/>
    <w:rsid w:val="008D020E"/>
    <w:rsid w:val="008E5067"/>
    <w:rsid w:val="008F036B"/>
    <w:rsid w:val="008F36E4"/>
    <w:rsid w:val="00902328"/>
    <w:rsid w:val="0090720F"/>
    <w:rsid w:val="0091410B"/>
    <w:rsid w:val="009245E3"/>
    <w:rsid w:val="00924A50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28D8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4E6E"/>
    <w:rsid w:val="00AA5338"/>
    <w:rsid w:val="00AA7709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C8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29CA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2A36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95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E1109"/>
  </w:style>
  <w:style w:type="paragraph" w:customStyle="1" w:styleId="EndNoteBibliography">
    <w:name w:val="EndNote Bibliography"/>
    <w:basedOn w:val="Normal"/>
    <w:link w:val="EndNoteBibliographyChar"/>
    <w:rsid w:val="00924A50"/>
    <w:pPr>
      <w:spacing w:after="120"/>
    </w:pPr>
    <w:rPr>
      <w:lang w:val="en-GB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24A50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C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37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ryst110302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CFAE32-524C-5543-8C33-D017550FEDB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grammarly_documentId">
    <vt:lpwstr>documentId_4876</vt:lpwstr>
  </property>
  <property fmtid="{D5CDD505-2E9C-101B-9397-08002B2CF9AE}" pid="4" name="grammarly_documentContext">
    <vt:lpwstr>{"goals":[],"domain":"general","emotions":[],"dialect":"british"}</vt:lpwstr>
  </property>
</Properties>
</file>