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1"/>
        <w:gridCol w:w="16279"/>
      </w:tblGrid>
      <w:tr w:rsidR="00602F7D" w:rsidRPr="00DD34C4" w14:paraId="1643A4CA" w14:textId="77777777" w:rsidTr="00DD34C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D34C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D34C4" w14:paraId="127EAD7E" w14:textId="77777777" w:rsidTr="00DD34C4">
        <w:trPr>
          <w:trHeight w:val="413"/>
        </w:trPr>
        <w:tc>
          <w:tcPr>
            <w:tcW w:w="1200" w:type="pct"/>
          </w:tcPr>
          <w:p w14:paraId="3C159AA5" w14:textId="77777777" w:rsidR="0000007A" w:rsidRPr="00DD34C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D34C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C2F78B" w:rsidR="0000007A" w:rsidRPr="00DD34C4" w:rsidRDefault="00C77C0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D34C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DD34C4" w14:paraId="73C90375" w14:textId="77777777" w:rsidTr="00DD34C4">
        <w:trPr>
          <w:trHeight w:val="290"/>
        </w:trPr>
        <w:tc>
          <w:tcPr>
            <w:tcW w:w="1200" w:type="pct"/>
          </w:tcPr>
          <w:p w14:paraId="20D28135" w14:textId="77777777" w:rsidR="0000007A" w:rsidRPr="00DD34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29BCF9B" w:rsidR="0000007A" w:rsidRPr="00DD34C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D3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D3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D3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77C0F" w:rsidRPr="00DD3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5324</w:t>
            </w:r>
          </w:p>
        </w:tc>
      </w:tr>
      <w:tr w:rsidR="0000007A" w:rsidRPr="00DD34C4" w14:paraId="05B60576" w14:textId="77777777" w:rsidTr="00DD34C4">
        <w:trPr>
          <w:trHeight w:val="331"/>
        </w:trPr>
        <w:tc>
          <w:tcPr>
            <w:tcW w:w="1200" w:type="pct"/>
          </w:tcPr>
          <w:p w14:paraId="0196A627" w14:textId="77777777" w:rsidR="0000007A" w:rsidRPr="00DD34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B54197A" w:rsidR="0000007A" w:rsidRPr="00DD34C4" w:rsidRDefault="00C77C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D34C4">
              <w:rPr>
                <w:rFonts w:ascii="Arial" w:hAnsi="Arial" w:cs="Arial"/>
                <w:b/>
                <w:sz w:val="20"/>
                <w:szCs w:val="20"/>
                <w:lang w:val="en-GB"/>
              </w:rPr>
              <w:t>Resolving non-homogeneous linear differential equations using the undetermined method coefficients and variation of parameters by means of GeoGebra</w:t>
            </w:r>
          </w:p>
        </w:tc>
      </w:tr>
      <w:tr w:rsidR="00CF0BBB" w:rsidRPr="00DD34C4" w14:paraId="6D508B1C" w14:textId="77777777" w:rsidTr="00DD34C4">
        <w:trPr>
          <w:trHeight w:val="332"/>
        </w:trPr>
        <w:tc>
          <w:tcPr>
            <w:tcW w:w="1200" w:type="pct"/>
          </w:tcPr>
          <w:p w14:paraId="32FC28F7" w14:textId="77777777" w:rsidR="00CF0BBB" w:rsidRPr="00DD34C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6F2D515" w:rsidR="00CF0BBB" w:rsidRPr="00DD34C4" w:rsidRDefault="00C77C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D34C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D34C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D34C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D34C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D34C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D34C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D34C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D34C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D34C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D34C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B01C8DE" w:rsidR="00E03C32" w:rsidRDefault="00C77C0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77C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Physics: Conference Series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C77C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1391 (2019) 012057</w:t>
                  </w:r>
                </w:p>
                <w:p w14:paraId="57E24C8C" w14:textId="536DCCE0" w:rsidR="00E03C32" w:rsidRPr="007B54A4" w:rsidRDefault="0061073F" w:rsidP="0061073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6107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oi:10.1088/1742-6596/1391/1/012057</w:t>
                  </w:r>
                </w:p>
              </w:txbxContent>
            </v:textbox>
          </v:rect>
        </w:pict>
      </w:r>
    </w:p>
    <w:p w14:paraId="40641486" w14:textId="77777777" w:rsidR="00D9392F" w:rsidRPr="00DD34C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D34C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D34C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D34C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D34C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D34C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D34C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D34C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D34C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4C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D34C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D34C4">
              <w:rPr>
                <w:rFonts w:ascii="Arial" w:hAnsi="Arial" w:cs="Arial"/>
                <w:lang w:val="en-GB"/>
              </w:rPr>
              <w:t>Author’s Feedback</w:t>
            </w:r>
            <w:r w:rsidRPr="00DD34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D34C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D34C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D3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D34C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EF837E" w14:textId="77777777" w:rsidR="00F1171E" w:rsidRPr="00DD34C4" w:rsidRDefault="006F39B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D34C4">
              <w:rPr>
                <w:rFonts w:ascii="Arial" w:hAnsi="Arial" w:cs="Arial"/>
                <w:sz w:val="20"/>
                <w:szCs w:val="20"/>
              </w:rPr>
              <w:t xml:space="preserve">The manuscript deals with the use of </w:t>
            </w:r>
            <w:proofErr w:type="spellStart"/>
            <w:r w:rsidRPr="00DD34C4">
              <w:rPr>
                <w:rFonts w:ascii="Arial" w:hAnsi="Arial" w:cs="Arial"/>
                <w:sz w:val="20"/>
                <w:szCs w:val="20"/>
              </w:rPr>
              <w:t>Geogebra</w:t>
            </w:r>
            <w:proofErr w:type="spellEnd"/>
            <w:r w:rsidRPr="00DD34C4">
              <w:rPr>
                <w:rFonts w:ascii="Arial" w:hAnsi="Arial" w:cs="Arial"/>
                <w:sz w:val="20"/>
                <w:szCs w:val="20"/>
              </w:rPr>
              <w:t xml:space="preserve"> software in teaching and/or learning differential equations. This topic lies into integrating technologies in educational practices, which represents an important issue.</w:t>
            </w:r>
          </w:p>
          <w:p w14:paraId="7DBC9196" w14:textId="54E4E74F" w:rsidR="00E07997" w:rsidRPr="00DD34C4" w:rsidRDefault="00E07997" w:rsidP="00457A2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D34C4">
              <w:rPr>
                <w:rFonts w:ascii="Arial" w:hAnsi="Arial" w:cs="Arial"/>
                <w:sz w:val="20"/>
                <w:szCs w:val="20"/>
              </w:rPr>
              <w:t xml:space="preserve">However, the manuscript only presents simple examples of how </w:t>
            </w:r>
            <w:proofErr w:type="spellStart"/>
            <w:r w:rsidRPr="00DD34C4">
              <w:rPr>
                <w:rFonts w:ascii="Arial" w:hAnsi="Arial" w:cs="Arial"/>
                <w:sz w:val="20"/>
                <w:szCs w:val="20"/>
              </w:rPr>
              <w:t>Geogebra</w:t>
            </w:r>
            <w:proofErr w:type="spellEnd"/>
            <w:r w:rsidRPr="00DD34C4">
              <w:rPr>
                <w:rFonts w:ascii="Arial" w:hAnsi="Arial" w:cs="Arial"/>
                <w:sz w:val="20"/>
                <w:szCs w:val="20"/>
              </w:rPr>
              <w:t xml:space="preserve"> can be used to visualize solutions of some differential equations. It represents a technical sheet for a practical task that can be suggested to learners. </w:t>
            </w:r>
          </w:p>
        </w:tc>
        <w:tc>
          <w:tcPr>
            <w:tcW w:w="1523" w:type="pct"/>
          </w:tcPr>
          <w:p w14:paraId="462A339C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34C4" w14:paraId="0D8B5B2C" w14:textId="77777777" w:rsidTr="00B0221F">
        <w:trPr>
          <w:trHeight w:val="836"/>
        </w:trPr>
        <w:tc>
          <w:tcPr>
            <w:tcW w:w="1265" w:type="pct"/>
            <w:noWrap/>
          </w:tcPr>
          <w:p w14:paraId="21CBA5FE" w14:textId="77777777" w:rsidR="00F1171E" w:rsidRPr="00DD3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D3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D072696" w14:textId="77777777" w:rsidR="00457A2E" w:rsidRPr="00DD34C4" w:rsidRDefault="00457A2E" w:rsidP="006F39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AA9A7" w14:textId="5045B394" w:rsidR="00F1171E" w:rsidRPr="00DD34C4" w:rsidRDefault="006F39B4" w:rsidP="006F39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is too long. I suggest the following one “Some examples of solving non-homogeneous differential equations with </w:t>
            </w:r>
            <w:proofErr w:type="spellStart"/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>Geogebra</w:t>
            </w:r>
            <w:proofErr w:type="spellEnd"/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>”</w:t>
            </w:r>
          </w:p>
        </w:tc>
        <w:tc>
          <w:tcPr>
            <w:tcW w:w="1523" w:type="pct"/>
          </w:tcPr>
          <w:p w14:paraId="405B6701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34C4" w14:paraId="5604762A" w14:textId="77777777" w:rsidTr="00B0221F">
        <w:trPr>
          <w:trHeight w:val="611"/>
        </w:trPr>
        <w:tc>
          <w:tcPr>
            <w:tcW w:w="1265" w:type="pct"/>
            <w:noWrap/>
          </w:tcPr>
          <w:p w14:paraId="3635573D" w14:textId="77777777" w:rsidR="00F1171E" w:rsidRPr="00DD34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D34C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6F6C481" w:rsidR="00F1171E" w:rsidRPr="00DD34C4" w:rsidRDefault="006F39B4" w:rsidP="00BC73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>The abstract is clear and summarizes the work undertaken by the author(s).</w:t>
            </w:r>
          </w:p>
        </w:tc>
        <w:tc>
          <w:tcPr>
            <w:tcW w:w="1523" w:type="pct"/>
          </w:tcPr>
          <w:p w14:paraId="1D54B730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34C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D34C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D3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D1E5C83" w14:textId="70CFFB35" w:rsidR="00F1171E" w:rsidRPr="00DD34C4" w:rsidRDefault="00BC737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presents examples of how to solve some differential equations using </w:t>
            </w:r>
            <w:proofErr w:type="spellStart"/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>Geogebra</w:t>
            </w:r>
            <w:proofErr w:type="spellEnd"/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 xml:space="preserve">. The pedagogical or didactic impact is not at all clear. As far as the pedagogical contribution is concerned, the manuscript only presents the results of the implementation of a process by </w:t>
            </w:r>
            <w:proofErr w:type="spellStart"/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>Geogebra</w:t>
            </w:r>
            <w:proofErr w:type="spellEnd"/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 xml:space="preserve">.  </w:t>
            </w:r>
          </w:p>
          <w:p w14:paraId="2B5A7721" w14:textId="31D896CF" w:rsidR="00457A2E" w:rsidRPr="00DD34C4" w:rsidRDefault="00457A2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34C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D3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D34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D34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5E5167D" w:rsidR="00F1171E" w:rsidRPr="00DD34C4" w:rsidRDefault="00BC737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 xml:space="preserve">The literature on the use of ICTE in mathematics teaching is abundant, particularly as regards the teaching of differential equations. Moreover, the cognitive contribution </w:t>
            </w:r>
            <w:proofErr w:type="gramStart"/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 xml:space="preserve">of </w:t>
            </w:r>
            <w:r w:rsidR="00457A2E" w:rsidRPr="00DD34C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>ICTE</w:t>
            </w:r>
            <w:proofErr w:type="gramEnd"/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 xml:space="preserve"> is too detailed in several works. These two points are absent from the present manuscript, and I recommend that they be integrated into this work.</w:t>
            </w:r>
          </w:p>
        </w:tc>
        <w:tc>
          <w:tcPr>
            <w:tcW w:w="1523" w:type="pct"/>
          </w:tcPr>
          <w:p w14:paraId="40220055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34C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D34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D34C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94B1529" w:rsidR="00F1171E" w:rsidRPr="00DD34C4" w:rsidRDefault="00BC737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sz w:val="20"/>
                <w:szCs w:val="20"/>
                <w:lang w:val="en-GB"/>
              </w:rPr>
              <w:t>The manuscript contains too many linguistic errors (unclear wording, punctuation, spelling, etc.).</w:t>
            </w:r>
          </w:p>
          <w:p w14:paraId="149A6CEF" w14:textId="33CBF090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D34C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D34C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D34C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D34C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D34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D34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D34C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D3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D34C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D34C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D3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D34C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D3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D34C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D34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D34C4">
              <w:rPr>
                <w:rFonts w:ascii="Arial" w:hAnsi="Arial" w:cs="Arial"/>
                <w:lang w:val="en-GB"/>
              </w:rPr>
              <w:t>Author’s comment</w:t>
            </w:r>
            <w:r w:rsidRPr="00DD34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D34C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D34C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D3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34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D3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DD34C4" w:rsidRDefault="00F1171E" w:rsidP="001332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D34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D34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D34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D34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3002281" w14:textId="77777777" w:rsidR="00DD34C4" w:rsidRPr="00DC40C0" w:rsidRDefault="00DD34C4" w:rsidP="00DD34C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C40C0">
        <w:rPr>
          <w:rFonts w:ascii="Arial" w:hAnsi="Arial" w:cs="Arial"/>
          <w:b/>
          <w:u w:val="single"/>
        </w:rPr>
        <w:t>Reviewer details:</w:t>
      </w:r>
    </w:p>
    <w:p w14:paraId="273879CB" w14:textId="77777777" w:rsidR="00DD34C4" w:rsidRPr="00DC40C0" w:rsidRDefault="00DD34C4" w:rsidP="00DD34C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C40C0">
        <w:rPr>
          <w:rFonts w:ascii="Arial" w:hAnsi="Arial" w:cs="Arial"/>
          <w:b/>
          <w:color w:val="000000"/>
        </w:rPr>
        <w:t>Mohamed Chergui, Morocco</w:t>
      </w:r>
    </w:p>
    <w:p w14:paraId="09175941" w14:textId="77777777" w:rsidR="00DD34C4" w:rsidRPr="00DD34C4" w:rsidRDefault="00DD34C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D34C4" w:rsidRPr="00DD34C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40438" w14:textId="77777777" w:rsidR="004D0B40" w:rsidRPr="0000007A" w:rsidRDefault="004D0B40" w:rsidP="0099583E">
      <w:r>
        <w:separator/>
      </w:r>
    </w:p>
  </w:endnote>
  <w:endnote w:type="continuationSeparator" w:id="0">
    <w:p w14:paraId="0909E957" w14:textId="77777777" w:rsidR="004D0B40" w:rsidRPr="0000007A" w:rsidRDefault="004D0B4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7ECA" w14:textId="77777777" w:rsidR="004D0B40" w:rsidRPr="0000007A" w:rsidRDefault="004D0B40" w:rsidP="0099583E">
      <w:r>
        <w:separator/>
      </w:r>
    </w:p>
  </w:footnote>
  <w:footnote w:type="continuationSeparator" w:id="0">
    <w:p w14:paraId="57519F06" w14:textId="77777777" w:rsidR="004D0B40" w:rsidRPr="0000007A" w:rsidRDefault="004D0B4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3211948">
    <w:abstractNumId w:val="3"/>
  </w:num>
  <w:num w:numId="2" w16cid:durableId="420029408">
    <w:abstractNumId w:val="6"/>
  </w:num>
  <w:num w:numId="3" w16cid:durableId="216628789">
    <w:abstractNumId w:val="5"/>
  </w:num>
  <w:num w:numId="4" w16cid:durableId="299844563">
    <w:abstractNumId w:val="7"/>
  </w:num>
  <w:num w:numId="5" w16cid:durableId="27150611">
    <w:abstractNumId w:val="4"/>
  </w:num>
  <w:num w:numId="6" w16cid:durableId="276910430">
    <w:abstractNumId w:val="0"/>
  </w:num>
  <w:num w:numId="7" w16cid:durableId="1149595250">
    <w:abstractNumId w:val="1"/>
  </w:num>
  <w:num w:numId="8" w16cid:durableId="1126773694">
    <w:abstractNumId w:val="9"/>
  </w:num>
  <w:num w:numId="9" w16cid:durableId="347754210">
    <w:abstractNumId w:val="8"/>
  </w:num>
  <w:num w:numId="10" w16cid:durableId="1582717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2D83"/>
    <w:rsid w:val="00054BC4"/>
    <w:rsid w:val="00056CB0"/>
    <w:rsid w:val="0006257C"/>
    <w:rsid w:val="000627FE"/>
    <w:rsid w:val="00070C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3219"/>
    <w:rsid w:val="00136984"/>
    <w:rsid w:val="001425F1"/>
    <w:rsid w:val="00142A9C"/>
    <w:rsid w:val="00150304"/>
    <w:rsid w:val="001528A6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E17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66B6"/>
    <w:rsid w:val="002B0E4B"/>
    <w:rsid w:val="002C40B8"/>
    <w:rsid w:val="002D26D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F7E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2E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B40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61E2"/>
    <w:rsid w:val="005A4F17"/>
    <w:rsid w:val="005B3509"/>
    <w:rsid w:val="005C25A0"/>
    <w:rsid w:val="005D230D"/>
    <w:rsid w:val="005E11DC"/>
    <w:rsid w:val="005E29CE"/>
    <w:rsid w:val="005E3241"/>
    <w:rsid w:val="005E6ED4"/>
    <w:rsid w:val="005E7FB0"/>
    <w:rsid w:val="005F184C"/>
    <w:rsid w:val="00602F7D"/>
    <w:rsid w:val="00605952"/>
    <w:rsid w:val="0061073F"/>
    <w:rsid w:val="00620677"/>
    <w:rsid w:val="00624032"/>
    <w:rsid w:val="00626025"/>
    <w:rsid w:val="006311A1"/>
    <w:rsid w:val="00635868"/>
    <w:rsid w:val="0063788D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0381"/>
    <w:rsid w:val="006C3797"/>
    <w:rsid w:val="006D467C"/>
    <w:rsid w:val="006E01EE"/>
    <w:rsid w:val="006E6014"/>
    <w:rsid w:val="006E7D6E"/>
    <w:rsid w:val="006F39B4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B60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107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21F"/>
    <w:rsid w:val="00B03A45"/>
    <w:rsid w:val="00B2236C"/>
    <w:rsid w:val="00B22FE6"/>
    <w:rsid w:val="00B3033D"/>
    <w:rsid w:val="00B334D9"/>
    <w:rsid w:val="00B44E3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377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7C0F"/>
    <w:rsid w:val="00C82466"/>
    <w:rsid w:val="00C84097"/>
    <w:rsid w:val="00C943B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2E13"/>
    <w:rsid w:val="00DC6FED"/>
    <w:rsid w:val="00DD0C4A"/>
    <w:rsid w:val="00DD274C"/>
    <w:rsid w:val="00DD34C4"/>
    <w:rsid w:val="00DE7D30"/>
    <w:rsid w:val="00DF04E3"/>
    <w:rsid w:val="00E03C32"/>
    <w:rsid w:val="00E0799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887"/>
    <w:rsid w:val="00F1171E"/>
    <w:rsid w:val="00F13071"/>
    <w:rsid w:val="00F236F3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77C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D34C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3297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2025-04-19T06:30:00Z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