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8A18DF" w14:paraId="1643A4CA" w14:textId="77777777" w:rsidTr="008A18D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A18D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A18DF" w14:paraId="127EAD7E" w14:textId="77777777" w:rsidTr="008A18DF">
        <w:trPr>
          <w:trHeight w:val="413"/>
        </w:trPr>
        <w:tc>
          <w:tcPr>
            <w:tcW w:w="1266" w:type="pct"/>
          </w:tcPr>
          <w:p w14:paraId="3C159AA5" w14:textId="77777777" w:rsidR="0000007A" w:rsidRPr="008A18D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A1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D8E3607" w:rsidR="0000007A" w:rsidRPr="008A18DF" w:rsidRDefault="00013FF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A18D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8A18DF" w14:paraId="73C90375" w14:textId="77777777" w:rsidTr="008A18DF">
        <w:trPr>
          <w:trHeight w:val="290"/>
        </w:trPr>
        <w:tc>
          <w:tcPr>
            <w:tcW w:w="1266" w:type="pct"/>
          </w:tcPr>
          <w:p w14:paraId="20D28135" w14:textId="77777777" w:rsidR="0000007A" w:rsidRPr="008A18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FAD622" w:rsidR="0000007A" w:rsidRPr="008A18D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43EFB"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5338</w:t>
            </w:r>
          </w:p>
        </w:tc>
      </w:tr>
      <w:tr w:rsidR="0000007A" w:rsidRPr="008A18DF" w14:paraId="05B60576" w14:textId="77777777" w:rsidTr="008A18DF">
        <w:trPr>
          <w:trHeight w:val="331"/>
        </w:trPr>
        <w:tc>
          <w:tcPr>
            <w:tcW w:w="1266" w:type="pct"/>
          </w:tcPr>
          <w:p w14:paraId="0196A627" w14:textId="77777777" w:rsidR="0000007A" w:rsidRPr="008A18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F216238" w:rsidR="0000007A" w:rsidRPr="008A18DF" w:rsidRDefault="00013FF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A18DF">
              <w:rPr>
                <w:rFonts w:ascii="Arial" w:hAnsi="Arial" w:cs="Arial"/>
                <w:b/>
                <w:sz w:val="20"/>
                <w:szCs w:val="20"/>
                <w:lang w:val="en-GB"/>
              </w:rPr>
              <w:t>EFFICACY OF ALLIUM CEPA, ALLIUM SATIVUM AND SOLLANUM TRILOBATUM AGAINST BACTERIAL FLACHERIE IN MULBERRY SILKWORM BOMBYX MORI L.</w:t>
            </w:r>
          </w:p>
        </w:tc>
      </w:tr>
      <w:tr w:rsidR="00CF0BBB" w:rsidRPr="008A18DF" w14:paraId="6D508B1C" w14:textId="77777777" w:rsidTr="008A18DF">
        <w:trPr>
          <w:trHeight w:val="332"/>
        </w:trPr>
        <w:tc>
          <w:tcPr>
            <w:tcW w:w="1266" w:type="pct"/>
          </w:tcPr>
          <w:p w14:paraId="32FC28F7" w14:textId="77777777" w:rsidR="00CF0BBB" w:rsidRPr="008A18D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EA58B9A" w:rsidR="00CF0BBB" w:rsidRPr="008A18DF" w:rsidRDefault="00013FF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A18D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8A18D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A18D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A18D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A18D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A18D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A18D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A18D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A18D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A18D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C28FBAA" w:rsidR="00E03C32" w:rsidRDefault="00013FF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13FF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of Emerging Technologies and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Innovative Research (JETIR), </w:t>
                  </w:r>
                  <w:r w:rsidRPr="00013FF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January 2022, Volume 9, Issue 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98BC9C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13FF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013FFE" w:rsidRPr="00A2521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https://www.jetir.org/papers/JETIR2201362.pdf</w:t>
                    </w:r>
                  </w:hyperlink>
                  <w:r w:rsidR="00013FF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A18D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A18D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A18D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A18D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18D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A18D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18D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18D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A18D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11D9A618" w:rsidR="00421DBF" w:rsidRPr="008A18D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18DF">
              <w:rPr>
                <w:rFonts w:ascii="Arial" w:hAnsi="Arial" w:cs="Arial"/>
                <w:lang w:val="en-GB"/>
              </w:rPr>
              <w:t>Author’s Feedback</w:t>
            </w:r>
            <w:r w:rsidRPr="008A18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18D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A18D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A18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A18D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3FF8EC8" w:rsidR="00F1171E" w:rsidRPr="008A18DF" w:rsidRDefault="004B268D" w:rsidP="004B268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This study highlights the potential of </w:t>
            </w:r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 xml:space="preserve">botanical extracts (Allium cepa, A. sativum, and Solanum </w:t>
            </w:r>
            <w:proofErr w:type="spellStart"/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>trilobatum</w:t>
            </w:r>
            <w:proofErr w:type="spellEnd"/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>)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 as natural alternatives to antibiotics for controlling </w:t>
            </w:r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>bacterial flacherie in silkworms (Bombyx mori L.)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, a critical issue in sericulture due to rising antibiotic resistance. The identification of </w:t>
            </w:r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>selenium-rich compounds in A. cepa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 via HPLC provides a mechanistic basis for its superior efficacy, offering a sustainable solution for disease management. The findings are particularly valuable for </w:t>
            </w:r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>small-scale sericulturists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 in developing countries, where access to synthetic antibiotics is limited. Additionally, this work contributes to the </w:t>
            </w:r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>"One Health"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 initiative by reducing reliance on conventional antimicrobials in agriculture.</w:t>
            </w:r>
          </w:p>
        </w:tc>
        <w:tc>
          <w:tcPr>
            <w:tcW w:w="1523" w:type="pct"/>
          </w:tcPr>
          <w:p w14:paraId="462A339C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18D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A18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A18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F3BC3BB" w14:textId="160A9C8C" w:rsidR="004B268D" w:rsidRPr="008A18DF" w:rsidRDefault="004B268D" w:rsidP="004B268D">
            <w:pPr>
              <w:pStyle w:val="NormalWeb"/>
              <w:spacing w:before="206" w:beforeAutospacing="0" w:after="206" w:afterAutospacing="0" w:line="429" w:lineRule="atLeast"/>
              <w:jc w:val="both"/>
              <w:rPr>
                <w:rFonts w:ascii="Arial" w:hAnsi="Arial" w:cs="Arial"/>
                <w:color w:val="404040"/>
                <w:sz w:val="20"/>
                <w:szCs w:val="20"/>
                <w:lang w:val="en-IN" w:eastAsia="en-GB"/>
              </w:rPr>
            </w:pPr>
            <w:r w:rsidRPr="008A18DF">
              <w:rPr>
                <w:rStyle w:val="Strong"/>
                <w:rFonts w:ascii="Arial" w:hAnsi="Arial" w:cs="Arial"/>
                <w:color w:val="404040"/>
                <w:sz w:val="20"/>
                <w:szCs w:val="20"/>
              </w:rPr>
              <w:t>Current Title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: </w:t>
            </w:r>
            <w:r w:rsidRPr="008A18DF">
              <w:rPr>
                <w:rStyle w:val="Emphasis"/>
                <w:rFonts w:ascii="Arial" w:hAnsi="Arial" w:cs="Arial"/>
                <w:color w:val="404040"/>
                <w:sz w:val="20"/>
                <w:szCs w:val="20"/>
              </w:rPr>
              <w:t xml:space="preserve">"Efficacy of Allium cepa, Allium sativum and Solanum </w:t>
            </w:r>
            <w:proofErr w:type="spellStart"/>
            <w:r w:rsidRPr="008A18DF">
              <w:rPr>
                <w:rStyle w:val="Emphasis"/>
                <w:rFonts w:ascii="Arial" w:hAnsi="Arial" w:cs="Arial"/>
                <w:color w:val="404040"/>
                <w:sz w:val="20"/>
                <w:szCs w:val="20"/>
              </w:rPr>
              <w:t>trilobatum</w:t>
            </w:r>
            <w:proofErr w:type="spellEnd"/>
            <w:r w:rsidRPr="008A18DF">
              <w:rPr>
                <w:rStyle w:val="Emphasis"/>
                <w:rFonts w:ascii="Arial" w:hAnsi="Arial" w:cs="Arial"/>
                <w:color w:val="404040"/>
                <w:sz w:val="20"/>
                <w:szCs w:val="20"/>
              </w:rPr>
              <w:t xml:space="preserve"> Against Bacterial Flacherie in Mulberry Silkworm Bombyx mori L."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br/>
            </w:r>
            <w:r w:rsidRPr="008A18DF">
              <w:rPr>
                <w:rStyle w:val="Strong"/>
                <w:rFonts w:ascii="Arial" w:hAnsi="Arial" w:cs="Arial"/>
                <w:color w:val="404040"/>
                <w:sz w:val="20"/>
                <w:szCs w:val="20"/>
              </w:rPr>
              <w:t>Suitability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: The title is clear but could emphasize </w:t>
            </w:r>
            <w:r w:rsidRPr="008A18DF">
              <w:rPr>
                <w:rStyle w:val="Strong"/>
                <w:rFonts w:ascii="Arial" w:hAnsi="Arial" w:cs="Arial"/>
                <w:color w:val="404040"/>
                <w:sz w:val="20"/>
                <w:szCs w:val="20"/>
              </w:rPr>
              <w:t>key findings</w:t>
            </w:r>
            <w:r w:rsidR="00AB50D6" w:rsidRPr="008A18DF">
              <w:rPr>
                <w:rFonts w:ascii="Arial" w:hAnsi="Arial" w:cs="Arial"/>
                <w:color w:val="404040"/>
                <w:sz w:val="20"/>
                <w:szCs w:val="20"/>
              </w:rPr>
              <w:t xml:space="preserve"> (e.g., A. </w:t>
            </w:r>
            <w:proofErr w:type="spellStart"/>
            <w:r w:rsidR="00AB50D6" w:rsidRPr="008A18DF">
              <w:rPr>
                <w:rFonts w:ascii="Arial" w:hAnsi="Arial" w:cs="Arial"/>
                <w:color w:val="404040"/>
                <w:sz w:val="20"/>
                <w:szCs w:val="20"/>
              </w:rPr>
              <w:t>cepa's</w:t>
            </w:r>
            <w:proofErr w:type="spellEnd"/>
            <w:r w:rsidR="00AB50D6" w:rsidRPr="008A18DF">
              <w:rPr>
                <w:rFonts w:ascii="Arial" w:hAnsi="Arial" w:cs="Arial"/>
                <w:color w:val="404040"/>
                <w:sz w:val="20"/>
                <w:szCs w:val="20"/>
              </w:rPr>
              <w:t xml:space="preserve"> superiority).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br/>
            </w:r>
            <w:r w:rsidRPr="008A18DF">
              <w:rPr>
                <w:rStyle w:val="Strong"/>
                <w:rFonts w:ascii="Arial" w:hAnsi="Arial" w:cs="Arial"/>
                <w:color w:val="404040"/>
                <w:sz w:val="20"/>
                <w:szCs w:val="20"/>
              </w:rPr>
              <w:t>Suggested Alternative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:</w:t>
            </w:r>
          </w:p>
          <w:p w14:paraId="62D0C741" w14:textId="77777777" w:rsidR="004B268D" w:rsidRPr="008A18DF" w:rsidRDefault="004B268D" w:rsidP="004B268D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429" w:lineRule="atLeast"/>
              <w:jc w:val="both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8A18DF">
              <w:rPr>
                <w:rStyle w:val="Emphasis"/>
                <w:rFonts w:ascii="Arial" w:hAnsi="Arial" w:cs="Arial"/>
                <w:color w:val="404040"/>
                <w:sz w:val="20"/>
                <w:szCs w:val="20"/>
              </w:rPr>
              <w:t>"Allium cepa Extract as a Potent Antimicrobial Agent Against Bacterial Flacherie in Bombyx mori: Efficacy, Phytochemical Profiling, and Implications for Sustainable Sericulture"</w:t>
            </w:r>
          </w:p>
          <w:p w14:paraId="794AA9A7" w14:textId="77777777" w:rsidR="00F1171E" w:rsidRPr="008A18DF" w:rsidRDefault="00F1171E" w:rsidP="004B268D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18DF" w14:paraId="5604762A" w14:textId="77777777" w:rsidTr="00AB50D6">
        <w:trPr>
          <w:trHeight w:val="773"/>
        </w:trPr>
        <w:tc>
          <w:tcPr>
            <w:tcW w:w="1265" w:type="pct"/>
            <w:noWrap/>
          </w:tcPr>
          <w:p w14:paraId="3635573D" w14:textId="77777777" w:rsidR="00F1171E" w:rsidRPr="008A18D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A18D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F7146F3" w:rsidR="00F1171E" w:rsidRPr="008A18DF" w:rsidRDefault="004B268D" w:rsidP="004B268D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Explicitly state this is one of the first studies to link </w:t>
            </w:r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 xml:space="preserve">A. </w:t>
            </w:r>
            <w:proofErr w:type="spellStart"/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>cepa's</w:t>
            </w:r>
            <w:proofErr w:type="spellEnd"/>
            <w:r w:rsidRPr="008A18DF">
              <w:rPr>
                <w:rStyle w:val="Strong"/>
                <w:rFonts w:ascii="Arial" w:eastAsia="Arial Unicode MS" w:hAnsi="Arial" w:cs="Arial"/>
                <w:b w:val="0"/>
                <w:bCs w:val="0"/>
                <w:color w:val="404040"/>
                <w:sz w:val="20"/>
                <w:szCs w:val="20"/>
              </w:rPr>
              <w:t xml:space="preserve"> selenium compounds</w:t>
            </w: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 with silkworm pathogen inhibition.</w:t>
            </w:r>
          </w:p>
        </w:tc>
        <w:tc>
          <w:tcPr>
            <w:tcW w:w="1523" w:type="pct"/>
          </w:tcPr>
          <w:p w14:paraId="1D54B730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18D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A18D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CDBA824" w14:textId="77777777" w:rsidR="004B268D" w:rsidRPr="008A18DF" w:rsidRDefault="004B268D" w:rsidP="004B268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429" w:lineRule="atLeast"/>
              <w:jc w:val="both"/>
              <w:rPr>
                <w:rFonts w:ascii="Arial" w:hAnsi="Arial" w:cs="Arial"/>
                <w:color w:val="404040"/>
                <w:sz w:val="20"/>
                <w:szCs w:val="20"/>
                <w:lang w:val="en-IN" w:eastAsia="en-GB"/>
              </w:rPr>
            </w:pP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Robust experimental design (disc diffusion assay, HPLC validation).</w:t>
            </w:r>
          </w:p>
          <w:p w14:paraId="31CE1EAF" w14:textId="77777777" w:rsidR="004B268D" w:rsidRPr="008A18DF" w:rsidRDefault="004B268D" w:rsidP="004B268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429" w:lineRule="atLeast"/>
              <w:jc w:val="both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Clear metrics (inhibition zones, mortality rates).</w:t>
            </w:r>
          </w:p>
          <w:p w14:paraId="4B7BDC7E" w14:textId="77777777" w:rsidR="004B268D" w:rsidRPr="008A18DF" w:rsidRDefault="004B268D" w:rsidP="004B268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429" w:lineRule="atLeast"/>
              <w:jc w:val="both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Appropriate statistical reporting (e.g., Table 1 mortality data).</w:t>
            </w:r>
          </w:p>
          <w:p w14:paraId="2B5A7721" w14:textId="77777777" w:rsidR="00F1171E" w:rsidRPr="008A18DF" w:rsidRDefault="00F1171E" w:rsidP="004B268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18D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A18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A18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18D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43980D3" w:rsidR="00F1171E" w:rsidRPr="008A18DF" w:rsidRDefault="004B268D" w:rsidP="004B268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Adequate</w:t>
            </w:r>
          </w:p>
        </w:tc>
        <w:tc>
          <w:tcPr>
            <w:tcW w:w="1523" w:type="pct"/>
          </w:tcPr>
          <w:p w14:paraId="40220055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18D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A18D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A18D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44A0DA57" w:rsidR="00F1171E" w:rsidRPr="008A18DF" w:rsidRDefault="004B268D" w:rsidP="00AB50D6">
            <w:pPr>
              <w:pStyle w:val="NormalWeb"/>
              <w:spacing w:before="0" w:beforeAutospacing="0" w:after="0" w:afterAutospacing="0" w:line="429" w:lineRule="atLeast"/>
              <w:jc w:val="both"/>
              <w:rPr>
                <w:rFonts w:ascii="Arial" w:hAnsi="Arial" w:cs="Arial"/>
                <w:color w:val="404040"/>
                <w:sz w:val="20"/>
                <w:szCs w:val="20"/>
                <w:lang w:val="en-IN" w:eastAsia="en-GB"/>
              </w:rPr>
            </w:pPr>
            <w:r w:rsidRPr="008A18DF">
              <w:rPr>
                <w:rFonts w:ascii="Arial" w:hAnsi="Arial" w:cs="Arial"/>
                <w:color w:val="404040"/>
                <w:sz w:val="20"/>
                <w:szCs w:val="20"/>
              </w:rPr>
              <w:t>Generally clear, but needs polishing.</w:t>
            </w:r>
          </w:p>
          <w:p w14:paraId="149A6CEF" w14:textId="77777777" w:rsidR="00F1171E" w:rsidRPr="008A18DF" w:rsidRDefault="00F1171E" w:rsidP="004B268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18D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A18D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A18D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A18D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A18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BFC6E5" w14:textId="77777777" w:rsidR="008A18DF" w:rsidRPr="008A18DF" w:rsidRDefault="008A18D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A18D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A18D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A18D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A18D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18D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A18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18DF">
              <w:rPr>
                <w:rFonts w:ascii="Arial" w:hAnsi="Arial" w:cs="Arial"/>
                <w:lang w:val="en-GB"/>
              </w:rPr>
              <w:t>Author’s comment</w:t>
            </w:r>
            <w:r w:rsidRPr="008A18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18D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A18D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8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A18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A18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A18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C3FAE6D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A18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A18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A18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A18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F1E4B2" w14:textId="77777777" w:rsidR="008A18DF" w:rsidRPr="000A4856" w:rsidRDefault="008A18DF" w:rsidP="008A18D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A4856">
        <w:rPr>
          <w:rFonts w:ascii="Arial" w:hAnsi="Arial" w:cs="Arial"/>
          <w:b/>
          <w:u w:val="single"/>
        </w:rPr>
        <w:t>Reviewer details:</w:t>
      </w:r>
    </w:p>
    <w:p w14:paraId="0EDF6419" w14:textId="77777777" w:rsidR="008A18DF" w:rsidRDefault="008A18DF" w:rsidP="008A18DF">
      <w:r w:rsidRPr="000A4856">
        <w:rPr>
          <w:rFonts w:ascii="Arial" w:hAnsi="Arial" w:cs="Arial"/>
          <w:b/>
          <w:color w:val="000000"/>
          <w:sz w:val="20"/>
          <w:szCs w:val="20"/>
        </w:rPr>
        <w:t xml:space="preserve">Kumari Akanksha, Birla Institute of Technology </w:t>
      </w:r>
      <w:proofErr w:type="spellStart"/>
      <w:r w:rsidRPr="000A4856">
        <w:rPr>
          <w:rFonts w:ascii="Arial" w:hAnsi="Arial" w:cs="Arial"/>
          <w:b/>
          <w:color w:val="000000"/>
          <w:sz w:val="20"/>
          <w:szCs w:val="20"/>
        </w:rPr>
        <w:t>Mesra</w:t>
      </w:r>
      <w:proofErr w:type="spellEnd"/>
      <w:r w:rsidRPr="000A4856">
        <w:rPr>
          <w:rFonts w:ascii="Arial" w:hAnsi="Arial" w:cs="Arial"/>
          <w:b/>
          <w:color w:val="000000"/>
          <w:sz w:val="20"/>
          <w:szCs w:val="20"/>
        </w:rPr>
        <w:t>, India</w:t>
      </w:r>
    </w:p>
    <w:p w14:paraId="48BAEBF1" w14:textId="77777777" w:rsidR="008A18DF" w:rsidRPr="008A18DF" w:rsidRDefault="008A18D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A18DF" w:rsidRPr="008A18D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CCE2C" w14:textId="77777777" w:rsidR="007B004A" w:rsidRPr="0000007A" w:rsidRDefault="007B004A" w:rsidP="0099583E">
      <w:r>
        <w:separator/>
      </w:r>
    </w:p>
  </w:endnote>
  <w:endnote w:type="continuationSeparator" w:id="0">
    <w:p w14:paraId="21D6056A" w14:textId="77777777" w:rsidR="007B004A" w:rsidRPr="0000007A" w:rsidRDefault="007B00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2D65" w14:textId="77777777" w:rsidR="007B004A" w:rsidRPr="0000007A" w:rsidRDefault="007B004A" w:rsidP="0099583E">
      <w:r>
        <w:separator/>
      </w:r>
    </w:p>
  </w:footnote>
  <w:footnote w:type="continuationSeparator" w:id="0">
    <w:p w14:paraId="4602797C" w14:textId="77777777" w:rsidR="007B004A" w:rsidRPr="0000007A" w:rsidRDefault="007B00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100ED"/>
    <w:multiLevelType w:val="multilevel"/>
    <w:tmpl w:val="8A4C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83B75"/>
    <w:multiLevelType w:val="multilevel"/>
    <w:tmpl w:val="619A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E721F5"/>
    <w:multiLevelType w:val="multilevel"/>
    <w:tmpl w:val="FF16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623230">
    <w:abstractNumId w:val="4"/>
  </w:num>
  <w:num w:numId="2" w16cid:durableId="1378550834">
    <w:abstractNumId w:val="8"/>
  </w:num>
  <w:num w:numId="3" w16cid:durableId="1297182731">
    <w:abstractNumId w:val="7"/>
  </w:num>
  <w:num w:numId="4" w16cid:durableId="2109276622">
    <w:abstractNumId w:val="9"/>
  </w:num>
  <w:num w:numId="5" w16cid:durableId="1504083355">
    <w:abstractNumId w:val="6"/>
  </w:num>
  <w:num w:numId="6" w16cid:durableId="827792016">
    <w:abstractNumId w:val="0"/>
  </w:num>
  <w:num w:numId="7" w16cid:durableId="629017728">
    <w:abstractNumId w:val="2"/>
  </w:num>
  <w:num w:numId="8" w16cid:durableId="1144393930">
    <w:abstractNumId w:val="11"/>
  </w:num>
  <w:num w:numId="9" w16cid:durableId="383456213">
    <w:abstractNumId w:val="10"/>
  </w:num>
  <w:num w:numId="10" w16cid:durableId="803471830">
    <w:abstractNumId w:val="3"/>
  </w:num>
  <w:num w:numId="11" w16cid:durableId="479271605">
    <w:abstractNumId w:val="1"/>
  </w:num>
  <w:num w:numId="12" w16cid:durableId="354622569">
    <w:abstractNumId w:val="12"/>
  </w:num>
  <w:num w:numId="13" w16cid:durableId="37047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FFE"/>
    <w:rsid w:val="000168A9"/>
    <w:rsid w:val="000217C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EF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0374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EA9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E43"/>
    <w:rsid w:val="00474129"/>
    <w:rsid w:val="00477844"/>
    <w:rsid w:val="004847FF"/>
    <w:rsid w:val="00495DBB"/>
    <w:rsid w:val="004B03BF"/>
    <w:rsid w:val="004B0965"/>
    <w:rsid w:val="004B268D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20E1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04A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18DF"/>
    <w:rsid w:val="008A4C0B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B4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870"/>
    <w:rsid w:val="00A519B6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50D6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4A01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182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B268D"/>
    <w:rPr>
      <w:b/>
      <w:bCs/>
    </w:rPr>
  </w:style>
  <w:style w:type="character" w:styleId="Emphasis">
    <w:name w:val="Emphasis"/>
    <w:basedOn w:val="DefaultParagraphFont"/>
    <w:uiPriority w:val="20"/>
    <w:qFormat/>
    <w:rsid w:val="004B268D"/>
    <w:rPr>
      <w:i/>
      <w:iCs/>
    </w:rPr>
  </w:style>
  <w:style w:type="paragraph" w:customStyle="1" w:styleId="Affiliation">
    <w:name w:val="Affiliation"/>
    <w:basedOn w:val="Normal"/>
    <w:rsid w:val="008A18D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tir.org/papers/JETIR220136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