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6"/>
        <w:gridCol w:w="16074"/>
      </w:tblGrid>
      <w:tr w:rsidR="00977F89" w:rsidRPr="00E978D6" w14:paraId="1643A4CA" w14:textId="77777777" w:rsidTr="00E978D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977F89" w:rsidRPr="00E978D6" w:rsidRDefault="00977F8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977F89" w:rsidRPr="00E978D6" w14:paraId="127EAD7E" w14:textId="77777777" w:rsidTr="00E978D6">
        <w:trPr>
          <w:trHeight w:val="413"/>
        </w:trPr>
        <w:tc>
          <w:tcPr>
            <w:tcW w:w="1248" w:type="pct"/>
            <w:shd w:val="clear" w:color="auto" w:fill="EBFFFF"/>
          </w:tcPr>
          <w:p w14:paraId="3C159AA5" w14:textId="77777777" w:rsidR="00977F89" w:rsidRPr="00E978D6" w:rsidRDefault="00D4689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977F89" w:rsidRPr="00E978D6" w:rsidRDefault="00D4689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E978D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977F89" w:rsidRPr="00E978D6" w14:paraId="73C90375" w14:textId="77777777" w:rsidTr="00E978D6">
        <w:trPr>
          <w:trHeight w:val="290"/>
        </w:trPr>
        <w:tc>
          <w:tcPr>
            <w:tcW w:w="1248" w:type="pct"/>
            <w:shd w:val="clear" w:color="auto" w:fill="EBFFFF"/>
          </w:tcPr>
          <w:p w14:paraId="20D28135" w14:textId="77777777" w:rsidR="00977F89" w:rsidRPr="00E978D6" w:rsidRDefault="00D4689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977F89" w:rsidRPr="00E978D6" w:rsidRDefault="00D4689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978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Ms_BPR_5378</w:t>
            </w:r>
          </w:p>
        </w:tc>
      </w:tr>
      <w:tr w:rsidR="00977F89" w:rsidRPr="00E978D6" w14:paraId="05B60576" w14:textId="77777777" w:rsidTr="00E978D6">
        <w:trPr>
          <w:trHeight w:val="331"/>
        </w:trPr>
        <w:tc>
          <w:tcPr>
            <w:tcW w:w="1248" w:type="pct"/>
            <w:shd w:val="clear" w:color="auto" w:fill="EBFFFF"/>
          </w:tcPr>
          <w:p w14:paraId="0196A627" w14:textId="77777777" w:rsidR="00977F89" w:rsidRPr="00E978D6" w:rsidRDefault="00D4689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977F89" w:rsidRPr="00E978D6" w:rsidRDefault="00D4689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978D6">
              <w:rPr>
                <w:rFonts w:ascii="Arial" w:hAnsi="Arial" w:cs="Arial"/>
                <w:b/>
                <w:sz w:val="20"/>
                <w:szCs w:val="20"/>
                <w:lang w:val="en-GB"/>
              </w:rPr>
              <w:t>Censorship in Teacher Training: The Case of the Lending Library of the Pedagogical Academy of Heraklion, Crete, Greece</w:t>
            </w:r>
          </w:p>
        </w:tc>
      </w:tr>
      <w:tr w:rsidR="00977F89" w:rsidRPr="00E978D6" w14:paraId="6D508B1C" w14:textId="77777777" w:rsidTr="00E978D6">
        <w:trPr>
          <w:trHeight w:val="332"/>
        </w:trPr>
        <w:tc>
          <w:tcPr>
            <w:tcW w:w="1248" w:type="pct"/>
            <w:shd w:val="clear" w:color="auto" w:fill="EBFFFF"/>
          </w:tcPr>
          <w:p w14:paraId="32FC28F7" w14:textId="77777777" w:rsidR="00977F89" w:rsidRPr="00E978D6" w:rsidRDefault="00D4689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977F89" w:rsidRPr="00E978D6" w:rsidRDefault="00D4689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977F89" w:rsidRPr="00E978D6" w:rsidRDefault="00977F8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77777777" w:rsidR="00977F89" w:rsidRPr="00E978D6" w:rsidRDefault="00D4689A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978D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977F89" w:rsidRPr="00E978D6" w:rsidRDefault="00977F8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977F89" w:rsidRPr="00E978D6" w:rsidRDefault="00D4689A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978D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977F89" w:rsidRPr="00E978D6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978D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63350E1C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977F89" w:rsidRDefault="00D4689A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977F89" w:rsidRDefault="00977F89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977F89" w:rsidRDefault="00D4689A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977F89" w:rsidRDefault="00977F8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977F89" w:rsidRDefault="00D4689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Futurity Education, 3(3), 200–216, 2023.</w:t>
                  </w:r>
                </w:p>
                <w:p w14:paraId="57E24C8C" w14:textId="77777777" w:rsidR="00977F89" w:rsidRDefault="00D4689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9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https://doi.org/10.57125/FED.2023.09.25.11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977F89" w:rsidRPr="00E978D6" w:rsidRDefault="00D4689A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978D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977F89" w:rsidRPr="00E978D6" w:rsidRDefault="00977F89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977F89" w:rsidRPr="00E978D6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977F89" w:rsidRPr="00E978D6" w:rsidRDefault="00D4689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78D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978D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977F89" w:rsidRPr="00E978D6" w:rsidRDefault="00977F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A07CF" w:rsidRPr="00E978D6" w14:paraId="5EA12279" w14:textId="77777777">
        <w:tc>
          <w:tcPr>
            <w:tcW w:w="1265" w:type="pct"/>
            <w:noWrap/>
          </w:tcPr>
          <w:p w14:paraId="7AE9682F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lang w:val="en-US"/>
              </w:rPr>
            </w:pPr>
          </w:p>
        </w:tc>
        <w:tc>
          <w:tcPr>
            <w:tcW w:w="2212" w:type="pct"/>
          </w:tcPr>
          <w:p w14:paraId="02ED0585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78D6">
              <w:rPr>
                <w:rFonts w:ascii="Arial" w:hAnsi="Arial" w:cs="Arial"/>
                <w:lang w:val="en-GB"/>
              </w:rPr>
              <w:t>Reviewer’s comment</w:t>
            </w:r>
          </w:p>
          <w:p w14:paraId="59F979D6" w14:textId="77777777" w:rsidR="00AA07CF" w:rsidRPr="00E978D6" w:rsidRDefault="00AA07CF" w:rsidP="00AA07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78D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57792C30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78D6">
              <w:rPr>
                <w:rFonts w:ascii="Arial" w:hAnsi="Arial" w:cs="Arial"/>
                <w:lang w:val="en-GB"/>
              </w:rPr>
              <w:t>Author’s Feedback</w:t>
            </w:r>
            <w:r w:rsidRPr="00E978D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978D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AA07CF" w:rsidRPr="00E978D6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AA07CF" w:rsidRPr="00E978D6" w:rsidRDefault="00AA07CF" w:rsidP="00AA07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AA07CF" w:rsidRPr="00E978D6" w:rsidRDefault="00AA07CF" w:rsidP="00AA07C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AA07CF" w:rsidRPr="00E978D6" w:rsidRDefault="00AA07CF" w:rsidP="00AA07C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78D6">
              <w:rPr>
                <w:rFonts w:ascii="Arial" w:eastAsia="SimSun" w:hAnsi="Arial" w:cs="Arial"/>
                <w:sz w:val="20"/>
                <w:szCs w:val="20"/>
              </w:rPr>
              <w:t>This manuscript holds significant value for the scientific community as it explores a largely overlooked aspect of censorship in educational institutions during the Greek dictatorship of 1967–1974. By focusing on archival material from the Pedagogical Academy of Heraklion’s lending library, it offers a fresh perspective rooted in the methodology of 'history from below', emphasizing institutional rather than individual experiences.</w:t>
            </w:r>
          </w:p>
        </w:tc>
        <w:tc>
          <w:tcPr>
            <w:tcW w:w="1523" w:type="pct"/>
          </w:tcPr>
          <w:p w14:paraId="462A339C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A07CF" w:rsidRPr="00E978D6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AA07CF" w:rsidRPr="00E978D6" w:rsidRDefault="00AA07CF" w:rsidP="00AA07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AA07CF" w:rsidRPr="00E978D6" w:rsidRDefault="00AA07CF" w:rsidP="00AA07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AA07CF" w:rsidRPr="00E978D6" w:rsidRDefault="00AA07CF" w:rsidP="00AA07CF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>Yes. It's very Precise</w:t>
            </w:r>
          </w:p>
        </w:tc>
        <w:tc>
          <w:tcPr>
            <w:tcW w:w="1523" w:type="pct"/>
          </w:tcPr>
          <w:p w14:paraId="405B6701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A07CF" w:rsidRPr="00E978D6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AA07CF" w:rsidRPr="00E978D6" w:rsidRDefault="00AA07CF" w:rsidP="00AA07CF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978D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AA07CF" w:rsidRPr="00E978D6" w:rsidRDefault="00AA07CF" w:rsidP="00AA07CF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 xml:space="preserve">The abstract is comprehensive. Although it is quite extensive, I would suggest a </w:t>
            </w:r>
            <w:proofErr w:type="gramStart"/>
            <w:r w:rsidRPr="00E978D6">
              <w:rPr>
                <w:rFonts w:ascii="Arial" w:hAnsi="Arial" w:cs="Arial"/>
                <w:sz w:val="20"/>
                <w:szCs w:val="20"/>
              </w:rPr>
              <w:t>more brief</w:t>
            </w:r>
            <w:proofErr w:type="gramEnd"/>
            <w:r w:rsidRPr="00E978D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978D6">
              <w:rPr>
                <w:rFonts w:ascii="Arial" w:hAnsi="Arial" w:cs="Arial"/>
                <w:sz w:val="20"/>
                <w:szCs w:val="20"/>
              </w:rPr>
              <w:t>approach.It's</w:t>
            </w:r>
            <w:proofErr w:type="spellEnd"/>
            <w:proofErr w:type="gramEnd"/>
            <w:r w:rsidRPr="00E978D6">
              <w:rPr>
                <w:rFonts w:ascii="Arial" w:hAnsi="Arial" w:cs="Arial"/>
                <w:sz w:val="20"/>
                <w:szCs w:val="20"/>
              </w:rPr>
              <w:t xml:space="preserve"> very </w:t>
            </w:r>
            <w:proofErr w:type="gramStart"/>
            <w:r w:rsidRPr="00E978D6">
              <w:rPr>
                <w:rFonts w:ascii="Arial" w:hAnsi="Arial" w:cs="Arial"/>
                <w:sz w:val="20"/>
                <w:szCs w:val="20"/>
              </w:rPr>
              <w:t>mechanical ,</w:t>
            </w:r>
            <w:proofErr w:type="gramEnd"/>
            <w:r w:rsidRPr="00E978D6">
              <w:rPr>
                <w:rFonts w:ascii="Arial" w:hAnsi="Arial" w:cs="Arial"/>
                <w:sz w:val="20"/>
                <w:szCs w:val="20"/>
              </w:rPr>
              <w:t xml:space="preserve"> ending at precise 299 words. </w:t>
            </w:r>
          </w:p>
        </w:tc>
        <w:tc>
          <w:tcPr>
            <w:tcW w:w="1523" w:type="pct"/>
          </w:tcPr>
          <w:p w14:paraId="1D54B730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A07CF" w:rsidRPr="00E978D6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AA07CF" w:rsidRPr="00E978D6" w:rsidRDefault="00AA07CF" w:rsidP="00AA07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78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AA07CF" w:rsidRPr="00E978D6" w:rsidRDefault="00AA07CF" w:rsidP="00AA07C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A07CF" w:rsidRPr="00E978D6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AA07CF" w:rsidRPr="00E978D6" w:rsidRDefault="00AA07CF" w:rsidP="00AA07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AA07CF" w:rsidRPr="00E978D6" w:rsidRDefault="00AA07CF" w:rsidP="00AA07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78D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AA07CF" w:rsidRPr="00E978D6" w:rsidRDefault="00AA07CF" w:rsidP="00AA07C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>Its accurate for the written text</w:t>
            </w:r>
          </w:p>
        </w:tc>
        <w:tc>
          <w:tcPr>
            <w:tcW w:w="1523" w:type="pct"/>
          </w:tcPr>
          <w:p w14:paraId="40220055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A07CF" w:rsidRPr="00E978D6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AA07CF" w:rsidRPr="00E978D6" w:rsidRDefault="00AA07CF" w:rsidP="00AA07CF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978D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CBA4B2A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A07CF" w:rsidRPr="00E978D6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978D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978D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978D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AA07CF" w:rsidRPr="00E978D6" w:rsidRDefault="00AA07CF" w:rsidP="00AA07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AA07CF" w:rsidRPr="00E978D6" w:rsidRDefault="00AA07CF" w:rsidP="00AA07C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 xml:space="preserve">Introduction and literature </w:t>
            </w:r>
            <w:proofErr w:type="spellStart"/>
            <w:r w:rsidRPr="00E978D6">
              <w:rPr>
                <w:rFonts w:ascii="Arial" w:hAnsi="Arial" w:cs="Arial"/>
                <w:sz w:val="20"/>
                <w:szCs w:val="20"/>
              </w:rPr>
              <w:t>reviwe</w:t>
            </w:r>
            <w:proofErr w:type="spellEnd"/>
            <w:r w:rsidRPr="00E978D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78D6">
              <w:rPr>
                <w:rFonts w:ascii="Arial" w:hAnsi="Arial" w:cs="Arial"/>
                <w:sz w:val="20"/>
                <w:szCs w:val="20"/>
              </w:rPr>
              <w:t>can not</w:t>
            </w:r>
            <w:proofErr w:type="spellEnd"/>
            <w:r w:rsidRPr="00E978D6">
              <w:rPr>
                <w:rFonts w:ascii="Arial" w:hAnsi="Arial" w:cs="Arial"/>
                <w:sz w:val="20"/>
                <w:szCs w:val="20"/>
              </w:rPr>
              <w:t xml:space="preserve"> be at the same </w:t>
            </w:r>
            <w:proofErr w:type="spellStart"/>
            <w:proofErr w:type="gramStart"/>
            <w:r w:rsidRPr="00E978D6">
              <w:rPr>
                <w:rFonts w:ascii="Arial" w:hAnsi="Arial" w:cs="Arial"/>
                <w:sz w:val="20"/>
                <w:szCs w:val="20"/>
              </w:rPr>
              <w:t>place.It</w:t>
            </w:r>
            <w:proofErr w:type="spellEnd"/>
            <w:proofErr w:type="gramEnd"/>
            <w:r w:rsidRPr="00E978D6">
              <w:rPr>
                <w:rFonts w:ascii="Arial" w:hAnsi="Arial" w:cs="Arial"/>
                <w:sz w:val="20"/>
                <w:szCs w:val="20"/>
              </w:rPr>
              <w:t xml:space="preserve"> needs to differentiate category.</w:t>
            </w:r>
          </w:p>
          <w:p w14:paraId="1E8F9FEF" w14:textId="77777777" w:rsidR="00AA07CF" w:rsidRPr="00E978D6" w:rsidRDefault="00AA07CF" w:rsidP="00AA07C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 xml:space="preserve"> At” </w:t>
            </w:r>
            <w:proofErr w:type="gramStart"/>
            <w:r w:rsidRPr="00E978D6">
              <w:rPr>
                <w:rFonts w:ascii="Arial" w:hAnsi="Arial" w:cs="Arial"/>
                <w:sz w:val="20"/>
                <w:szCs w:val="20"/>
              </w:rPr>
              <w:t>Censorship  distinguished</w:t>
            </w:r>
            <w:proofErr w:type="gramEnd"/>
            <w:r w:rsidRPr="00E978D6">
              <w:rPr>
                <w:rFonts w:ascii="Arial" w:hAnsi="Arial" w:cs="Arial"/>
                <w:sz w:val="20"/>
                <w:szCs w:val="20"/>
              </w:rPr>
              <w:t xml:space="preserve"> into three sub-forms”- author should </w:t>
            </w:r>
            <w:proofErr w:type="spellStart"/>
            <w:r w:rsidRPr="00E978D6">
              <w:rPr>
                <w:rFonts w:ascii="Arial" w:hAnsi="Arial" w:cs="Arial"/>
                <w:sz w:val="20"/>
                <w:szCs w:val="20"/>
              </w:rPr>
              <w:t>inclued</w:t>
            </w:r>
            <w:proofErr w:type="spellEnd"/>
            <w:r w:rsidRPr="00E978D6">
              <w:rPr>
                <w:rFonts w:ascii="Arial" w:hAnsi="Arial" w:cs="Arial"/>
                <w:sz w:val="20"/>
                <w:szCs w:val="20"/>
              </w:rPr>
              <w:t xml:space="preserve"> the modern sub forms. That would give the readers a full view of the forms. </w:t>
            </w:r>
          </w:p>
          <w:p w14:paraId="59853321" w14:textId="77777777" w:rsidR="00AA07CF" w:rsidRPr="00E978D6" w:rsidRDefault="00AA07CF" w:rsidP="00AA07C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>At “French</w:t>
            </w:r>
            <w:r w:rsidRPr="00E978D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E978D6">
              <w:rPr>
                <w:rFonts w:ascii="Arial" w:hAnsi="Arial" w:cs="Arial"/>
                <w:sz w:val="20"/>
                <w:szCs w:val="20"/>
              </w:rPr>
              <w:t>philosopher's</w:t>
            </w:r>
            <w:r w:rsidRPr="00E978D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978D6">
              <w:rPr>
                <w:rFonts w:ascii="Arial" w:hAnsi="Arial" w:cs="Arial"/>
                <w:sz w:val="20"/>
                <w:szCs w:val="20"/>
              </w:rPr>
              <w:t>work”- state the name</w:t>
            </w:r>
          </w:p>
          <w:p w14:paraId="72ED8091" w14:textId="77777777" w:rsidR="00AA07CF" w:rsidRPr="00E978D6" w:rsidRDefault="00AA07CF" w:rsidP="00AA07C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>At” Research</w:t>
            </w:r>
            <w:r w:rsidRPr="00E978D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E978D6">
              <w:rPr>
                <w:rFonts w:ascii="Arial" w:hAnsi="Arial" w:cs="Arial"/>
                <w:spacing w:val="-2"/>
                <w:sz w:val="20"/>
                <w:szCs w:val="20"/>
              </w:rPr>
              <w:t xml:space="preserve">Problem one more problem can be added- </w:t>
            </w:r>
            <w:r w:rsidRPr="00E978D6">
              <w:rPr>
                <w:rFonts w:ascii="Arial" w:eastAsia="SimSun" w:hAnsi="Arial" w:cs="Arial"/>
                <w:sz w:val="20"/>
                <w:szCs w:val="20"/>
              </w:rPr>
              <w:t>How do informal mechanisms such as curriculum design, textbook selection, and classroom discourse contribute to the silent reproduction of censorship within education systems during politically repressive periods?</w:t>
            </w:r>
          </w:p>
          <w:p w14:paraId="3B44E2D5" w14:textId="77777777" w:rsidR="00AA07CF" w:rsidRPr="00E978D6" w:rsidRDefault="00AA07CF" w:rsidP="00AA07C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 xml:space="preserve">Research methodology is not clear. It should stat if its: quantitative, qualitative, or. mixed </w:t>
            </w:r>
            <w:proofErr w:type="spellStart"/>
            <w:proofErr w:type="gramStart"/>
            <w:r w:rsidRPr="00E978D6">
              <w:rPr>
                <w:rFonts w:ascii="Arial" w:hAnsi="Arial" w:cs="Arial"/>
                <w:sz w:val="20"/>
                <w:szCs w:val="20"/>
              </w:rPr>
              <w:t>methods.And</w:t>
            </w:r>
            <w:proofErr w:type="spellEnd"/>
            <w:proofErr w:type="gramEnd"/>
            <w:r w:rsidRPr="00E978D6">
              <w:rPr>
                <w:rFonts w:ascii="Arial" w:hAnsi="Arial" w:cs="Arial"/>
                <w:sz w:val="20"/>
                <w:szCs w:val="20"/>
              </w:rPr>
              <w:t xml:space="preserve"> explain in that method. </w:t>
            </w:r>
          </w:p>
          <w:p w14:paraId="5E946A0E" w14:textId="668AC48C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</w:rPr>
            </w:pPr>
            <w:r w:rsidRPr="00E978D6">
              <w:rPr>
                <w:rFonts w:ascii="Arial" w:hAnsi="Arial" w:cs="Arial"/>
                <w:sz w:val="20"/>
                <w:szCs w:val="20"/>
              </w:rPr>
              <w:t>6. The research Result should reflect the methodology</w:t>
            </w:r>
          </w:p>
          <w:p w14:paraId="7EB58C99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AA07CF" w:rsidRPr="00E978D6" w:rsidRDefault="00AA07CF" w:rsidP="00AA07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977F89" w:rsidRPr="00E978D6" w:rsidRDefault="00977F8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977F89" w:rsidRPr="00E978D6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977F89" w:rsidRPr="00E978D6" w:rsidRDefault="00D4689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978D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978D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977F89" w:rsidRPr="00E978D6" w:rsidRDefault="00977F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77F89" w:rsidRPr="00E978D6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977F89" w:rsidRPr="00E978D6" w:rsidRDefault="00977F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977F89" w:rsidRPr="00E978D6" w:rsidRDefault="00D4689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78D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977F89" w:rsidRPr="00E978D6" w:rsidRDefault="00D4689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78D6">
              <w:rPr>
                <w:rFonts w:ascii="Arial" w:hAnsi="Arial" w:cs="Arial"/>
                <w:lang w:val="en-GB"/>
              </w:rPr>
              <w:t>Author’s comment</w:t>
            </w:r>
            <w:r w:rsidRPr="00E978D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978D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977F89" w:rsidRPr="00E978D6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977F89" w:rsidRPr="00E978D6" w:rsidRDefault="00D4689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78D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977F89" w:rsidRPr="00E978D6" w:rsidRDefault="00977F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977F89" w:rsidRPr="00E978D6" w:rsidRDefault="00D4689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978D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978D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978D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3515B6B" w:rsidR="00977F89" w:rsidRPr="00E978D6" w:rsidRDefault="00977F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977F89" w:rsidRPr="00E978D6" w:rsidRDefault="00977F8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977F89" w:rsidRPr="00E978D6" w:rsidRDefault="00977F8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977F89" w:rsidRPr="00E978D6" w:rsidRDefault="00977F8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977F89" w:rsidRPr="00E978D6" w:rsidRDefault="00977F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977F89" w:rsidRDefault="00977F89">
      <w:pPr>
        <w:rPr>
          <w:rFonts w:ascii="Arial" w:hAnsi="Arial" w:cs="Arial"/>
          <w:b/>
          <w:sz w:val="20"/>
          <w:szCs w:val="20"/>
          <w:lang w:val="en-GB"/>
        </w:rPr>
      </w:pPr>
    </w:p>
    <w:p w14:paraId="1913A01F" w14:textId="77777777" w:rsidR="00E978D6" w:rsidRPr="00E56F46" w:rsidRDefault="00E978D6" w:rsidP="00E978D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0F27691" w14:textId="77777777" w:rsidR="00E978D6" w:rsidRPr="00E56F46" w:rsidRDefault="00E978D6" w:rsidP="00E978D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56F46">
        <w:rPr>
          <w:rFonts w:ascii="Arial" w:hAnsi="Arial" w:cs="Arial"/>
          <w:b/>
          <w:u w:val="single"/>
        </w:rPr>
        <w:t>Reviewer details:</w:t>
      </w:r>
    </w:p>
    <w:p w14:paraId="10BB6016" w14:textId="77777777" w:rsidR="00E978D6" w:rsidRPr="00E56F46" w:rsidRDefault="00E978D6" w:rsidP="00E978D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56F46">
        <w:rPr>
          <w:rFonts w:ascii="Arial" w:hAnsi="Arial" w:cs="Arial"/>
          <w:b/>
          <w:color w:val="000000"/>
        </w:rPr>
        <w:t xml:space="preserve">Sayan Sarkar, </w:t>
      </w:r>
      <w:proofErr w:type="spellStart"/>
      <w:r w:rsidRPr="00E56F46">
        <w:rPr>
          <w:rFonts w:ascii="Arial" w:hAnsi="Arial" w:cs="Arial"/>
          <w:b/>
          <w:color w:val="000000"/>
        </w:rPr>
        <w:t>Brainware</w:t>
      </w:r>
      <w:proofErr w:type="spellEnd"/>
      <w:r w:rsidRPr="00E56F46">
        <w:rPr>
          <w:rFonts w:ascii="Arial" w:hAnsi="Arial" w:cs="Arial"/>
          <w:b/>
          <w:color w:val="000000"/>
        </w:rPr>
        <w:t xml:space="preserve"> University, India</w:t>
      </w:r>
    </w:p>
    <w:p w14:paraId="7FC78248" w14:textId="77777777" w:rsidR="00E978D6" w:rsidRPr="00E978D6" w:rsidRDefault="00E978D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978D6" w:rsidRPr="00E978D6">
      <w:headerReference w:type="default" r:id="rId10"/>
      <w:footerReference w:type="default" r:id="rId11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E929" w14:textId="77777777" w:rsidR="00E0145C" w:rsidRDefault="00E0145C">
      <w:r>
        <w:separator/>
      </w:r>
    </w:p>
  </w:endnote>
  <w:endnote w:type="continuationSeparator" w:id="0">
    <w:p w14:paraId="702DE10D" w14:textId="77777777" w:rsidR="00E0145C" w:rsidRDefault="00E0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977F89" w:rsidRDefault="00D4689A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98D8" w14:textId="77777777" w:rsidR="00E0145C" w:rsidRDefault="00E0145C">
      <w:r>
        <w:separator/>
      </w:r>
    </w:p>
  </w:footnote>
  <w:footnote w:type="continuationSeparator" w:id="0">
    <w:p w14:paraId="3C52AA38" w14:textId="77777777" w:rsidR="00E0145C" w:rsidRDefault="00E01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977F89" w:rsidRDefault="00977F8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977F89" w:rsidRDefault="00977F8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977F89" w:rsidRDefault="00D4689A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6EDE1A"/>
    <w:multiLevelType w:val="singleLevel"/>
    <w:tmpl w:val="D86EDE1A"/>
    <w:lvl w:ilvl="0">
      <w:start w:val="1"/>
      <w:numFmt w:val="decimal"/>
      <w:suff w:val="space"/>
      <w:lvlText w:val="%1."/>
      <w:lvlJc w:val="left"/>
    </w:lvl>
  </w:abstractNum>
  <w:num w:numId="1" w16cid:durableId="75864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FB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F27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45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8E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048F"/>
    <w:rsid w:val="00942DEE"/>
    <w:rsid w:val="00944F67"/>
    <w:rsid w:val="009553EC"/>
    <w:rsid w:val="00955E45"/>
    <w:rsid w:val="00962B70"/>
    <w:rsid w:val="00967C62"/>
    <w:rsid w:val="00977F8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7C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7DB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28E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689A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45C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978D6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470D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1D3558C9"/>
    <w:rsid w:val="282A31F1"/>
    <w:rsid w:val="5D285C2A"/>
    <w:rsid w:val="78F3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3EBF85FC"/>
  <w15:docId w15:val="{FA32EBC2-B12A-4E12-9D04-9C838D2D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978D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language-literature-and-education-research-updates-vol-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57125/FED.2023.09.25.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508</Words>
  <Characters>2899</Characters>
  <Application>Microsoft Office Word</Application>
  <DocSecurity>0</DocSecurity>
  <Lines>24</Lines>
  <Paragraphs>6</Paragraphs>
  <ScaleCrop>false</ScaleCrop>
  <Company>HP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106</cp:revision>
  <dcterms:created xsi:type="dcterms:W3CDTF">2023-08-30T09:21:00Z</dcterms:created>
  <dcterms:modified xsi:type="dcterms:W3CDTF">2025-04-29T07:58:00Z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1033-12.2.0.20795</vt:lpwstr>
  </property>
  <property fmtid="{D5CDD505-2E9C-101B-9397-08002B2CF9AE}" pid="4" name="ICV">
    <vt:lpwstr>28107208F0F244F48B7BC125F0E32BD5_12</vt:lpwstr>
  </property>
</Properties>
</file>