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comments.xml" ContentType="application/vnd.openxmlformats-officedocument.wordprocessingml.comments+xml"/>
  <Override PartName="/word/theme/themeOverride1.xml" ContentType="application/vnd.openxmlformats-officedocument.themeOverride+xml"/>
  <Override PartName="/word/theme/themeOverride1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5F4" w:rsidRDefault="006A25F4" w:rsidP="00F0269A">
      <w:pPr>
        <w:spacing w:line="480" w:lineRule="auto"/>
        <w:jc w:val="center"/>
        <w:rPr>
          <w:rFonts w:ascii="Times New Roman" w:hAnsi="Times New Roman"/>
          <w:b/>
        </w:rPr>
      </w:pPr>
    </w:p>
    <w:p w:rsidR="000D02B9" w:rsidRPr="009A10E6" w:rsidRDefault="003E0D10" w:rsidP="00F0269A">
      <w:pPr>
        <w:spacing w:line="480" w:lineRule="auto"/>
        <w:jc w:val="center"/>
        <w:rPr>
          <w:rFonts w:ascii="Times New Roman" w:hAnsi="Times New Roman"/>
          <w:b/>
        </w:rPr>
      </w:pPr>
      <w:r w:rsidRPr="009A10E6">
        <w:rPr>
          <w:rFonts w:ascii="Times New Roman" w:hAnsi="Times New Roman"/>
          <w:b/>
        </w:rPr>
        <w:t xml:space="preserve">The ‘other academy’: the lending library of Heraklion’s </w:t>
      </w:r>
      <w:r w:rsidR="00FB5F6A" w:rsidRPr="009A10E6">
        <w:rPr>
          <w:rFonts w:ascii="Times New Roman" w:hAnsi="Times New Roman"/>
          <w:b/>
        </w:rPr>
        <w:t>Pedagog</w:t>
      </w:r>
      <w:r w:rsidR="009F2FF2" w:rsidRPr="009A10E6">
        <w:rPr>
          <w:rFonts w:ascii="Times New Roman" w:hAnsi="Times New Roman"/>
          <w:b/>
          <w:lang w:val="el-GR"/>
        </w:rPr>
        <w:t>ι</w:t>
      </w:r>
      <w:r w:rsidR="009F2FF2" w:rsidRPr="009A10E6">
        <w:rPr>
          <w:rFonts w:ascii="Times New Roman" w:hAnsi="Times New Roman"/>
          <w:b/>
        </w:rPr>
        <w:t>cal</w:t>
      </w:r>
      <w:r w:rsidRPr="009A10E6">
        <w:rPr>
          <w:rFonts w:ascii="Times New Roman" w:hAnsi="Times New Roman"/>
          <w:b/>
        </w:rPr>
        <w:t xml:space="preserve"> Academy during 1964-1967 and its role in </w:t>
      </w:r>
      <w:r w:rsidR="00684FDC" w:rsidRPr="009A10E6">
        <w:rPr>
          <w:rFonts w:ascii="Times New Roman" w:hAnsi="Times New Roman"/>
          <w:b/>
        </w:rPr>
        <w:t>student</w:t>
      </w:r>
      <w:r w:rsidRPr="009A10E6">
        <w:rPr>
          <w:rFonts w:ascii="Times New Roman" w:hAnsi="Times New Roman"/>
          <w:b/>
        </w:rPr>
        <w:t xml:space="preserve"> training</w:t>
      </w:r>
    </w:p>
    <w:p w:rsidR="00BC42F9" w:rsidRPr="009A10E6" w:rsidRDefault="00BC42F9" w:rsidP="006A25F4">
      <w:pPr>
        <w:spacing w:line="480" w:lineRule="auto"/>
        <w:rPr>
          <w:rFonts w:ascii="Times New Roman" w:hAnsi="Times New Roman"/>
          <w:b/>
        </w:rPr>
      </w:pPr>
    </w:p>
    <w:p w:rsidR="00BC42F9" w:rsidRPr="00BC42F9" w:rsidRDefault="00BC42F9" w:rsidP="00F0269A">
      <w:pPr>
        <w:spacing w:line="480" w:lineRule="auto"/>
        <w:rPr>
          <w:rFonts w:ascii="Times New Roman" w:hAnsi="Times New Roman"/>
          <w:b/>
          <w:lang w:val="el-GR"/>
        </w:rPr>
      </w:pPr>
      <w:r w:rsidRPr="00BC42F9">
        <w:rPr>
          <w:rFonts w:ascii="Times New Roman" w:hAnsi="Times New Roman"/>
          <w:b/>
          <w:iCs/>
        </w:rPr>
        <w:t>Abstract</w:t>
      </w:r>
    </w:p>
    <w:p w:rsidR="00BC42F9" w:rsidRPr="00BC42F9" w:rsidRDefault="00BC42F9" w:rsidP="00F0269A">
      <w:pPr>
        <w:spacing w:line="480" w:lineRule="auto"/>
        <w:jc w:val="both"/>
        <w:rPr>
          <w:rFonts w:ascii="Times New Roman" w:hAnsi="Times New Roman"/>
        </w:rPr>
      </w:pPr>
      <w:r w:rsidRPr="00BC42F9">
        <w:rPr>
          <w:rFonts w:ascii="Times New Roman" w:hAnsi="Times New Roman"/>
        </w:rPr>
        <w:t>This</w:t>
      </w:r>
      <w:r w:rsidR="004A27ED">
        <w:rPr>
          <w:rFonts w:ascii="Times New Roman" w:hAnsi="Times New Roman"/>
        </w:rPr>
        <w:t xml:space="preserve"> </w:t>
      </w:r>
      <w:commentRangeStart w:id="0"/>
      <w:r w:rsidRPr="00BC42F9">
        <w:rPr>
          <w:rFonts w:ascii="Times New Roman" w:hAnsi="Times New Roman"/>
        </w:rPr>
        <w:t>articl</w:t>
      </w:r>
      <w:r w:rsidR="001A0F73">
        <w:rPr>
          <w:rFonts w:ascii="Times New Roman" w:hAnsi="Times New Roman"/>
        </w:rPr>
        <w:t>e a</w:t>
      </w:r>
      <w:r w:rsidRPr="00BC42F9">
        <w:rPr>
          <w:rFonts w:ascii="Times New Roman" w:hAnsi="Times New Roman"/>
        </w:rPr>
        <w:t>ttempts to explore in an original way a much-discussed topic in the fiel</w:t>
      </w:r>
      <w:r w:rsidR="006810AA">
        <w:rPr>
          <w:rFonts w:ascii="Times New Roman" w:hAnsi="Times New Roman"/>
        </w:rPr>
        <w:t>d of educational historiography, namely the</w:t>
      </w:r>
      <w:r w:rsidRPr="00BC42F9">
        <w:rPr>
          <w:rFonts w:ascii="Times New Roman" w:hAnsi="Times New Roman"/>
        </w:rPr>
        <w:t xml:space="preserve"> characteristics of the teaching training received by the students of the Pedagogical Academies. </w:t>
      </w:r>
      <w:commentRangeEnd w:id="0"/>
      <w:r w:rsidR="001A0F73">
        <w:rPr>
          <w:rStyle w:val="CommentReference"/>
        </w:rPr>
        <w:commentReference w:id="0"/>
      </w:r>
      <w:r w:rsidRPr="00BC42F9">
        <w:rPr>
          <w:rFonts w:ascii="Times New Roman" w:hAnsi="Times New Roman"/>
        </w:rPr>
        <w:t>More specifically, this research focuses on the teaching studies provided by the Pedagogical Academy of Heraklion, Crete, Greece in the period 1964-1967</w:t>
      </w:r>
      <w:commentRangeStart w:id="1"/>
      <w:r w:rsidRPr="00BC42F9">
        <w:rPr>
          <w:rFonts w:ascii="Times New Roman" w:hAnsi="Times New Roman"/>
        </w:rPr>
        <w:t xml:space="preserve">. The noticeable difference of this research is found in its methodology, since it utilizes the method of the microhistorical approach. </w:t>
      </w:r>
      <w:commentRangeEnd w:id="1"/>
      <w:r w:rsidR="001A0F73">
        <w:rPr>
          <w:rStyle w:val="CommentReference"/>
        </w:rPr>
        <w:commentReference w:id="1"/>
      </w:r>
      <w:r w:rsidRPr="00BC42F9">
        <w:rPr>
          <w:rFonts w:ascii="Times New Roman" w:hAnsi="Times New Roman"/>
        </w:rPr>
        <w:t>A more detailed attempt is made to highlight the unmistakable aspects of teaching training through the study of the lending library of this institution, without which it is proved that complete conclusions do not emerge on the subject under consideration.</w:t>
      </w:r>
    </w:p>
    <w:p w:rsidR="00BC42F9" w:rsidRPr="00BC42F9" w:rsidRDefault="00BC42F9" w:rsidP="00F0269A">
      <w:pPr>
        <w:spacing w:line="480" w:lineRule="auto"/>
        <w:jc w:val="both"/>
        <w:rPr>
          <w:rFonts w:ascii="Times New Roman" w:hAnsi="Times New Roman"/>
          <w:b/>
          <w:color w:val="2F5496"/>
        </w:rPr>
      </w:pPr>
    </w:p>
    <w:p w:rsidR="002E04F1" w:rsidRPr="00C20F2C" w:rsidRDefault="002E04F1" w:rsidP="00F0269A">
      <w:pPr>
        <w:spacing w:line="480" w:lineRule="auto"/>
        <w:rPr>
          <w:rFonts w:ascii="Times New Roman" w:hAnsi="Times New Roman"/>
          <w:b/>
          <w:iCs/>
        </w:rPr>
      </w:pPr>
      <w:r w:rsidRPr="00C20F2C">
        <w:rPr>
          <w:rFonts w:ascii="Times New Roman" w:hAnsi="Times New Roman"/>
          <w:b/>
        </w:rPr>
        <w:t>Keywords</w:t>
      </w:r>
    </w:p>
    <w:p w:rsidR="002E04F1" w:rsidRPr="00CD368B" w:rsidRDefault="008235A7" w:rsidP="00F0269A">
      <w:pPr>
        <w:spacing w:line="480" w:lineRule="auto"/>
        <w:jc w:val="both"/>
        <w:rPr>
          <w:rFonts w:ascii="Times New Roman" w:hAnsi="Times New Roman"/>
        </w:rPr>
      </w:pPr>
      <w:r>
        <w:rPr>
          <w:rFonts w:ascii="Times New Roman" w:hAnsi="Times New Roman"/>
        </w:rPr>
        <w:t>m</w:t>
      </w:r>
      <w:r w:rsidR="002E04F1" w:rsidRPr="00CD368B">
        <w:rPr>
          <w:rFonts w:ascii="Times New Roman" w:hAnsi="Times New Roman"/>
        </w:rPr>
        <w:t>icrohistory, teacher training, sciences of education, pedagogical academy, lending library, bibliotype</w:t>
      </w:r>
    </w:p>
    <w:p w:rsidR="00BC42F9" w:rsidRPr="00BC42F9" w:rsidRDefault="00BC42F9" w:rsidP="00F0269A">
      <w:pPr>
        <w:spacing w:line="480" w:lineRule="auto"/>
        <w:jc w:val="both"/>
        <w:rPr>
          <w:rFonts w:ascii="Times New Roman" w:hAnsi="Times New Roman"/>
          <w:b/>
          <w:color w:val="2F5496"/>
        </w:rPr>
      </w:pPr>
    </w:p>
    <w:p w:rsidR="00BC42F9" w:rsidRDefault="00BC42F9" w:rsidP="00F0269A">
      <w:pPr>
        <w:spacing w:line="480" w:lineRule="auto"/>
        <w:jc w:val="both"/>
        <w:rPr>
          <w:rFonts w:ascii="Times New Roman" w:hAnsi="Times New Roman"/>
          <w:b/>
          <w:color w:val="2F5496"/>
        </w:rPr>
      </w:pPr>
    </w:p>
    <w:p w:rsidR="00E60B62" w:rsidRDefault="00E60B62" w:rsidP="00F0269A">
      <w:pPr>
        <w:spacing w:line="480" w:lineRule="auto"/>
        <w:jc w:val="both"/>
        <w:rPr>
          <w:rFonts w:ascii="Times New Roman" w:hAnsi="Times New Roman"/>
          <w:b/>
          <w:color w:val="2F5496"/>
        </w:rPr>
      </w:pPr>
    </w:p>
    <w:p w:rsidR="00E60B62" w:rsidRDefault="00E60B62" w:rsidP="00F0269A">
      <w:pPr>
        <w:spacing w:line="480" w:lineRule="auto"/>
        <w:jc w:val="both"/>
        <w:rPr>
          <w:rFonts w:ascii="Times New Roman" w:hAnsi="Times New Roman"/>
          <w:b/>
          <w:color w:val="2F5496"/>
        </w:rPr>
      </w:pPr>
    </w:p>
    <w:p w:rsidR="00E60B62" w:rsidRDefault="00E60B62" w:rsidP="00F0269A">
      <w:pPr>
        <w:spacing w:line="480" w:lineRule="auto"/>
        <w:jc w:val="both"/>
        <w:rPr>
          <w:rFonts w:ascii="Times New Roman" w:hAnsi="Times New Roman"/>
          <w:b/>
          <w:color w:val="2F5496"/>
        </w:rPr>
      </w:pPr>
    </w:p>
    <w:p w:rsidR="006A25F4" w:rsidRDefault="006A25F4" w:rsidP="00F0269A">
      <w:pPr>
        <w:spacing w:line="480" w:lineRule="auto"/>
        <w:jc w:val="both"/>
        <w:rPr>
          <w:rFonts w:ascii="Times New Roman" w:hAnsi="Times New Roman"/>
          <w:b/>
          <w:color w:val="2F5496"/>
        </w:rPr>
      </w:pPr>
    </w:p>
    <w:p w:rsidR="00E60B62" w:rsidRPr="00BC42F9" w:rsidRDefault="00E60B62" w:rsidP="00F0269A">
      <w:pPr>
        <w:spacing w:line="480" w:lineRule="auto"/>
        <w:jc w:val="both"/>
        <w:rPr>
          <w:rFonts w:ascii="Times New Roman" w:hAnsi="Times New Roman"/>
          <w:b/>
          <w:color w:val="2F5496"/>
        </w:rPr>
      </w:pPr>
    </w:p>
    <w:p w:rsidR="003E0D10" w:rsidRPr="006A25F4" w:rsidRDefault="003E0D10" w:rsidP="00F0269A">
      <w:pPr>
        <w:spacing w:line="480" w:lineRule="auto"/>
        <w:jc w:val="both"/>
        <w:rPr>
          <w:rFonts w:ascii="Times New Roman" w:hAnsi="Times New Roman"/>
          <w:b/>
          <w:color w:val="2F5496"/>
        </w:rPr>
      </w:pPr>
      <w:r w:rsidRPr="009A10E6">
        <w:rPr>
          <w:rFonts w:ascii="Times New Roman" w:hAnsi="Times New Roman"/>
          <w:b/>
          <w:color w:val="2F5496"/>
        </w:rPr>
        <w:lastRenderedPageBreak/>
        <w:t>INTRODUCTION</w:t>
      </w:r>
    </w:p>
    <w:p w:rsidR="003E0D10" w:rsidRPr="009A10E6" w:rsidRDefault="001D03AA" w:rsidP="00F0269A">
      <w:pPr>
        <w:spacing w:line="480" w:lineRule="auto"/>
        <w:ind w:firstLine="709"/>
        <w:jc w:val="both"/>
        <w:rPr>
          <w:rFonts w:ascii="Times New Roman" w:eastAsia="Times New Roman" w:hAnsi="Times New Roman"/>
        </w:rPr>
      </w:pPr>
      <w:r w:rsidRPr="009A10E6">
        <w:rPr>
          <w:rFonts w:ascii="Times New Roman" w:hAnsi="Times New Roman"/>
        </w:rPr>
        <w:t xml:space="preserve">Teacher training content has been a major concern in the </w:t>
      </w:r>
      <w:r w:rsidR="007F7884" w:rsidRPr="009A10E6">
        <w:rPr>
          <w:rFonts w:ascii="Times New Roman" w:hAnsi="Times New Roman"/>
        </w:rPr>
        <w:t xml:space="preserve">field of the history </w:t>
      </w:r>
      <w:r w:rsidR="00986200" w:rsidRPr="009A10E6">
        <w:rPr>
          <w:rFonts w:ascii="Times New Roman" w:hAnsi="Times New Roman"/>
        </w:rPr>
        <w:t>of modern</w:t>
      </w:r>
      <w:r w:rsidR="007F7884" w:rsidRPr="009A10E6">
        <w:rPr>
          <w:rFonts w:ascii="Times New Roman" w:hAnsi="Times New Roman"/>
        </w:rPr>
        <w:t xml:space="preserve"> </w:t>
      </w:r>
      <w:r w:rsidR="009E779B" w:rsidRPr="009A10E6">
        <w:rPr>
          <w:rFonts w:ascii="Times New Roman" w:hAnsi="Times New Roman"/>
        </w:rPr>
        <w:t>Greek</w:t>
      </w:r>
      <w:r w:rsidRPr="009A10E6">
        <w:rPr>
          <w:rFonts w:ascii="Times New Roman" w:hAnsi="Times New Roman"/>
        </w:rPr>
        <w:t xml:space="preserve"> education. Defining </w:t>
      </w:r>
      <w:r w:rsidR="007F7884" w:rsidRPr="009A10E6">
        <w:rPr>
          <w:rFonts w:ascii="Times New Roman" w:hAnsi="Times New Roman"/>
        </w:rPr>
        <w:t xml:space="preserve">this kind of </w:t>
      </w:r>
      <w:r w:rsidRPr="009A10E6">
        <w:rPr>
          <w:rFonts w:ascii="Times New Roman" w:hAnsi="Times New Roman"/>
        </w:rPr>
        <w:t xml:space="preserve">training </w:t>
      </w:r>
      <w:r w:rsidR="007F7884" w:rsidRPr="009A10E6">
        <w:rPr>
          <w:rFonts w:ascii="Times New Roman" w:hAnsi="Times New Roman"/>
        </w:rPr>
        <w:t xml:space="preserve">contents </w:t>
      </w:r>
      <w:r w:rsidRPr="009A10E6">
        <w:rPr>
          <w:rFonts w:ascii="Times New Roman" w:hAnsi="Times New Roman"/>
        </w:rPr>
        <w:t>seems to have been a matter of significant consideration for political leaders. Giroux (</w:t>
      </w:r>
      <w:r w:rsidRPr="009A10E6">
        <w:rPr>
          <w:rFonts w:ascii="Times New Roman" w:eastAsia="Times New Roman" w:hAnsi="Times New Roman"/>
        </w:rPr>
        <w:t xml:space="preserve">1981:143-157) has stated that issues of teacher training appear as </w:t>
      </w:r>
      <w:r w:rsidR="007F7884" w:rsidRPr="009A10E6">
        <w:rPr>
          <w:rFonts w:ascii="Times New Roman" w:eastAsia="Times New Roman" w:hAnsi="Times New Roman"/>
        </w:rPr>
        <w:t xml:space="preserve">ideologically </w:t>
      </w:r>
      <w:r w:rsidRPr="009A10E6">
        <w:rPr>
          <w:rFonts w:ascii="Times New Roman" w:eastAsia="Times New Roman" w:hAnsi="Times New Roman"/>
        </w:rPr>
        <w:t xml:space="preserve">neutral to the common understanding, since </w:t>
      </w:r>
      <w:r w:rsidR="00664E64" w:rsidRPr="009A10E6">
        <w:rPr>
          <w:rFonts w:ascii="Times New Roman" w:eastAsia="Times New Roman" w:hAnsi="Times New Roman"/>
        </w:rPr>
        <w:t xml:space="preserve">they </w:t>
      </w:r>
      <w:r w:rsidR="007F7884" w:rsidRPr="009A10E6">
        <w:rPr>
          <w:rFonts w:ascii="Times New Roman" w:eastAsia="Times New Roman" w:hAnsi="Times New Roman"/>
        </w:rPr>
        <w:t>consist a major</w:t>
      </w:r>
      <w:r w:rsidR="00664E64" w:rsidRPr="009A10E6">
        <w:rPr>
          <w:rFonts w:ascii="Times New Roman" w:eastAsia="Times New Roman" w:hAnsi="Times New Roman"/>
        </w:rPr>
        <w:t xml:space="preserve"> prerequisite in bringing to life many socio-economical parties’ essential need for the creation of a better society. </w:t>
      </w:r>
      <w:r w:rsidR="00664E64" w:rsidRPr="000E06D6">
        <w:rPr>
          <w:rFonts w:ascii="Times New Roman" w:eastAsia="Times New Roman" w:hAnsi="Times New Roman"/>
        </w:rPr>
        <w:t xml:space="preserve">However, teacher training programs work under the auspices of political, </w:t>
      </w:r>
      <w:r w:rsidR="00887C85" w:rsidRPr="000E06D6">
        <w:rPr>
          <w:rFonts w:ascii="Times New Roman" w:eastAsia="Times New Roman" w:hAnsi="Times New Roman"/>
        </w:rPr>
        <w:t>economic</w:t>
      </w:r>
      <w:r w:rsidR="00D70BB1" w:rsidRPr="000E06D6">
        <w:rPr>
          <w:rFonts w:ascii="Times New Roman" w:eastAsia="Times New Roman" w:hAnsi="Times New Roman"/>
        </w:rPr>
        <w:t xml:space="preserve"> and social institutions</w:t>
      </w:r>
      <w:r w:rsidR="000E06D6">
        <w:rPr>
          <w:rFonts w:ascii="Times New Roman" w:eastAsia="Times New Roman" w:hAnsi="Times New Roman"/>
        </w:rPr>
        <w:t xml:space="preserve"> and</w:t>
      </w:r>
      <w:r w:rsidR="007F7884" w:rsidRPr="009A10E6">
        <w:rPr>
          <w:rFonts w:ascii="Times New Roman" w:eastAsia="Times New Roman" w:hAnsi="Times New Roman"/>
        </w:rPr>
        <w:t xml:space="preserve"> silently participate</w:t>
      </w:r>
      <w:r w:rsidR="00664E64" w:rsidRPr="009A10E6">
        <w:rPr>
          <w:rFonts w:ascii="Times New Roman" w:eastAsia="Times New Roman" w:hAnsi="Times New Roman"/>
        </w:rPr>
        <w:t xml:space="preserve"> in the class selection process that occurs in school settings, while not allowing students the opportunity to observe how their professional expertise is not neutral as such.</w:t>
      </w:r>
    </w:p>
    <w:p w:rsidR="00AC30DD" w:rsidRPr="009A10E6" w:rsidRDefault="00887C85" w:rsidP="00F0269A">
      <w:pPr>
        <w:spacing w:line="480" w:lineRule="auto"/>
        <w:ind w:firstLine="709"/>
        <w:jc w:val="both"/>
        <w:rPr>
          <w:rFonts w:ascii="Times New Roman" w:hAnsi="Times New Roman"/>
        </w:rPr>
      </w:pPr>
      <w:commentRangeStart w:id="2"/>
      <w:r w:rsidRPr="009A10E6">
        <w:rPr>
          <w:rFonts w:ascii="Times New Roman" w:hAnsi="Times New Roman"/>
        </w:rPr>
        <w:t xml:space="preserve">In the present work we will look into </w:t>
      </w:r>
      <w:commentRangeEnd w:id="2"/>
      <w:r w:rsidR="00960ADB">
        <w:rPr>
          <w:rStyle w:val="CommentReference"/>
        </w:rPr>
        <w:commentReference w:id="2"/>
      </w:r>
      <w:r w:rsidRPr="009A10E6">
        <w:rPr>
          <w:rFonts w:ascii="Times New Roman" w:hAnsi="Times New Roman"/>
        </w:rPr>
        <w:t xml:space="preserve">this issue in terms of </w:t>
      </w:r>
      <w:r w:rsidR="000E06D6">
        <w:rPr>
          <w:rFonts w:ascii="Times New Roman" w:hAnsi="Times New Roman"/>
        </w:rPr>
        <w:t>teacher</w:t>
      </w:r>
      <w:r w:rsidRPr="009A10E6">
        <w:rPr>
          <w:rFonts w:ascii="Times New Roman" w:hAnsi="Times New Roman"/>
        </w:rPr>
        <w:t xml:space="preserve"> training programs</w:t>
      </w:r>
      <w:r w:rsidR="00AC30DD" w:rsidRPr="009A10E6">
        <w:rPr>
          <w:rFonts w:ascii="Times New Roman" w:hAnsi="Times New Roman"/>
        </w:rPr>
        <w:t xml:space="preserve"> in Greece</w:t>
      </w:r>
      <w:r w:rsidRPr="009A10E6">
        <w:rPr>
          <w:rFonts w:ascii="Times New Roman" w:hAnsi="Times New Roman"/>
        </w:rPr>
        <w:t>, focusing on the period between</w:t>
      </w:r>
      <w:r w:rsidR="00AC30DD" w:rsidRPr="009A10E6">
        <w:rPr>
          <w:rFonts w:ascii="Times New Roman" w:hAnsi="Times New Roman"/>
        </w:rPr>
        <w:t xml:space="preserve"> years</w:t>
      </w:r>
      <w:r w:rsidRPr="009A10E6">
        <w:rPr>
          <w:rFonts w:ascii="Times New Roman" w:hAnsi="Times New Roman"/>
        </w:rPr>
        <w:t xml:space="preserve"> 1964-1967. The reason for </w:t>
      </w:r>
      <w:commentRangeStart w:id="3"/>
      <w:r w:rsidRPr="009A10E6">
        <w:rPr>
          <w:rFonts w:ascii="Times New Roman" w:hAnsi="Times New Roman"/>
        </w:rPr>
        <w:t>choosing</w:t>
      </w:r>
      <w:commentRangeEnd w:id="3"/>
      <w:r w:rsidR="00986200">
        <w:rPr>
          <w:rStyle w:val="CommentReference"/>
        </w:rPr>
        <w:commentReference w:id="3"/>
      </w:r>
      <w:r w:rsidRPr="009A10E6">
        <w:rPr>
          <w:rFonts w:ascii="Times New Roman" w:hAnsi="Times New Roman"/>
        </w:rPr>
        <w:t xml:space="preserve"> that particular time period is due to the reforms </w:t>
      </w:r>
      <w:r w:rsidR="00AC30DD" w:rsidRPr="009A10E6">
        <w:rPr>
          <w:rFonts w:ascii="Times New Roman" w:hAnsi="Times New Roman"/>
        </w:rPr>
        <w:t>of</w:t>
      </w:r>
      <w:r w:rsidRPr="009A10E6">
        <w:rPr>
          <w:rFonts w:ascii="Times New Roman" w:hAnsi="Times New Roman"/>
        </w:rPr>
        <w:t xml:space="preserve"> the government which remained </w:t>
      </w:r>
      <w:r w:rsidR="00AC30DD" w:rsidRPr="009A10E6">
        <w:rPr>
          <w:rFonts w:ascii="Times New Roman" w:hAnsi="Times New Roman"/>
        </w:rPr>
        <w:t>in place and shaped teacher education till the political changes enforced in 1967</w:t>
      </w:r>
      <w:r w:rsidR="00260244" w:rsidRPr="009A10E6">
        <w:rPr>
          <w:rFonts w:ascii="Times New Roman" w:hAnsi="Times New Roman"/>
        </w:rPr>
        <w:t xml:space="preserve"> (</w:t>
      </w:r>
      <w:r w:rsidR="000E06D6" w:rsidRPr="009A10E6">
        <w:rPr>
          <w:rFonts w:ascii="Times New Roman" w:hAnsi="Times New Roman"/>
        </w:rPr>
        <w:t>Greek</w:t>
      </w:r>
      <w:r w:rsidR="00260244" w:rsidRPr="009A10E6">
        <w:rPr>
          <w:rFonts w:ascii="Times New Roman" w:hAnsi="Times New Roman"/>
        </w:rPr>
        <w:t xml:space="preserve"> dictatorship)</w:t>
      </w:r>
      <w:r w:rsidR="00AC30DD" w:rsidRPr="009A10E6">
        <w:rPr>
          <w:rFonts w:ascii="Times New Roman" w:hAnsi="Times New Roman"/>
        </w:rPr>
        <w:t xml:space="preserve">. </w:t>
      </w:r>
    </w:p>
    <w:p w:rsidR="00AC30DD" w:rsidRPr="009A10E6" w:rsidRDefault="000E06D6" w:rsidP="00F0269A">
      <w:pPr>
        <w:spacing w:line="480" w:lineRule="auto"/>
        <w:ind w:firstLine="709"/>
        <w:jc w:val="both"/>
        <w:rPr>
          <w:rFonts w:ascii="Times New Roman" w:hAnsi="Times New Roman"/>
        </w:rPr>
      </w:pPr>
      <w:r>
        <w:rPr>
          <w:rFonts w:ascii="Times New Roman" w:hAnsi="Times New Roman"/>
        </w:rPr>
        <w:t>We</w:t>
      </w:r>
      <w:r w:rsidR="00AC30DD" w:rsidRPr="009A10E6">
        <w:rPr>
          <w:rFonts w:ascii="Times New Roman" w:hAnsi="Times New Roman"/>
        </w:rPr>
        <w:t xml:space="preserve"> will </w:t>
      </w:r>
      <w:r w:rsidR="006139BA" w:rsidRPr="009A10E6">
        <w:rPr>
          <w:rFonts w:ascii="Times New Roman" w:hAnsi="Times New Roman"/>
        </w:rPr>
        <w:t>attempt to compare the results of a preliminary evaluation of the 1964-1967</w:t>
      </w:r>
      <w:r w:rsidR="007D20E1" w:rsidRPr="009A10E6">
        <w:rPr>
          <w:rFonts w:ascii="Times New Roman" w:hAnsi="Times New Roman"/>
        </w:rPr>
        <w:t xml:space="preserve"> </w:t>
      </w:r>
      <w:r w:rsidR="009E779B" w:rsidRPr="009A10E6">
        <w:rPr>
          <w:rFonts w:ascii="Times New Roman" w:hAnsi="Times New Roman"/>
        </w:rPr>
        <w:t>Greek</w:t>
      </w:r>
      <w:r w:rsidR="007D20E1" w:rsidRPr="009A10E6">
        <w:rPr>
          <w:rFonts w:ascii="Times New Roman" w:hAnsi="Times New Roman"/>
        </w:rPr>
        <w:t xml:space="preserve"> educational</w:t>
      </w:r>
      <w:r w:rsidR="006139BA" w:rsidRPr="009A10E6">
        <w:rPr>
          <w:rFonts w:ascii="Times New Roman" w:hAnsi="Times New Roman"/>
        </w:rPr>
        <w:t xml:space="preserve"> reforms in terms of teacher training programs in relation to, an often neglected parameter in teacher education, that of the lending library. </w:t>
      </w:r>
      <w:commentRangeStart w:id="4"/>
      <w:r w:rsidR="006139BA" w:rsidRPr="009A10E6">
        <w:rPr>
          <w:rFonts w:ascii="Times New Roman" w:hAnsi="Times New Roman"/>
        </w:rPr>
        <w:t xml:space="preserve">The present research </w:t>
      </w:r>
      <w:commentRangeEnd w:id="4"/>
      <w:r w:rsidR="007C3811">
        <w:rPr>
          <w:rStyle w:val="CommentReference"/>
        </w:rPr>
        <w:commentReference w:id="4"/>
      </w:r>
      <w:commentRangeStart w:id="5"/>
      <w:r w:rsidR="006139BA" w:rsidRPr="009A10E6">
        <w:rPr>
          <w:rFonts w:ascii="Times New Roman" w:hAnsi="Times New Roman"/>
        </w:rPr>
        <w:t>centers</w:t>
      </w:r>
      <w:commentRangeEnd w:id="5"/>
      <w:r w:rsidR="007C3811">
        <w:rPr>
          <w:rStyle w:val="CommentReference"/>
        </w:rPr>
        <w:commentReference w:id="5"/>
      </w:r>
      <w:r w:rsidR="006139BA" w:rsidRPr="009A10E6">
        <w:rPr>
          <w:rFonts w:ascii="Times New Roman" w:hAnsi="Times New Roman"/>
        </w:rPr>
        <w:t xml:space="preserve"> on the lending library of </w:t>
      </w:r>
      <w:commentRangeStart w:id="6"/>
      <w:r w:rsidR="00CC2C78">
        <w:rPr>
          <w:rFonts w:ascii="Times New Roman" w:hAnsi="Times New Roman"/>
        </w:rPr>
        <w:t>PAH</w:t>
      </w:r>
      <w:commentRangeEnd w:id="6"/>
      <w:r w:rsidR="00C91789">
        <w:rPr>
          <w:rStyle w:val="CommentReference"/>
        </w:rPr>
        <w:commentReference w:id="6"/>
      </w:r>
      <w:r w:rsidR="006608DA" w:rsidRPr="009A10E6">
        <w:rPr>
          <w:rFonts w:ascii="Times New Roman" w:hAnsi="Times New Roman"/>
          <w:lang w:eastAsia="el-GR"/>
        </w:rPr>
        <w:t>,</w:t>
      </w:r>
      <w:r w:rsidR="006139BA" w:rsidRPr="009A10E6">
        <w:rPr>
          <w:rFonts w:ascii="Times New Roman" w:hAnsi="Times New Roman"/>
        </w:rPr>
        <w:t xml:space="preserve"> which, as will be shown, played the part of </w:t>
      </w:r>
      <w:r w:rsidR="007D20E1" w:rsidRPr="009A10E6">
        <w:rPr>
          <w:rFonts w:ascii="Times New Roman" w:hAnsi="Times New Roman"/>
        </w:rPr>
        <w:t>the</w:t>
      </w:r>
      <w:r w:rsidR="006139BA" w:rsidRPr="009A10E6">
        <w:rPr>
          <w:rFonts w:ascii="Times New Roman" w:hAnsi="Times New Roman"/>
        </w:rPr>
        <w:t xml:space="preserve"> ‘other academy’, since its study reveals evidence that doesn’t agree with the conclusions drawn from rest of the bibliography </w:t>
      </w:r>
      <w:r w:rsidR="007D20E1" w:rsidRPr="009A10E6">
        <w:rPr>
          <w:rFonts w:ascii="Times New Roman" w:hAnsi="Times New Roman"/>
        </w:rPr>
        <w:t>about</w:t>
      </w:r>
      <w:r w:rsidR="006139BA" w:rsidRPr="009A10E6">
        <w:rPr>
          <w:rFonts w:ascii="Times New Roman" w:hAnsi="Times New Roman"/>
        </w:rPr>
        <w:t xml:space="preserve"> that period.</w:t>
      </w:r>
    </w:p>
    <w:p w:rsidR="006139BA" w:rsidRPr="009A10E6" w:rsidRDefault="006139BA" w:rsidP="00F0269A">
      <w:pPr>
        <w:spacing w:line="480" w:lineRule="auto"/>
        <w:ind w:firstLine="709"/>
        <w:jc w:val="both"/>
        <w:rPr>
          <w:rFonts w:ascii="Times New Roman" w:hAnsi="Times New Roman"/>
        </w:rPr>
      </w:pPr>
    </w:p>
    <w:p w:rsidR="006139BA" w:rsidRPr="009A10E6" w:rsidRDefault="006139BA" w:rsidP="00F0269A">
      <w:pPr>
        <w:spacing w:line="480" w:lineRule="auto"/>
        <w:ind w:firstLine="709"/>
        <w:jc w:val="both"/>
        <w:rPr>
          <w:rFonts w:ascii="Times New Roman" w:hAnsi="Times New Roman"/>
        </w:rPr>
      </w:pPr>
    </w:p>
    <w:p w:rsidR="0081012F" w:rsidRDefault="0081012F" w:rsidP="00F0269A">
      <w:pPr>
        <w:spacing w:line="480" w:lineRule="auto"/>
        <w:jc w:val="both"/>
        <w:rPr>
          <w:rFonts w:ascii="Times New Roman" w:hAnsi="Times New Roman"/>
          <w:b/>
          <w:color w:val="2F5496"/>
        </w:rPr>
      </w:pPr>
    </w:p>
    <w:p w:rsidR="006A25F4" w:rsidRDefault="006A25F4" w:rsidP="007C3811">
      <w:pPr>
        <w:spacing w:line="480" w:lineRule="auto"/>
        <w:jc w:val="both"/>
        <w:rPr>
          <w:rFonts w:ascii="Times New Roman" w:hAnsi="Times New Roman"/>
          <w:b/>
          <w:color w:val="2F5496"/>
        </w:rPr>
      </w:pPr>
    </w:p>
    <w:p w:rsidR="006A25F4" w:rsidRDefault="006A25F4" w:rsidP="007C3811">
      <w:pPr>
        <w:spacing w:line="480" w:lineRule="auto"/>
        <w:jc w:val="both"/>
        <w:rPr>
          <w:rFonts w:ascii="Times New Roman" w:hAnsi="Times New Roman"/>
          <w:b/>
          <w:color w:val="2F5496"/>
        </w:rPr>
      </w:pPr>
    </w:p>
    <w:p w:rsidR="006139BA" w:rsidRPr="007C3811" w:rsidRDefault="006139BA" w:rsidP="007C3811">
      <w:pPr>
        <w:spacing w:line="480" w:lineRule="auto"/>
        <w:jc w:val="both"/>
        <w:rPr>
          <w:rFonts w:ascii="Times New Roman" w:hAnsi="Times New Roman"/>
          <w:b/>
          <w:color w:val="2F5496"/>
        </w:rPr>
      </w:pPr>
      <w:r w:rsidRPr="009A10E6">
        <w:rPr>
          <w:rFonts w:ascii="Times New Roman" w:hAnsi="Times New Roman"/>
          <w:b/>
          <w:color w:val="2F5496"/>
        </w:rPr>
        <w:lastRenderedPageBreak/>
        <w:t xml:space="preserve">The international </w:t>
      </w:r>
      <w:r w:rsidR="006D6FCD" w:rsidRPr="009A10E6">
        <w:rPr>
          <w:rFonts w:ascii="Times New Roman" w:hAnsi="Times New Roman"/>
          <w:b/>
          <w:color w:val="2F5496"/>
        </w:rPr>
        <w:t>paradigm</w:t>
      </w:r>
    </w:p>
    <w:p w:rsidR="00DE7791" w:rsidRPr="009A10E6" w:rsidRDefault="00640376" w:rsidP="00F0269A">
      <w:pPr>
        <w:spacing w:line="480" w:lineRule="auto"/>
        <w:ind w:firstLine="709"/>
        <w:jc w:val="both"/>
        <w:rPr>
          <w:rFonts w:ascii="Times New Roman" w:hAnsi="Times New Roman"/>
        </w:rPr>
      </w:pPr>
      <w:r w:rsidRPr="009A10E6">
        <w:rPr>
          <w:rFonts w:ascii="Times New Roman" w:hAnsi="Times New Roman"/>
        </w:rPr>
        <w:t>Aside from the political changes that took place in the country and brought a breath of fresh air to its education</w:t>
      </w:r>
      <w:r w:rsidR="006608DA" w:rsidRPr="009A10E6">
        <w:rPr>
          <w:rStyle w:val="FootnoteReference"/>
          <w:rFonts w:ascii="Times New Roman" w:hAnsi="Times New Roman"/>
          <w:lang w:eastAsia="el-GR"/>
        </w:rPr>
        <w:footnoteReference w:id="2"/>
      </w:r>
      <w:r w:rsidRPr="009A10E6">
        <w:rPr>
          <w:rFonts w:ascii="Times New Roman" w:hAnsi="Times New Roman"/>
        </w:rPr>
        <w:t xml:space="preserve">, it is worthwhile to also take a look </w:t>
      </w:r>
      <w:commentRangeStart w:id="7"/>
      <w:r w:rsidRPr="009A10E6">
        <w:rPr>
          <w:rFonts w:ascii="Times New Roman" w:hAnsi="Times New Roman"/>
        </w:rPr>
        <w:t>to</w:t>
      </w:r>
      <w:commentRangeEnd w:id="7"/>
      <w:r w:rsidR="007C3811">
        <w:rPr>
          <w:rStyle w:val="CommentReference"/>
        </w:rPr>
        <w:commentReference w:id="7"/>
      </w:r>
      <w:r w:rsidRPr="009A10E6">
        <w:rPr>
          <w:rFonts w:ascii="Times New Roman" w:hAnsi="Times New Roman"/>
        </w:rPr>
        <w:t xml:space="preserve"> the international e</w:t>
      </w:r>
      <w:r w:rsidR="00581954">
        <w:rPr>
          <w:rFonts w:ascii="Times New Roman" w:hAnsi="Times New Roman"/>
        </w:rPr>
        <w:t>pistemological context</w:t>
      </w:r>
      <w:r w:rsidRPr="009A10E6">
        <w:rPr>
          <w:rFonts w:ascii="Times New Roman" w:hAnsi="Times New Roman"/>
        </w:rPr>
        <w:t xml:space="preserve">. </w:t>
      </w:r>
      <w:r w:rsidR="00DE7791" w:rsidRPr="009A10E6">
        <w:rPr>
          <w:rFonts w:ascii="Times New Roman" w:hAnsi="Times New Roman"/>
        </w:rPr>
        <w:t xml:space="preserve">In other words, the years until 1967 were marked by important changes regarding the shaping of the sciences of education, or, more specifically, to the transition from a science of pedagogy to the sciences of education. This evolution influenced the main epistemological view of the field and gave rise to the various </w:t>
      </w:r>
      <w:r w:rsidR="008D4C0E" w:rsidRPr="009A10E6">
        <w:rPr>
          <w:rFonts w:ascii="Times New Roman" w:hAnsi="Times New Roman"/>
        </w:rPr>
        <w:t xml:space="preserve">scientific </w:t>
      </w:r>
      <w:r w:rsidR="00DE7791" w:rsidRPr="009A10E6">
        <w:rPr>
          <w:rFonts w:ascii="Times New Roman" w:hAnsi="Times New Roman"/>
        </w:rPr>
        <w:t>subjects that enriched pedagogical research with new tools.</w:t>
      </w:r>
    </w:p>
    <w:p w:rsidR="00581954" w:rsidRDefault="00581954" w:rsidP="00F0269A">
      <w:pPr>
        <w:spacing w:line="480" w:lineRule="auto"/>
        <w:ind w:firstLine="709"/>
        <w:jc w:val="both"/>
        <w:rPr>
          <w:rFonts w:ascii="Times New Roman" w:hAnsi="Times New Roman"/>
        </w:rPr>
      </w:pPr>
      <w:r>
        <w:rPr>
          <w:rFonts w:ascii="Times New Roman" w:hAnsi="Times New Roman"/>
        </w:rPr>
        <w:t xml:space="preserve">In the </w:t>
      </w:r>
      <w:commentRangeStart w:id="8"/>
      <w:r>
        <w:rPr>
          <w:rFonts w:ascii="Times New Roman" w:hAnsi="Times New Roman"/>
        </w:rPr>
        <w:t>years</w:t>
      </w:r>
      <w:commentRangeEnd w:id="8"/>
      <w:r w:rsidR="007C3811">
        <w:rPr>
          <w:rStyle w:val="CommentReference"/>
        </w:rPr>
        <w:commentReference w:id="8"/>
      </w:r>
      <w:r>
        <w:rPr>
          <w:rFonts w:ascii="Times New Roman" w:hAnsi="Times New Roman"/>
        </w:rPr>
        <w:t xml:space="preserve"> </w:t>
      </w:r>
      <w:commentRangeStart w:id="9"/>
      <w:r>
        <w:rPr>
          <w:rFonts w:ascii="Times New Roman" w:hAnsi="Times New Roman"/>
        </w:rPr>
        <w:t>preceding</w:t>
      </w:r>
      <w:commentRangeEnd w:id="9"/>
      <w:r w:rsidR="00960ADB">
        <w:rPr>
          <w:rStyle w:val="CommentReference"/>
        </w:rPr>
        <w:commentReference w:id="9"/>
      </w:r>
      <w:r w:rsidR="007C3811">
        <w:rPr>
          <w:rFonts w:ascii="Times New Roman" w:hAnsi="Times New Roman"/>
        </w:rPr>
        <w:t xml:space="preserve"> </w:t>
      </w:r>
      <w:r w:rsidR="00E46E77" w:rsidRPr="009A10E6">
        <w:rPr>
          <w:rFonts w:ascii="Times New Roman" w:hAnsi="Times New Roman"/>
        </w:rPr>
        <w:t xml:space="preserve">, there was a great debate based on research methodologies between different types of pedagogy (hermeneutical and empirical), with each side carrying its own argument respectively. The philosophical/hermeneutical side, which seemed to thrive in </w:t>
      </w:r>
      <w:r w:rsidR="008235A7" w:rsidRPr="009A10E6">
        <w:rPr>
          <w:rFonts w:ascii="Times New Roman" w:hAnsi="Times New Roman"/>
        </w:rPr>
        <w:t>German</w:t>
      </w:r>
      <w:r w:rsidR="00E46E77" w:rsidRPr="009A10E6">
        <w:rPr>
          <w:rFonts w:ascii="Times New Roman" w:hAnsi="Times New Roman"/>
        </w:rPr>
        <w:t xml:space="preserve"> speaking countries, was, to an extent, promoting pedagogy’s autonomy from other </w:t>
      </w:r>
      <w:r w:rsidR="0081012F">
        <w:rPr>
          <w:rFonts w:ascii="Times New Roman" w:hAnsi="Times New Roman"/>
        </w:rPr>
        <w:t>disciplines</w:t>
      </w:r>
      <w:r w:rsidR="008D4C0E" w:rsidRPr="009A10E6">
        <w:rPr>
          <w:rFonts w:ascii="Times New Roman" w:hAnsi="Times New Roman"/>
        </w:rPr>
        <w:t xml:space="preserve">. On the other side, the </w:t>
      </w:r>
      <w:r w:rsidR="008235A7" w:rsidRPr="009A10E6">
        <w:rPr>
          <w:rFonts w:ascii="Times New Roman" w:hAnsi="Times New Roman"/>
        </w:rPr>
        <w:t>French</w:t>
      </w:r>
      <w:r w:rsidR="00E46E77" w:rsidRPr="009A10E6">
        <w:rPr>
          <w:rFonts w:ascii="Times New Roman" w:hAnsi="Times New Roman"/>
        </w:rPr>
        <w:t xml:space="preserve"> approach, linked to </w:t>
      </w:r>
      <w:r w:rsidR="00347894" w:rsidRPr="009A10E6">
        <w:rPr>
          <w:rFonts w:ascii="Times New Roman" w:hAnsi="Times New Roman"/>
        </w:rPr>
        <w:t xml:space="preserve">a </w:t>
      </w:r>
      <w:r w:rsidR="00E46E77" w:rsidRPr="009A10E6">
        <w:rPr>
          <w:rFonts w:ascii="Times New Roman" w:hAnsi="Times New Roman"/>
        </w:rPr>
        <w:t>more empirical and experimental attitude</w:t>
      </w:r>
      <w:r w:rsidR="00347894" w:rsidRPr="009A10E6">
        <w:rPr>
          <w:rFonts w:ascii="Times New Roman" w:hAnsi="Times New Roman"/>
        </w:rPr>
        <w:t>,</w:t>
      </w:r>
      <w:r w:rsidR="00E46E77" w:rsidRPr="009A10E6">
        <w:rPr>
          <w:rFonts w:ascii="Times New Roman" w:hAnsi="Times New Roman"/>
        </w:rPr>
        <w:t xml:space="preserve"> was promoting</w:t>
      </w:r>
      <w:r w:rsidR="00347894" w:rsidRPr="009A10E6">
        <w:rPr>
          <w:rFonts w:ascii="Times New Roman" w:hAnsi="Times New Roman"/>
        </w:rPr>
        <w:t xml:space="preserve"> an</w:t>
      </w:r>
      <w:r w:rsidR="008D4C0E" w:rsidRPr="009A10E6">
        <w:rPr>
          <w:rFonts w:ascii="Times New Roman" w:hAnsi="Times New Roman"/>
        </w:rPr>
        <w:t xml:space="preserve"> </w:t>
      </w:r>
      <w:r w:rsidR="00347894" w:rsidRPr="009A10E6">
        <w:rPr>
          <w:rFonts w:ascii="Times New Roman" w:hAnsi="Times New Roman"/>
        </w:rPr>
        <w:t>interdisciplinary approach stressing the importance of social studies.</w:t>
      </w:r>
      <w:r w:rsidR="008D4C0E" w:rsidRPr="009A10E6">
        <w:rPr>
          <w:rFonts w:ascii="Times New Roman" w:hAnsi="Times New Roman"/>
        </w:rPr>
        <w:t xml:space="preserve"> The effort was now focused </w:t>
      </w:r>
      <w:r w:rsidR="006D045E" w:rsidRPr="009A10E6">
        <w:rPr>
          <w:rFonts w:ascii="Times New Roman" w:hAnsi="Times New Roman"/>
        </w:rPr>
        <w:t xml:space="preserve">on understanding the value of the empirical method through expanding the pedagogical science towards </w:t>
      </w:r>
      <w:r w:rsidR="008D4C0E" w:rsidRPr="009A10E6">
        <w:rPr>
          <w:rFonts w:ascii="Times New Roman" w:hAnsi="Times New Roman"/>
        </w:rPr>
        <w:t>other scientific fields</w:t>
      </w:r>
      <w:r w:rsidR="006D045E" w:rsidRPr="009A10E6">
        <w:rPr>
          <w:rFonts w:ascii="Times New Roman" w:hAnsi="Times New Roman"/>
        </w:rPr>
        <w:t xml:space="preserve"> while leaving aside the hermeneutical side’s doubts which feared that pedagogy would end up being ousted. Within that framework there was great concern regarding pedagogy’s transformation from autonomous science to an interdisciplinary</w:t>
      </w:r>
      <w:r>
        <w:rPr>
          <w:rFonts w:ascii="Times New Roman" w:hAnsi="Times New Roman"/>
        </w:rPr>
        <w:t xml:space="preserve"> field of knowledge that </w:t>
      </w:r>
      <w:r>
        <w:rPr>
          <w:rFonts w:ascii="Times New Roman" w:hAnsi="Times New Roman"/>
        </w:rPr>
        <w:lastRenderedPageBreak/>
        <w:t xml:space="preserve">aimed </w:t>
      </w:r>
      <w:r w:rsidR="006D045E" w:rsidRPr="009A10E6">
        <w:rPr>
          <w:rFonts w:ascii="Times New Roman" w:hAnsi="Times New Roman"/>
        </w:rPr>
        <w:t xml:space="preserve">more on education rather than on </w:t>
      </w:r>
      <w:r w:rsidR="006D045E" w:rsidRPr="00E35553">
        <w:rPr>
          <w:rFonts w:ascii="Times New Roman" w:hAnsi="Times New Roman"/>
        </w:rPr>
        <w:t>schooling</w:t>
      </w:r>
      <w:r w:rsidR="006D045E" w:rsidRPr="009A10E6">
        <w:rPr>
          <w:rFonts w:ascii="Times New Roman" w:hAnsi="Times New Roman"/>
        </w:rPr>
        <w:t>. Such efforts go back to the beginning of 1960s. The notion of education is not limited to schools and is not viewed as a recipe for achieving certain learning goals but is founded on research. The result of this</w:t>
      </w:r>
      <w:r w:rsidR="00622817" w:rsidRPr="009A10E6">
        <w:rPr>
          <w:rFonts w:ascii="Times New Roman" w:hAnsi="Times New Roman"/>
        </w:rPr>
        <w:t xml:space="preserve"> gave rise to the notion of experimental pedagogy which is tied to notions of psychopedagogy, sociopedagogy</w:t>
      </w:r>
      <w:r w:rsidR="00263D11" w:rsidRPr="009A10E6">
        <w:rPr>
          <w:rFonts w:ascii="Times New Roman" w:hAnsi="Times New Roman"/>
        </w:rPr>
        <w:t xml:space="preserve"> and</w:t>
      </w:r>
      <w:r w:rsidR="00CA7A9E" w:rsidRPr="009A10E6">
        <w:rPr>
          <w:rFonts w:ascii="Times New Roman" w:hAnsi="Times New Roman"/>
        </w:rPr>
        <w:t xml:space="preserve"> </w:t>
      </w:r>
      <w:r w:rsidR="00622817" w:rsidRPr="009A10E6">
        <w:rPr>
          <w:rFonts w:ascii="Times New Roman" w:hAnsi="Times New Roman"/>
        </w:rPr>
        <w:t>biopedagogy and can examine to a</w:t>
      </w:r>
      <w:r w:rsidR="00CA7A9E" w:rsidRPr="009A10E6">
        <w:rPr>
          <w:rFonts w:ascii="Times New Roman" w:hAnsi="Times New Roman"/>
        </w:rPr>
        <w:t xml:space="preserve"> greater length the educational</w:t>
      </w:r>
      <w:r w:rsidR="00622817" w:rsidRPr="009A10E6">
        <w:rPr>
          <w:rFonts w:ascii="Times New Roman" w:hAnsi="Times New Roman"/>
        </w:rPr>
        <w:t xml:space="preserve"> context (</w:t>
      </w:r>
      <w:r w:rsidR="00622817" w:rsidRPr="009A10E6">
        <w:rPr>
          <w:rFonts w:ascii="Times New Roman" w:eastAsia="Times New Roman" w:hAnsi="Times New Roman"/>
        </w:rPr>
        <w:t>Debesse</w:t>
      </w:r>
      <w:r w:rsidR="008235A7">
        <w:rPr>
          <w:rFonts w:ascii="Times New Roman" w:eastAsia="Times New Roman" w:hAnsi="Times New Roman"/>
        </w:rPr>
        <w:t xml:space="preserve"> </w:t>
      </w:r>
      <w:r w:rsidR="00B51D50">
        <w:rPr>
          <w:rFonts w:ascii="Times New Roman" w:eastAsia="Times New Roman" w:hAnsi="Times New Roman"/>
        </w:rPr>
        <w:t>and</w:t>
      </w:r>
      <w:r w:rsidR="008235A7">
        <w:rPr>
          <w:rFonts w:ascii="Times New Roman" w:eastAsia="Times New Roman" w:hAnsi="Times New Roman"/>
        </w:rPr>
        <w:t xml:space="preserve"> </w:t>
      </w:r>
      <w:r w:rsidR="00622817" w:rsidRPr="009A10E6">
        <w:rPr>
          <w:rFonts w:ascii="Times New Roman" w:eastAsia="Times New Roman" w:hAnsi="Times New Roman"/>
        </w:rPr>
        <w:t>Mialaret, 1980:78-82).</w:t>
      </w:r>
      <w:r>
        <w:rPr>
          <w:rFonts w:ascii="Times New Roman" w:eastAsia="Times New Roman" w:hAnsi="Times New Roman"/>
        </w:rPr>
        <w:t xml:space="preserve"> </w:t>
      </w:r>
      <w:r w:rsidR="00622817" w:rsidRPr="009A10E6">
        <w:rPr>
          <w:rFonts w:ascii="Times New Roman" w:hAnsi="Times New Roman"/>
        </w:rPr>
        <w:t xml:space="preserve">The common </w:t>
      </w:r>
      <w:r w:rsidR="00263D11" w:rsidRPr="009A10E6">
        <w:rPr>
          <w:rFonts w:ascii="Times New Roman" w:hAnsi="Times New Roman"/>
        </w:rPr>
        <w:t>idea</w:t>
      </w:r>
      <w:r w:rsidR="00622817" w:rsidRPr="009A10E6">
        <w:rPr>
          <w:rFonts w:ascii="Times New Roman" w:hAnsi="Times New Roman"/>
        </w:rPr>
        <w:t xml:space="preserve"> in this process was, on the one hand, to highlight the value of research – experimental methodologies in examining </w:t>
      </w:r>
      <w:r w:rsidR="00263D11" w:rsidRPr="009A10E6">
        <w:rPr>
          <w:rFonts w:ascii="Times New Roman" w:hAnsi="Times New Roman"/>
        </w:rPr>
        <w:t>educational</w:t>
      </w:r>
      <w:r w:rsidR="00622817" w:rsidRPr="009A10E6">
        <w:rPr>
          <w:rFonts w:ascii="Times New Roman" w:hAnsi="Times New Roman"/>
        </w:rPr>
        <w:t xml:space="preserve"> situations (a key term here</w:t>
      </w:r>
      <w:r w:rsidR="006608DA" w:rsidRPr="009A10E6">
        <w:rPr>
          <w:rStyle w:val="FootnoteReference"/>
          <w:rFonts w:ascii="Times New Roman" w:eastAsia="Times New Roman" w:hAnsi="Times New Roman"/>
        </w:rPr>
        <w:footnoteReference w:id="3"/>
      </w:r>
      <w:r w:rsidR="00622817" w:rsidRPr="009A10E6">
        <w:rPr>
          <w:rFonts w:ascii="Times New Roman" w:hAnsi="Times New Roman"/>
        </w:rPr>
        <w:t xml:space="preserve">) and, on the other, the study of groups instead of single </w:t>
      </w:r>
      <w:r w:rsidR="00263D11" w:rsidRPr="009A10E6">
        <w:rPr>
          <w:rFonts w:ascii="Times New Roman" w:hAnsi="Times New Roman"/>
        </w:rPr>
        <w:t>persons as a revitalizing feature</w:t>
      </w:r>
      <w:r w:rsidR="00C43FFF" w:rsidRPr="009A10E6">
        <w:rPr>
          <w:rFonts w:ascii="Times New Roman" w:hAnsi="Times New Roman"/>
        </w:rPr>
        <w:t xml:space="preserve"> on didactics</w:t>
      </w:r>
      <w:r w:rsidR="00263D11" w:rsidRPr="009A10E6">
        <w:rPr>
          <w:rFonts w:ascii="Times New Roman" w:hAnsi="Times New Roman"/>
        </w:rPr>
        <w:t xml:space="preserve">. </w:t>
      </w:r>
    </w:p>
    <w:p w:rsidR="006B3ACD" w:rsidRPr="00581954" w:rsidRDefault="00B551DB" w:rsidP="00F0269A">
      <w:pPr>
        <w:spacing w:line="480" w:lineRule="auto"/>
        <w:ind w:firstLine="709"/>
        <w:jc w:val="both"/>
        <w:rPr>
          <w:rFonts w:ascii="Times New Roman" w:eastAsia="Times New Roman" w:hAnsi="Times New Roman"/>
        </w:rPr>
      </w:pPr>
      <w:r w:rsidRPr="009A10E6">
        <w:rPr>
          <w:rFonts w:ascii="Times New Roman" w:hAnsi="Times New Roman"/>
        </w:rPr>
        <w:t xml:space="preserve">Nonetheless, it </w:t>
      </w:r>
      <w:commentRangeStart w:id="10"/>
      <w:r w:rsidRPr="009A10E6">
        <w:rPr>
          <w:rFonts w:ascii="Times New Roman" w:hAnsi="Times New Roman"/>
        </w:rPr>
        <w:t>bears</w:t>
      </w:r>
      <w:commentRangeEnd w:id="10"/>
      <w:r w:rsidR="007C3811">
        <w:rPr>
          <w:rStyle w:val="CommentReference"/>
        </w:rPr>
        <w:commentReference w:id="10"/>
      </w:r>
      <w:r w:rsidRPr="009A10E6">
        <w:rPr>
          <w:rFonts w:ascii="Times New Roman" w:hAnsi="Times New Roman"/>
        </w:rPr>
        <w:t xml:space="preserve"> mentioning how such efforts also received negative criticism in the </w:t>
      </w:r>
      <w:r w:rsidR="00C43FFF" w:rsidRPr="009A10E6">
        <w:rPr>
          <w:rFonts w:ascii="Times New Roman" w:hAnsi="Times New Roman"/>
        </w:rPr>
        <w:t xml:space="preserve">international debate. The </w:t>
      </w:r>
      <w:r w:rsidR="008235A7" w:rsidRPr="009A10E6">
        <w:rPr>
          <w:rFonts w:ascii="Times New Roman" w:hAnsi="Times New Roman"/>
        </w:rPr>
        <w:t>German</w:t>
      </w:r>
      <w:r w:rsidR="00C43FFF" w:rsidRPr="009A10E6">
        <w:rPr>
          <w:rFonts w:ascii="Times New Roman" w:hAnsi="Times New Roman"/>
        </w:rPr>
        <w:t xml:space="preserve">-speaking side </w:t>
      </w:r>
      <w:r w:rsidR="0081012F">
        <w:rPr>
          <w:rFonts w:ascii="Times New Roman" w:hAnsi="Times New Roman"/>
        </w:rPr>
        <w:t>was</w:t>
      </w:r>
      <w:r w:rsidRPr="009A10E6">
        <w:rPr>
          <w:rFonts w:ascii="Times New Roman" w:hAnsi="Times New Roman"/>
        </w:rPr>
        <w:t xml:space="preserve"> initially opposed to such an approach, </w:t>
      </w:r>
      <w:r w:rsidR="00992177" w:rsidRPr="009A10E6">
        <w:rPr>
          <w:rFonts w:ascii="Times New Roman" w:hAnsi="Times New Roman"/>
        </w:rPr>
        <w:t xml:space="preserve">which was </w:t>
      </w:r>
      <w:r w:rsidRPr="009A10E6">
        <w:rPr>
          <w:rFonts w:ascii="Times New Roman" w:hAnsi="Times New Roman"/>
        </w:rPr>
        <w:t xml:space="preserve">shown, occasionally in calmer tones. </w:t>
      </w:r>
      <w:r w:rsidR="00992177" w:rsidRPr="009A10E6">
        <w:rPr>
          <w:rFonts w:ascii="Times New Roman" w:hAnsi="Times New Roman"/>
        </w:rPr>
        <w:t>Typical example of this is the case of W. Brezinka who, even though close to the rationale of sciences of education, he criticized them heavily in his latter research works for their variety and their interdisciplinary point of view, which, in his eyes, causes a chaotic state of affairs stemming from</w:t>
      </w:r>
      <w:r w:rsidR="00C8685A" w:rsidRPr="009A10E6">
        <w:rPr>
          <w:rFonts w:ascii="Times New Roman" w:hAnsi="Times New Roman"/>
        </w:rPr>
        <w:t xml:space="preserve"> the</w:t>
      </w:r>
      <w:r w:rsidR="00992177" w:rsidRPr="009A10E6">
        <w:rPr>
          <w:rFonts w:ascii="Times New Roman" w:hAnsi="Times New Roman"/>
        </w:rPr>
        <w:t xml:space="preserve"> ‘</w:t>
      </w:r>
      <w:r w:rsidR="00E62333" w:rsidRPr="009A10E6">
        <w:rPr>
          <w:rFonts w:ascii="Times New Roman" w:hAnsi="Times New Roman"/>
        </w:rPr>
        <w:t>exaggeration</w:t>
      </w:r>
      <w:r w:rsidR="00992177" w:rsidRPr="009A10E6">
        <w:rPr>
          <w:rFonts w:ascii="Times New Roman" w:hAnsi="Times New Roman"/>
        </w:rPr>
        <w:t xml:space="preserve"> of post-pedagogi</w:t>
      </w:r>
      <w:commentRangeStart w:id="11"/>
      <w:r w:rsidR="00992177" w:rsidRPr="009A10E6">
        <w:rPr>
          <w:rFonts w:ascii="Times New Roman" w:hAnsi="Times New Roman"/>
        </w:rPr>
        <w:t>g</w:t>
      </w:r>
      <w:commentRangeEnd w:id="11"/>
      <w:r w:rsidR="007C3811">
        <w:rPr>
          <w:rStyle w:val="CommentReference"/>
        </w:rPr>
        <w:commentReference w:id="11"/>
      </w:r>
      <w:r w:rsidR="00992177" w:rsidRPr="009A10E6">
        <w:rPr>
          <w:rFonts w:ascii="Times New Roman" w:hAnsi="Times New Roman"/>
        </w:rPr>
        <w:t xml:space="preserve">al reflections’, </w:t>
      </w:r>
      <w:r w:rsidR="00E62333" w:rsidRPr="009A10E6">
        <w:rPr>
          <w:rFonts w:ascii="Times New Roman" w:hAnsi="Times New Roman"/>
        </w:rPr>
        <w:t>its</w:t>
      </w:r>
      <w:r w:rsidR="00992177" w:rsidRPr="009A10E6">
        <w:rPr>
          <w:rFonts w:ascii="Times New Roman" w:hAnsi="Times New Roman"/>
        </w:rPr>
        <w:t xml:space="preserve"> ‘</w:t>
      </w:r>
      <w:r w:rsidR="00E62333" w:rsidRPr="009A10E6">
        <w:rPr>
          <w:rFonts w:ascii="Times New Roman" w:hAnsi="Times New Roman"/>
        </w:rPr>
        <w:t>dispersion</w:t>
      </w:r>
      <w:r w:rsidR="00992177" w:rsidRPr="009A10E6">
        <w:rPr>
          <w:rFonts w:ascii="Times New Roman" w:hAnsi="Times New Roman"/>
        </w:rPr>
        <w:t xml:space="preserve"> to </w:t>
      </w:r>
      <w:r w:rsidR="00E35553" w:rsidRPr="00E35553">
        <w:rPr>
          <w:rFonts w:ascii="Times New Roman" w:hAnsi="Times New Roman"/>
        </w:rPr>
        <w:t>neighboring disciplines</w:t>
      </w:r>
      <w:r w:rsidR="00992177" w:rsidRPr="009A10E6">
        <w:rPr>
          <w:rFonts w:ascii="Times New Roman" w:hAnsi="Times New Roman"/>
        </w:rPr>
        <w:t>’ and the ‘abandonment of pedagogical terminology’ that gave rise to multiple lines</w:t>
      </w:r>
      <w:r w:rsidR="00E62333" w:rsidRPr="009A10E6">
        <w:rPr>
          <w:rFonts w:ascii="Times New Roman" w:hAnsi="Times New Roman"/>
        </w:rPr>
        <w:t xml:space="preserve"> of</w:t>
      </w:r>
      <w:r w:rsidR="00992177" w:rsidRPr="009A10E6">
        <w:rPr>
          <w:rFonts w:ascii="Times New Roman" w:hAnsi="Times New Roman"/>
        </w:rPr>
        <w:t xml:space="preserve"> thought beyond</w:t>
      </w:r>
      <w:r w:rsidR="001315AA" w:rsidRPr="009A10E6">
        <w:rPr>
          <w:rFonts w:ascii="Times New Roman" w:hAnsi="Times New Roman"/>
        </w:rPr>
        <w:t xml:space="preserve"> pedagogical interests.</w:t>
      </w:r>
      <w:r w:rsidR="00E62333" w:rsidRPr="009A10E6">
        <w:rPr>
          <w:rFonts w:ascii="Times New Roman" w:hAnsi="Times New Roman"/>
        </w:rPr>
        <w:t xml:space="preserve"> In conclusion, what he</w:t>
      </w:r>
      <w:commentRangeStart w:id="12"/>
      <w:r w:rsidR="00E62333" w:rsidRPr="009A10E6">
        <w:rPr>
          <w:rFonts w:ascii="Times New Roman" w:hAnsi="Times New Roman"/>
        </w:rPr>
        <w:t xml:space="preserve">, himself </w:t>
      </w:r>
      <w:commentRangeEnd w:id="12"/>
      <w:r w:rsidR="00C91789">
        <w:rPr>
          <w:rStyle w:val="CommentReference"/>
        </w:rPr>
        <w:commentReference w:id="12"/>
      </w:r>
      <w:r w:rsidR="00E62333" w:rsidRPr="009A10E6">
        <w:rPr>
          <w:rFonts w:ascii="Times New Roman" w:hAnsi="Times New Roman"/>
        </w:rPr>
        <w:t xml:space="preserve">thought of as most important was a practical pedagogy that promotes concrete goals and practical </w:t>
      </w:r>
      <w:r w:rsidR="006B3ACD" w:rsidRPr="009A10E6">
        <w:rPr>
          <w:rFonts w:ascii="Times New Roman" w:hAnsi="Times New Roman"/>
        </w:rPr>
        <w:t>guidelines practiced within a straightf</w:t>
      </w:r>
      <w:r w:rsidR="008235A7">
        <w:rPr>
          <w:rFonts w:ascii="Times New Roman" w:hAnsi="Times New Roman"/>
        </w:rPr>
        <w:t xml:space="preserve">orward assessment framework </w:t>
      </w:r>
      <w:r w:rsidR="006B3ACD" w:rsidRPr="009A10E6">
        <w:rPr>
          <w:rFonts w:ascii="Times New Roman" w:eastAsia="Times New Roman" w:hAnsi="Times New Roman"/>
        </w:rPr>
        <w:t xml:space="preserve">(Brezinka, 2003:9-27).  Similar views have also been voiced by younger researchers who, although not coming from the same paradigm, they too refer to the ‘differences, contradictions and discrepancies’ that are typical of the relation </w:t>
      </w:r>
      <w:r w:rsidR="006B3ACD" w:rsidRPr="009A10E6">
        <w:rPr>
          <w:rFonts w:ascii="Times New Roman" w:eastAsia="Times New Roman" w:hAnsi="Times New Roman"/>
        </w:rPr>
        <w:lastRenderedPageBreak/>
        <w:t xml:space="preserve">between such concepts and the way they are practiced in the field of research (Keiner, 2006:177). </w:t>
      </w:r>
    </w:p>
    <w:p w:rsidR="00892CAC" w:rsidRPr="009A10E6" w:rsidRDefault="00C43FFF" w:rsidP="00F0269A">
      <w:pPr>
        <w:pStyle w:val="Normal1"/>
        <w:spacing w:line="480" w:lineRule="auto"/>
        <w:ind w:firstLine="720"/>
        <w:jc w:val="both"/>
        <w:rPr>
          <w:rFonts w:ascii="Times New Roman" w:eastAsia="Times New Roman" w:hAnsi="Times New Roman" w:cs="Times New Roman"/>
          <w:sz w:val="24"/>
          <w:szCs w:val="24"/>
          <w:lang w:val="en-US"/>
        </w:rPr>
      </w:pPr>
      <w:r w:rsidRPr="009A10E6">
        <w:rPr>
          <w:rFonts w:ascii="Times New Roman" w:hAnsi="Times New Roman" w:cs="Times New Roman"/>
          <w:sz w:val="24"/>
          <w:szCs w:val="24"/>
          <w:lang w:val="en-US"/>
        </w:rPr>
        <w:t xml:space="preserve">On the </w:t>
      </w:r>
      <w:r w:rsidR="008235A7" w:rsidRPr="009A10E6">
        <w:rPr>
          <w:rFonts w:ascii="Times New Roman" w:hAnsi="Times New Roman" w:cs="Times New Roman"/>
          <w:sz w:val="24"/>
          <w:szCs w:val="24"/>
          <w:lang w:val="en-US"/>
        </w:rPr>
        <w:t>French</w:t>
      </w:r>
      <w:r w:rsidR="006B3ACD" w:rsidRPr="009A10E6">
        <w:rPr>
          <w:rFonts w:ascii="Times New Roman" w:hAnsi="Times New Roman" w:cs="Times New Roman"/>
          <w:sz w:val="24"/>
          <w:szCs w:val="24"/>
          <w:lang w:val="en-US"/>
        </w:rPr>
        <w:t xml:space="preserve"> side of thought taken into consideration in the present work, there emerged a </w:t>
      </w:r>
      <w:r w:rsidR="00981EF5" w:rsidRPr="009A10E6">
        <w:rPr>
          <w:rFonts w:ascii="Times New Roman" w:hAnsi="Times New Roman" w:cs="Times New Roman"/>
          <w:sz w:val="24"/>
          <w:szCs w:val="24"/>
          <w:lang w:val="en-US"/>
        </w:rPr>
        <w:t xml:space="preserve">significant problematization concerning the contents of the sciences of education. This resulted to the recognition of those subject areas whose acquisition is considered fundamental for teachers </w:t>
      </w:r>
      <w:r w:rsidRPr="009A10E6">
        <w:rPr>
          <w:rFonts w:ascii="Times New Roman" w:hAnsi="Times New Roman" w:cs="Times New Roman"/>
          <w:sz w:val="24"/>
          <w:szCs w:val="24"/>
          <w:lang w:val="en-US"/>
        </w:rPr>
        <w:t>in order to manage effectively the complexity of educational situations notion</w:t>
      </w:r>
      <w:r w:rsidR="00981EF5" w:rsidRPr="009A10E6">
        <w:rPr>
          <w:rFonts w:ascii="Times New Roman" w:hAnsi="Times New Roman" w:cs="Times New Roman"/>
          <w:sz w:val="24"/>
          <w:szCs w:val="24"/>
          <w:lang w:val="en-US"/>
        </w:rPr>
        <w:t xml:space="preserve">. These included </w:t>
      </w:r>
      <w:r w:rsidR="008235A7" w:rsidRPr="009A10E6">
        <w:rPr>
          <w:rFonts w:ascii="Times New Roman" w:hAnsi="Times New Roman" w:cs="Times New Roman"/>
          <w:sz w:val="24"/>
          <w:szCs w:val="24"/>
          <w:lang w:val="en-US"/>
        </w:rPr>
        <w:t>theoretical</w:t>
      </w:r>
      <w:r w:rsidR="00981EF5" w:rsidRPr="009A10E6">
        <w:rPr>
          <w:rFonts w:ascii="Times New Roman" w:hAnsi="Times New Roman" w:cs="Times New Roman"/>
          <w:sz w:val="24"/>
          <w:szCs w:val="24"/>
          <w:lang w:val="en-US"/>
        </w:rPr>
        <w:t xml:space="preserve"> studies such as philosophy of education, history of education and comparative pedagogy, which examine methods an</w:t>
      </w:r>
      <w:r w:rsidR="002A229A" w:rsidRPr="009A10E6">
        <w:rPr>
          <w:rFonts w:ascii="Times New Roman" w:hAnsi="Times New Roman" w:cs="Times New Roman"/>
          <w:sz w:val="24"/>
          <w:szCs w:val="24"/>
          <w:lang w:val="en-US"/>
        </w:rPr>
        <w:t>d</w:t>
      </w:r>
      <w:r w:rsidR="00981EF5" w:rsidRPr="009A10E6">
        <w:rPr>
          <w:rFonts w:ascii="Times New Roman" w:hAnsi="Times New Roman" w:cs="Times New Roman"/>
          <w:sz w:val="24"/>
          <w:szCs w:val="24"/>
          <w:lang w:val="en-US"/>
        </w:rPr>
        <w:t xml:space="preserve"> systems</w:t>
      </w:r>
      <w:r w:rsidR="002A229A" w:rsidRPr="009A10E6">
        <w:rPr>
          <w:rFonts w:ascii="Times New Roman" w:hAnsi="Times New Roman" w:cs="Times New Roman"/>
          <w:sz w:val="24"/>
          <w:szCs w:val="24"/>
          <w:lang w:val="en-US"/>
        </w:rPr>
        <w:t xml:space="preserve"> of education</w:t>
      </w:r>
      <w:r w:rsidR="00981EF5" w:rsidRPr="009A10E6">
        <w:rPr>
          <w:rFonts w:ascii="Times New Roman" w:hAnsi="Times New Roman" w:cs="Times New Roman"/>
          <w:sz w:val="24"/>
          <w:szCs w:val="24"/>
          <w:lang w:val="en-US"/>
        </w:rPr>
        <w:t xml:space="preserve"> both in historical and geographic terms. Following these are </w:t>
      </w:r>
      <w:r w:rsidR="0081012F">
        <w:rPr>
          <w:rFonts w:ascii="Times New Roman" w:hAnsi="Times New Roman" w:cs="Times New Roman"/>
          <w:sz w:val="24"/>
          <w:szCs w:val="24"/>
          <w:lang w:val="en-US"/>
        </w:rPr>
        <w:t>scientific fields</w:t>
      </w:r>
      <w:r w:rsidR="00981EF5" w:rsidRPr="009A10E6">
        <w:rPr>
          <w:rFonts w:ascii="Times New Roman" w:hAnsi="Times New Roman" w:cs="Times New Roman"/>
          <w:sz w:val="24"/>
          <w:szCs w:val="24"/>
          <w:lang w:val="en-US"/>
        </w:rPr>
        <w:t xml:space="preserve"> like biology, psychology and sociology which provided the concept of research based on experiments</w:t>
      </w:r>
      <w:r w:rsidR="002A229A" w:rsidRPr="009A10E6">
        <w:rPr>
          <w:rFonts w:ascii="Times New Roman" w:hAnsi="Times New Roman" w:cs="Times New Roman"/>
          <w:sz w:val="24"/>
          <w:szCs w:val="24"/>
          <w:lang w:val="en-US"/>
        </w:rPr>
        <w:t xml:space="preserve"> and which appear to help by offering each a concrete and </w:t>
      </w:r>
      <w:r w:rsidR="0081012F">
        <w:rPr>
          <w:rFonts w:ascii="Times New Roman" w:hAnsi="Times New Roman" w:cs="Times New Roman"/>
          <w:sz w:val="24"/>
          <w:szCs w:val="24"/>
          <w:lang w:val="en-US"/>
        </w:rPr>
        <w:t>solid</w:t>
      </w:r>
      <w:r w:rsidR="002A229A" w:rsidRPr="009A10E6">
        <w:rPr>
          <w:rFonts w:ascii="Times New Roman" w:hAnsi="Times New Roman" w:cs="Times New Roman"/>
          <w:sz w:val="24"/>
          <w:szCs w:val="24"/>
          <w:lang w:val="en-US"/>
        </w:rPr>
        <w:t xml:space="preserve"> scientific </w:t>
      </w:r>
      <w:r w:rsidRPr="009A10E6">
        <w:rPr>
          <w:rFonts w:ascii="Times New Roman" w:hAnsi="Times New Roman" w:cs="Times New Roman"/>
          <w:sz w:val="24"/>
          <w:szCs w:val="24"/>
          <w:lang w:val="en-US"/>
        </w:rPr>
        <w:t>paradigm</w:t>
      </w:r>
      <w:r w:rsidR="002A229A" w:rsidRPr="009A10E6">
        <w:rPr>
          <w:rFonts w:ascii="Times New Roman" w:hAnsi="Times New Roman" w:cs="Times New Roman"/>
          <w:sz w:val="24"/>
          <w:szCs w:val="24"/>
          <w:lang w:val="en-US"/>
        </w:rPr>
        <w:t xml:space="preserve"> on ways of expanding the problematics of education in general.</w:t>
      </w:r>
      <w:r w:rsidR="00892CAC" w:rsidRPr="009A10E6">
        <w:rPr>
          <w:rFonts w:ascii="Times New Roman" w:hAnsi="Times New Roman" w:cs="Times New Roman"/>
          <w:sz w:val="24"/>
          <w:szCs w:val="24"/>
          <w:lang w:val="en-US"/>
        </w:rPr>
        <w:t xml:space="preserve"> Adding to these, more specialized scientific discourses such as those of bio-pedagogy, psychopedagogy and sociopedagogy are needed to analyze </w:t>
      </w:r>
      <w:r w:rsidR="001163E8" w:rsidRPr="009A10E6">
        <w:rPr>
          <w:rFonts w:ascii="Times New Roman" w:hAnsi="Times New Roman" w:cs="Times New Roman"/>
          <w:sz w:val="24"/>
          <w:szCs w:val="24"/>
          <w:lang w:val="en-US"/>
        </w:rPr>
        <w:t>deeply the</w:t>
      </w:r>
      <w:r w:rsidR="00892CAC" w:rsidRPr="009A10E6">
        <w:rPr>
          <w:rFonts w:ascii="Times New Roman" w:hAnsi="Times New Roman" w:cs="Times New Roman"/>
          <w:sz w:val="24"/>
          <w:szCs w:val="24"/>
          <w:lang w:val="en-US"/>
        </w:rPr>
        <w:t xml:space="preserve"> educational situations</w:t>
      </w:r>
      <w:r w:rsidR="001163E8" w:rsidRPr="009A10E6">
        <w:rPr>
          <w:rFonts w:ascii="Times New Roman" w:hAnsi="Times New Roman" w:cs="Times New Roman"/>
          <w:sz w:val="24"/>
          <w:szCs w:val="24"/>
          <w:lang w:val="en-US"/>
        </w:rPr>
        <w:t xml:space="preserve"> content</w:t>
      </w:r>
      <w:r w:rsidR="00892CAC" w:rsidRPr="009A10E6">
        <w:rPr>
          <w:rFonts w:ascii="Times New Roman" w:hAnsi="Times New Roman" w:cs="Times New Roman"/>
          <w:sz w:val="24"/>
          <w:szCs w:val="24"/>
          <w:lang w:val="en-US"/>
        </w:rPr>
        <w:t xml:space="preserve">. Finally, examining the methodology itself also aids in the performance of educational processes </w:t>
      </w:r>
      <w:r w:rsidR="00892CAC" w:rsidRPr="009A10E6">
        <w:rPr>
          <w:rFonts w:ascii="Times New Roman" w:eastAsia="Times New Roman" w:hAnsi="Times New Roman" w:cs="Times New Roman"/>
          <w:sz w:val="24"/>
          <w:szCs w:val="24"/>
          <w:lang w:val="en-US"/>
        </w:rPr>
        <w:t>(</w:t>
      </w:r>
      <w:r w:rsidR="00892CAC" w:rsidRPr="009A10E6">
        <w:rPr>
          <w:rFonts w:ascii="Times New Roman" w:hAnsi="Times New Roman" w:cs="Times New Roman"/>
          <w:sz w:val="24"/>
          <w:szCs w:val="24"/>
          <w:lang w:val="en-US"/>
        </w:rPr>
        <w:t>Dottrens</w:t>
      </w:r>
      <w:r w:rsidR="008235A7">
        <w:rPr>
          <w:rFonts w:ascii="Times New Roman" w:hAnsi="Times New Roman" w:cs="Times New Roman"/>
          <w:sz w:val="24"/>
          <w:szCs w:val="24"/>
          <w:lang w:val="en-US"/>
        </w:rPr>
        <w:t xml:space="preserve"> </w:t>
      </w:r>
      <w:r w:rsidR="00B51D50">
        <w:rPr>
          <w:rFonts w:ascii="Times New Roman" w:hAnsi="Times New Roman" w:cs="Times New Roman"/>
          <w:sz w:val="24"/>
          <w:szCs w:val="24"/>
          <w:lang w:val="en-US"/>
        </w:rPr>
        <w:t>and</w:t>
      </w:r>
      <w:r w:rsidR="008235A7">
        <w:rPr>
          <w:rFonts w:ascii="Times New Roman" w:hAnsi="Times New Roman" w:cs="Times New Roman"/>
          <w:sz w:val="24"/>
          <w:szCs w:val="24"/>
          <w:lang w:val="en-US"/>
        </w:rPr>
        <w:t xml:space="preserve"> </w:t>
      </w:r>
      <w:r w:rsidR="00892CAC" w:rsidRPr="009A10E6">
        <w:rPr>
          <w:rFonts w:ascii="Times New Roman" w:hAnsi="Times New Roman" w:cs="Times New Roman"/>
          <w:sz w:val="24"/>
          <w:szCs w:val="24"/>
          <w:lang w:val="en-US"/>
        </w:rPr>
        <w:t>Mialaret, 1980:</w:t>
      </w:r>
      <w:r w:rsidR="00892CAC" w:rsidRPr="009A10E6">
        <w:rPr>
          <w:rFonts w:ascii="Times New Roman" w:eastAsia="Times New Roman" w:hAnsi="Times New Roman" w:cs="Times New Roman"/>
          <w:sz w:val="24"/>
          <w:szCs w:val="24"/>
          <w:lang w:val="en-US"/>
        </w:rPr>
        <w:t>105-106).</w:t>
      </w:r>
    </w:p>
    <w:p w:rsidR="00B551DB" w:rsidRPr="009A10E6" w:rsidRDefault="00892CAC" w:rsidP="00F0269A">
      <w:pPr>
        <w:spacing w:line="480" w:lineRule="auto"/>
        <w:ind w:firstLine="709"/>
        <w:jc w:val="both"/>
        <w:rPr>
          <w:rFonts w:ascii="Times New Roman" w:eastAsia="Times New Roman" w:hAnsi="Times New Roman"/>
        </w:rPr>
      </w:pPr>
      <w:r w:rsidRPr="009A10E6">
        <w:rPr>
          <w:rFonts w:ascii="Times New Roman" w:hAnsi="Times New Roman"/>
        </w:rPr>
        <w:t>The time period under considera</w:t>
      </w:r>
      <w:r w:rsidR="00CC4898">
        <w:rPr>
          <w:rFonts w:ascii="Times New Roman" w:hAnsi="Times New Roman"/>
        </w:rPr>
        <w:t xml:space="preserve">tion here is especially vital, </w:t>
      </w:r>
      <w:r w:rsidRPr="009A10E6">
        <w:rPr>
          <w:rFonts w:ascii="Times New Roman" w:hAnsi="Times New Roman"/>
        </w:rPr>
        <w:t xml:space="preserve">as it marks the point of extensive reformations in the scientific discourse concerning the contents of pedagogical studies, which, furthermore, led to political choices that were made in order to support </w:t>
      </w:r>
      <w:r w:rsidR="00530211" w:rsidRPr="009A10E6">
        <w:rPr>
          <w:rFonts w:ascii="Times New Roman" w:hAnsi="Times New Roman"/>
        </w:rPr>
        <w:t xml:space="preserve">such needs. </w:t>
      </w:r>
      <w:r w:rsidR="0081012F">
        <w:rPr>
          <w:rFonts w:ascii="Times New Roman" w:hAnsi="Times New Roman"/>
        </w:rPr>
        <w:t>I</w:t>
      </w:r>
      <w:r w:rsidR="00530211" w:rsidRPr="009A10E6">
        <w:rPr>
          <w:rFonts w:ascii="Times New Roman" w:hAnsi="Times New Roman"/>
        </w:rPr>
        <w:t xml:space="preserve">mportant changes in the scientific </w:t>
      </w:r>
      <w:r w:rsidR="0081012F">
        <w:rPr>
          <w:rFonts w:ascii="Times New Roman" w:hAnsi="Times New Roman"/>
        </w:rPr>
        <w:t>era</w:t>
      </w:r>
      <w:r w:rsidR="00530211" w:rsidRPr="009A10E6">
        <w:rPr>
          <w:rFonts w:ascii="Times New Roman" w:hAnsi="Times New Roman"/>
        </w:rPr>
        <w:t xml:space="preserve"> trigger the modernization of multiple fields of thought, foremost those of psychology, which now focuses on the study of behavior rather than that of the soul. Other areas that flourish under this influence include sociology, medicine and physiology. </w:t>
      </w:r>
      <w:r w:rsidR="0081012F">
        <w:rPr>
          <w:rFonts w:ascii="Times New Roman" w:hAnsi="Times New Roman"/>
        </w:rPr>
        <w:t>Even before the 1960s</w:t>
      </w:r>
      <w:r w:rsidR="00957E04" w:rsidRPr="009A10E6">
        <w:rPr>
          <w:rFonts w:ascii="Times New Roman" w:hAnsi="Times New Roman"/>
        </w:rPr>
        <w:t xml:space="preserve"> we notice a substantial, even though not yet systematic, scientific groundwork </w:t>
      </w:r>
      <w:r w:rsidR="00224074" w:rsidRPr="009A10E6">
        <w:rPr>
          <w:rFonts w:ascii="Times New Roman" w:hAnsi="Times New Roman"/>
        </w:rPr>
        <w:t>that is being put into</w:t>
      </w:r>
      <w:r w:rsidR="00957E04" w:rsidRPr="009A10E6">
        <w:rPr>
          <w:rFonts w:ascii="Times New Roman" w:hAnsi="Times New Roman"/>
        </w:rPr>
        <w:t xml:space="preserve"> place concerning interdisciplinary approach</w:t>
      </w:r>
      <w:r w:rsidR="00F14E38" w:rsidRPr="009A10E6">
        <w:rPr>
          <w:rFonts w:ascii="Times New Roman" w:hAnsi="Times New Roman"/>
        </w:rPr>
        <w:t>es</w:t>
      </w:r>
      <w:r w:rsidR="00957E04" w:rsidRPr="009A10E6">
        <w:rPr>
          <w:rFonts w:ascii="Times New Roman" w:hAnsi="Times New Roman"/>
        </w:rPr>
        <w:t xml:space="preserve"> in the field of research on education. However, the turning</w:t>
      </w:r>
      <w:r w:rsidR="00F14E38" w:rsidRPr="009A10E6">
        <w:rPr>
          <w:rFonts w:ascii="Times New Roman" w:hAnsi="Times New Roman"/>
        </w:rPr>
        <w:t xml:space="preserve"> point</w:t>
      </w:r>
      <w:r w:rsidR="001163E8" w:rsidRPr="009A10E6">
        <w:rPr>
          <w:rFonts w:ascii="Times New Roman" w:hAnsi="Times New Roman"/>
        </w:rPr>
        <w:t xml:space="preserve"> </w:t>
      </w:r>
      <w:r w:rsidR="00F14E38" w:rsidRPr="009A10E6">
        <w:rPr>
          <w:rFonts w:ascii="Times New Roman" w:hAnsi="Times New Roman"/>
        </w:rPr>
        <w:t>in</w:t>
      </w:r>
      <w:r w:rsidR="00957E04" w:rsidRPr="009A10E6">
        <w:rPr>
          <w:rFonts w:ascii="Times New Roman" w:hAnsi="Times New Roman"/>
        </w:rPr>
        <w:t xml:space="preserve"> this process </w:t>
      </w:r>
      <w:r w:rsidR="00F14E38" w:rsidRPr="009A10E6">
        <w:rPr>
          <w:rFonts w:ascii="Times New Roman" w:hAnsi="Times New Roman"/>
        </w:rPr>
        <w:lastRenderedPageBreak/>
        <w:t>comes in</w:t>
      </w:r>
      <w:r w:rsidR="00957E04" w:rsidRPr="009A10E6">
        <w:rPr>
          <w:rFonts w:ascii="Times New Roman" w:hAnsi="Times New Roman"/>
        </w:rPr>
        <w:t xml:space="preserve"> 1967</w:t>
      </w:r>
      <w:r w:rsidR="00F14E38" w:rsidRPr="009A10E6">
        <w:rPr>
          <w:rFonts w:ascii="Times New Roman" w:hAnsi="Times New Roman"/>
        </w:rPr>
        <w:t>,</w:t>
      </w:r>
      <w:r w:rsidR="00957E04" w:rsidRPr="009A10E6">
        <w:rPr>
          <w:rFonts w:ascii="Times New Roman" w:hAnsi="Times New Roman"/>
        </w:rPr>
        <w:t xml:space="preserve"> when three universities in France implement </w:t>
      </w:r>
      <w:r w:rsidR="00F14E38" w:rsidRPr="009A10E6">
        <w:rPr>
          <w:rFonts w:ascii="Times New Roman" w:hAnsi="Times New Roman"/>
        </w:rPr>
        <w:t xml:space="preserve">specific curricula that put into practice notions of </w:t>
      </w:r>
      <w:r w:rsidR="007F1458">
        <w:rPr>
          <w:rFonts w:ascii="Times New Roman" w:hAnsi="Times New Roman"/>
        </w:rPr>
        <w:t xml:space="preserve">sciences of </w:t>
      </w:r>
      <w:r w:rsidR="00F14E38" w:rsidRPr="009A10E6">
        <w:rPr>
          <w:rFonts w:ascii="Times New Roman" w:hAnsi="Times New Roman"/>
        </w:rPr>
        <w:t>educational rather than autonomous pedagogy. This, however, did not immediately mean the</w:t>
      </w:r>
      <w:r w:rsidR="00224074" w:rsidRPr="009A10E6">
        <w:rPr>
          <w:rFonts w:ascii="Times New Roman" w:hAnsi="Times New Roman"/>
        </w:rPr>
        <w:t xml:space="preserve"> higher</w:t>
      </w:r>
      <w:r w:rsidR="00F14E38" w:rsidRPr="009A10E6">
        <w:rPr>
          <w:rFonts w:ascii="Times New Roman" w:hAnsi="Times New Roman"/>
        </w:rPr>
        <w:t xml:space="preserve"> institutionalization of pedagogical training since the related academies (Ecoles</w:t>
      </w:r>
      <w:r w:rsidR="001163E8" w:rsidRPr="009A10E6">
        <w:rPr>
          <w:rFonts w:ascii="Times New Roman" w:hAnsi="Times New Roman"/>
        </w:rPr>
        <w:t xml:space="preserve"> </w:t>
      </w:r>
      <w:r w:rsidR="00F14E38" w:rsidRPr="009A10E6">
        <w:rPr>
          <w:rFonts w:ascii="Times New Roman" w:hAnsi="Times New Roman"/>
        </w:rPr>
        <w:t>Normales) continued their regular operation (</w:t>
      </w:r>
      <w:r w:rsidR="00F14E38" w:rsidRPr="009A10E6">
        <w:rPr>
          <w:rFonts w:ascii="Times New Roman" w:eastAsia="Times New Roman" w:hAnsi="Times New Roman"/>
        </w:rPr>
        <w:t>Mialaret, 2008:5-54).</w:t>
      </w:r>
    </w:p>
    <w:p w:rsidR="008B4D5A" w:rsidRPr="009A10E6" w:rsidRDefault="008B4D5A" w:rsidP="00F0269A">
      <w:pPr>
        <w:pStyle w:val="Normal1"/>
        <w:spacing w:line="480" w:lineRule="auto"/>
        <w:ind w:firstLine="720"/>
        <w:jc w:val="both"/>
        <w:rPr>
          <w:rFonts w:ascii="Times New Roman" w:eastAsia="Times New Roman" w:hAnsi="Times New Roman" w:cs="Times New Roman"/>
          <w:sz w:val="24"/>
          <w:szCs w:val="24"/>
          <w:lang w:val="en-US"/>
        </w:rPr>
      </w:pPr>
      <w:r w:rsidRPr="009A10E6">
        <w:rPr>
          <w:rFonts w:ascii="Times New Roman" w:eastAsia="Times New Roman" w:hAnsi="Times New Roman" w:cs="Times New Roman"/>
          <w:sz w:val="24"/>
          <w:szCs w:val="24"/>
          <w:lang w:val="en-US"/>
        </w:rPr>
        <w:t xml:space="preserve">In epistemological terms, the </w:t>
      </w:r>
      <w:commentRangeStart w:id="13"/>
      <w:r w:rsidRPr="009A10E6">
        <w:rPr>
          <w:rFonts w:ascii="Times New Roman" w:eastAsia="Times New Roman" w:hAnsi="Times New Roman" w:cs="Times New Roman"/>
          <w:sz w:val="24"/>
          <w:szCs w:val="24"/>
          <w:lang w:val="en-US"/>
        </w:rPr>
        <w:t>50s</w:t>
      </w:r>
      <w:commentRangeEnd w:id="13"/>
      <w:r w:rsidR="006308ED">
        <w:rPr>
          <w:rStyle w:val="CommentReference"/>
          <w:rFonts w:ascii="Calibri" w:eastAsia="Calibri" w:hAnsi="Calibri" w:cs="Times New Roman"/>
          <w:lang w:val="en-US" w:eastAsia="en-US"/>
        </w:rPr>
        <w:commentReference w:id="13"/>
      </w:r>
      <w:r w:rsidRPr="009A10E6">
        <w:rPr>
          <w:rFonts w:ascii="Times New Roman" w:eastAsia="Times New Roman" w:hAnsi="Times New Roman" w:cs="Times New Roman"/>
          <w:sz w:val="24"/>
          <w:szCs w:val="24"/>
          <w:lang w:val="en-US"/>
        </w:rPr>
        <w:t xml:space="preserve"> and the 60s saw an intensified application of psychopedagogy in </w:t>
      </w:r>
      <w:r w:rsidR="00EC12CC" w:rsidRPr="009A10E6">
        <w:rPr>
          <w:rFonts w:ascii="Times New Roman" w:eastAsia="Times New Roman" w:hAnsi="Times New Roman" w:cs="Times New Roman"/>
          <w:sz w:val="24"/>
          <w:szCs w:val="24"/>
          <w:lang w:val="en-US"/>
        </w:rPr>
        <w:t>French</w:t>
      </w:r>
      <w:r w:rsidRPr="009A10E6">
        <w:rPr>
          <w:rFonts w:ascii="Times New Roman" w:eastAsia="Times New Roman" w:hAnsi="Times New Roman" w:cs="Times New Roman"/>
          <w:sz w:val="24"/>
          <w:szCs w:val="24"/>
          <w:lang w:val="en-US"/>
        </w:rPr>
        <w:t xml:space="preserve"> universities, a fact which seems to have spurred the type of research that followed. </w:t>
      </w:r>
      <w:r w:rsidR="00EC12CC" w:rsidRPr="009A10E6">
        <w:rPr>
          <w:rFonts w:ascii="Times New Roman" w:eastAsia="Times New Roman" w:hAnsi="Times New Roman" w:cs="Times New Roman"/>
          <w:sz w:val="24"/>
          <w:szCs w:val="24"/>
          <w:lang w:val="en-US"/>
        </w:rPr>
        <w:t>The criticism against this approach came from the field of philosophy of education and focused on the orientation of conducted research</w:t>
      </w:r>
      <w:r w:rsidR="001163E8" w:rsidRPr="009A10E6">
        <w:rPr>
          <w:rFonts w:ascii="Times New Roman" w:eastAsia="Times New Roman" w:hAnsi="Times New Roman" w:cs="Times New Roman"/>
          <w:sz w:val="24"/>
          <w:szCs w:val="24"/>
          <w:lang w:val="en-US"/>
        </w:rPr>
        <w:t>,</w:t>
      </w:r>
      <w:r w:rsidR="00EC12CC" w:rsidRPr="009A10E6">
        <w:rPr>
          <w:rFonts w:ascii="Times New Roman" w:eastAsia="Times New Roman" w:hAnsi="Times New Roman" w:cs="Times New Roman"/>
          <w:sz w:val="24"/>
          <w:szCs w:val="24"/>
          <w:lang w:val="en-US"/>
        </w:rPr>
        <w:t xml:space="preserve"> </w:t>
      </w:r>
      <w:r w:rsidR="001163E8" w:rsidRPr="009A10E6">
        <w:rPr>
          <w:rFonts w:ascii="Times New Roman" w:eastAsia="Times New Roman" w:hAnsi="Times New Roman" w:cs="Times New Roman"/>
          <w:sz w:val="24"/>
          <w:szCs w:val="24"/>
          <w:lang w:val="en-US"/>
        </w:rPr>
        <w:t>underlying</w:t>
      </w:r>
      <w:r w:rsidR="00EC12CC" w:rsidRPr="009A10E6">
        <w:rPr>
          <w:rFonts w:ascii="Times New Roman" w:eastAsia="Times New Roman" w:hAnsi="Times New Roman" w:cs="Times New Roman"/>
          <w:sz w:val="24"/>
          <w:szCs w:val="24"/>
          <w:lang w:val="en-US"/>
        </w:rPr>
        <w:t xml:space="preserve"> the loss of pedagogical dimensions due to the sway of the educational-training aspects of teaching </w:t>
      </w:r>
      <w:r w:rsidR="001163E8" w:rsidRPr="009A10E6">
        <w:rPr>
          <w:rFonts w:ascii="Times New Roman" w:eastAsia="Times New Roman" w:hAnsi="Times New Roman" w:cs="Times New Roman"/>
          <w:sz w:val="24"/>
          <w:szCs w:val="24"/>
          <w:lang w:val="en-US"/>
        </w:rPr>
        <w:t xml:space="preserve">(didactics) </w:t>
      </w:r>
      <w:r w:rsidR="00EC12CC" w:rsidRPr="009A10E6">
        <w:rPr>
          <w:rFonts w:ascii="Times New Roman" w:eastAsia="Times New Roman" w:hAnsi="Times New Roman" w:cs="Times New Roman"/>
          <w:sz w:val="24"/>
          <w:szCs w:val="24"/>
          <w:lang w:val="en-US"/>
        </w:rPr>
        <w:t xml:space="preserve">(Best, 1988:159-160). This tendency was balanced </w:t>
      </w:r>
      <w:commentRangeStart w:id="14"/>
      <w:r w:rsidR="00EC12CC" w:rsidRPr="009A10E6">
        <w:rPr>
          <w:rFonts w:ascii="Times New Roman" w:eastAsia="Times New Roman" w:hAnsi="Times New Roman" w:cs="Times New Roman"/>
          <w:sz w:val="24"/>
          <w:szCs w:val="24"/>
          <w:lang w:val="en-US"/>
        </w:rPr>
        <w:t>out</w:t>
      </w:r>
      <w:commentRangeEnd w:id="14"/>
      <w:r w:rsidR="007C3811">
        <w:rPr>
          <w:rStyle w:val="CommentReference"/>
          <w:rFonts w:ascii="Calibri" w:eastAsia="Calibri" w:hAnsi="Calibri" w:cs="Times New Roman"/>
          <w:lang w:val="en-US" w:eastAsia="en-US"/>
        </w:rPr>
        <w:commentReference w:id="14"/>
      </w:r>
      <w:r w:rsidR="00EC12CC" w:rsidRPr="009A10E6">
        <w:rPr>
          <w:rFonts w:ascii="Times New Roman" w:eastAsia="Times New Roman" w:hAnsi="Times New Roman" w:cs="Times New Roman"/>
          <w:sz w:val="24"/>
          <w:szCs w:val="24"/>
          <w:lang w:val="en-US"/>
        </w:rPr>
        <w:t xml:space="preserve"> in the next decade with the </w:t>
      </w:r>
      <w:r w:rsidR="00F85597">
        <w:rPr>
          <w:rFonts w:ascii="Times New Roman" w:eastAsia="Times New Roman" w:hAnsi="Times New Roman" w:cs="Times New Roman"/>
          <w:sz w:val="24"/>
          <w:szCs w:val="24"/>
          <w:lang w:val="en-US"/>
        </w:rPr>
        <w:t>inclusion</w:t>
      </w:r>
      <w:r w:rsidR="00EC12CC" w:rsidRPr="009A10E6">
        <w:rPr>
          <w:rFonts w:ascii="Times New Roman" w:eastAsia="Times New Roman" w:hAnsi="Times New Roman" w:cs="Times New Roman"/>
          <w:sz w:val="24"/>
          <w:szCs w:val="24"/>
          <w:lang w:val="en-US"/>
        </w:rPr>
        <w:t xml:space="preserve"> of psychosocial theories</w:t>
      </w:r>
      <w:commentRangeStart w:id="15"/>
      <w:r w:rsidR="00EC12CC" w:rsidRPr="009A10E6">
        <w:rPr>
          <w:rFonts w:ascii="Times New Roman" w:eastAsia="Times New Roman" w:hAnsi="Times New Roman" w:cs="Times New Roman"/>
          <w:sz w:val="24"/>
          <w:szCs w:val="24"/>
          <w:lang w:val="en-US"/>
        </w:rPr>
        <w:t xml:space="preserve">, </w:t>
      </w:r>
      <w:commentRangeEnd w:id="15"/>
      <w:r w:rsidR="00552730">
        <w:rPr>
          <w:rStyle w:val="CommentReference"/>
          <w:rFonts w:ascii="Calibri" w:eastAsia="Calibri" w:hAnsi="Calibri" w:cs="Times New Roman"/>
          <w:lang w:val="en-US" w:eastAsia="en-US"/>
        </w:rPr>
        <w:commentReference w:id="15"/>
      </w:r>
      <w:r w:rsidR="00EC12CC" w:rsidRPr="009A10E6">
        <w:rPr>
          <w:rFonts w:ascii="Times New Roman" w:eastAsia="Times New Roman" w:hAnsi="Times New Roman" w:cs="Times New Roman"/>
          <w:sz w:val="24"/>
          <w:szCs w:val="24"/>
          <w:lang w:val="en-US"/>
        </w:rPr>
        <w:t>however, that period is not examined in the present article.</w:t>
      </w:r>
    </w:p>
    <w:p w:rsidR="00E42C2D" w:rsidRPr="009A10E6" w:rsidRDefault="00E42C2D" w:rsidP="00F0269A">
      <w:pPr>
        <w:pStyle w:val="Normal1"/>
        <w:spacing w:line="480" w:lineRule="auto"/>
        <w:ind w:firstLine="720"/>
        <w:jc w:val="both"/>
        <w:rPr>
          <w:rFonts w:ascii="Times New Roman" w:eastAsia="Times New Roman" w:hAnsi="Times New Roman" w:cs="Times New Roman"/>
          <w:sz w:val="24"/>
          <w:szCs w:val="24"/>
          <w:lang w:val="en-US"/>
        </w:rPr>
      </w:pPr>
      <w:r w:rsidRPr="009A10E6">
        <w:rPr>
          <w:rFonts w:ascii="Times New Roman" w:eastAsia="Times New Roman" w:hAnsi="Times New Roman" w:cs="Times New Roman"/>
          <w:sz w:val="24"/>
          <w:szCs w:val="24"/>
          <w:lang w:val="en-US"/>
        </w:rPr>
        <w:t>It becomes evident that, since the 2</w:t>
      </w:r>
      <w:r w:rsidRPr="00A846E2">
        <w:rPr>
          <w:rFonts w:ascii="Times New Roman" w:eastAsia="Times New Roman" w:hAnsi="Times New Roman" w:cs="Times New Roman"/>
          <w:sz w:val="24"/>
          <w:szCs w:val="24"/>
          <w:vertAlign w:val="superscript"/>
          <w:lang w:val="en-US"/>
        </w:rPr>
        <w:t>nd</w:t>
      </w:r>
      <w:r w:rsidRPr="009A10E6">
        <w:rPr>
          <w:rFonts w:ascii="Times New Roman" w:eastAsia="Times New Roman" w:hAnsi="Times New Roman" w:cs="Times New Roman"/>
          <w:sz w:val="24"/>
          <w:szCs w:val="24"/>
          <w:lang w:val="en-US"/>
        </w:rPr>
        <w:t xml:space="preserve"> World War, there was a concerted effort of democratizing France’s system of education, which, despite everything, did not produce significant results as far as teachers’ training was concerned. Events in May 1968 gave rise to a significant w</w:t>
      </w:r>
      <w:r w:rsidR="00190597" w:rsidRPr="009A10E6">
        <w:rPr>
          <w:rFonts w:ascii="Times New Roman" w:eastAsia="Times New Roman" w:hAnsi="Times New Roman" w:cs="Times New Roman"/>
          <w:sz w:val="24"/>
          <w:szCs w:val="24"/>
          <w:lang w:val="en-US"/>
        </w:rPr>
        <w:t>i</w:t>
      </w:r>
      <w:r w:rsidRPr="009A10E6">
        <w:rPr>
          <w:rFonts w:ascii="Times New Roman" w:eastAsia="Times New Roman" w:hAnsi="Times New Roman" w:cs="Times New Roman"/>
          <w:sz w:val="24"/>
          <w:szCs w:val="24"/>
          <w:lang w:val="en-US"/>
        </w:rPr>
        <w:t>nd of change</w:t>
      </w:r>
      <w:r w:rsidR="00C8103D" w:rsidRPr="009A10E6">
        <w:rPr>
          <w:rFonts w:ascii="Times New Roman" w:eastAsia="Times New Roman" w:hAnsi="Times New Roman" w:cs="Times New Roman"/>
          <w:sz w:val="24"/>
          <w:szCs w:val="24"/>
          <w:lang w:val="en-US"/>
        </w:rPr>
        <w:t xml:space="preserve"> that exerted its influence on the organization and the subsequent increase in attendance years of French </w:t>
      </w:r>
      <w:commentRangeStart w:id="16"/>
      <w:r w:rsidR="00A846E2">
        <w:rPr>
          <w:rFonts w:ascii="Times New Roman" w:eastAsia="Times New Roman" w:hAnsi="Times New Roman" w:cs="Times New Roman"/>
          <w:sz w:val="24"/>
          <w:szCs w:val="24"/>
          <w:lang w:val="en-US"/>
        </w:rPr>
        <w:t>P</w:t>
      </w:r>
      <w:r w:rsidR="00F85597">
        <w:rPr>
          <w:rFonts w:ascii="Times New Roman" w:eastAsia="Times New Roman" w:hAnsi="Times New Roman" w:cs="Times New Roman"/>
          <w:sz w:val="24"/>
          <w:szCs w:val="24"/>
          <w:lang w:val="en-US"/>
        </w:rPr>
        <w:t>A</w:t>
      </w:r>
      <w:r w:rsidR="00A846E2">
        <w:rPr>
          <w:rFonts w:ascii="Times New Roman" w:eastAsia="Times New Roman" w:hAnsi="Times New Roman" w:cs="Times New Roman"/>
          <w:sz w:val="24"/>
          <w:szCs w:val="24"/>
          <w:lang w:val="en-US"/>
        </w:rPr>
        <w:t>s</w:t>
      </w:r>
      <w:r w:rsidR="00CC4898">
        <w:rPr>
          <w:rFonts w:ascii="Times New Roman" w:eastAsia="Times New Roman" w:hAnsi="Times New Roman" w:cs="Times New Roman"/>
          <w:sz w:val="24"/>
          <w:szCs w:val="24"/>
          <w:lang w:val="en-US"/>
        </w:rPr>
        <w:t>.</w:t>
      </w:r>
      <w:commentRangeEnd w:id="16"/>
      <w:r w:rsidR="00960ADB">
        <w:rPr>
          <w:rStyle w:val="CommentReference"/>
          <w:rFonts w:ascii="Calibri" w:eastAsia="Calibri" w:hAnsi="Calibri" w:cs="Times New Roman"/>
          <w:lang w:val="en-US" w:eastAsia="en-US"/>
        </w:rPr>
        <w:commentReference w:id="16"/>
      </w:r>
      <w:r w:rsidR="00CC4898">
        <w:rPr>
          <w:rFonts w:ascii="Times New Roman" w:eastAsia="Times New Roman" w:hAnsi="Times New Roman" w:cs="Times New Roman"/>
          <w:sz w:val="24"/>
          <w:szCs w:val="24"/>
          <w:lang w:val="en-US"/>
        </w:rPr>
        <w:t xml:space="preserve"> </w:t>
      </w:r>
      <w:r w:rsidR="00C8103D" w:rsidRPr="009A10E6">
        <w:rPr>
          <w:rFonts w:ascii="Times New Roman" w:eastAsia="Times New Roman" w:hAnsi="Times New Roman" w:cs="Times New Roman"/>
          <w:sz w:val="24"/>
          <w:szCs w:val="24"/>
          <w:lang w:val="en-US"/>
        </w:rPr>
        <w:t xml:space="preserve">In any case, the transition from an autonomous science of pedagogy to the sciences of education had been largely </w:t>
      </w:r>
      <w:r w:rsidR="002004D8" w:rsidRPr="009A10E6">
        <w:rPr>
          <w:rFonts w:ascii="Times New Roman" w:eastAsia="Times New Roman" w:hAnsi="Times New Roman" w:cs="Times New Roman"/>
          <w:sz w:val="24"/>
          <w:szCs w:val="24"/>
          <w:lang w:val="en-US"/>
        </w:rPr>
        <w:t>promoted</w:t>
      </w:r>
      <w:r w:rsidR="00C8103D" w:rsidRPr="009A10E6">
        <w:rPr>
          <w:rFonts w:ascii="Times New Roman" w:eastAsia="Times New Roman" w:hAnsi="Times New Roman" w:cs="Times New Roman"/>
          <w:sz w:val="24"/>
          <w:szCs w:val="24"/>
          <w:lang w:val="en-US"/>
        </w:rPr>
        <w:t xml:space="preserve"> by 1967, even though its impact on teacher training programs was not felt yet as much.</w:t>
      </w:r>
    </w:p>
    <w:p w:rsidR="00C8103D" w:rsidRDefault="00C8103D" w:rsidP="00F0269A">
      <w:pPr>
        <w:pStyle w:val="Normal1"/>
        <w:spacing w:line="480" w:lineRule="auto"/>
        <w:jc w:val="both"/>
        <w:rPr>
          <w:rFonts w:ascii="Times New Roman" w:eastAsia="Times New Roman" w:hAnsi="Times New Roman" w:cs="Times New Roman"/>
          <w:sz w:val="24"/>
          <w:szCs w:val="24"/>
          <w:lang w:val="en-US"/>
        </w:rPr>
      </w:pPr>
    </w:p>
    <w:p w:rsidR="00947B01" w:rsidRDefault="00947B01" w:rsidP="00F0269A">
      <w:pPr>
        <w:pStyle w:val="Normal1"/>
        <w:spacing w:line="480" w:lineRule="auto"/>
        <w:jc w:val="both"/>
        <w:rPr>
          <w:rFonts w:ascii="Times New Roman" w:eastAsia="Times New Roman" w:hAnsi="Times New Roman" w:cs="Times New Roman"/>
          <w:sz w:val="24"/>
          <w:szCs w:val="24"/>
          <w:lang w:val="en-US"/>
        </w:rPr>
      </w:pPr>
    </w:p>
    <w:p w:rsidR="00947B01" w:rsidRDefault="00947B01" w:rsidP="00F0269A">
      <w:pPr>
        <w:pStyle w:val="Normal1"/>
        <w:spacing w:line="480" w:lineRule="auto"/>
        <w:jc w:val="both"/>
        <w:rPr>
          <w:rFonts w:ascii="Times New Roman" w:eastAsia="Times New Roman" w:hAnsi="Times New Roman" w:cs="Times New Roman"/>
          <w:sz w:val="24"/>
          <w:szCs w:val="24"/>
          <w:lang w:val="en-US"/>
        </w:rPr>
      </w:pPr>
    </w:p>
    <w:p w:rsidR="00947B01" w:rsidRDefault="00947B01" w:rsidP="00F0269A">
      <w:pPr>
        <w:pStyle w:val="Normal1"/>
        <w:spacing w:line="480" w:lineRule="auto"/>
        <w:jc w:val="both"/>
        <w:rPr>
          <w:rFonts w:ascii="Times New Roman" w:eastAsia="Times New Roman" w:hAnsi="Times New Roman" w:cs="Times New Roman"/>
          <w:sz w:val="24"/>
          <w:szCs w:val="24"/>
          <w:lang w:val="en-US"/>
        </w:rPr>
      </w:pPr>
    </w:p>
    <w:p w:rsidR="00947B01" w:rsidRDefault="00947B01" w:rsidP="00F0269A">
      <w:pPr>
        <w:pStyle w:val="Normal1"/>
        <w:spacing w:line="480" w:lineRule="auto"/>
        <w:jc w:val="both"/>
        <w:rPr>
          <w:rFonts w:ascii="Times New Roman" w:eastAsia="Times New Roman" w:hAnsi="Times New Roman" w:cs="Times New Roman"/>
          <w:sz w:val="24"/>
          <w:szCs w:val="24"/>
          <w:lang w:val="en-US"/>
        </w:rPr>
      </w:pPr>
    </w:p>
    <w:p w:rsidR="00947B01" w:rsidRDefault="00947B01" w:rsidP="00F0269A">
      <w:pPr>
        <w:pStyle w:val="Normal1"/>
        <w:spacing w:line="480" w:lineRule="auto"/>
        <w:jc w:val="both"/>
        <w:rPr>
          <w:rFonts w:ascii="Times New Roman" w:eastAsia="Times New Roman" w:hAnsi="Times New Roman" w:cs="Times New Roman"/>
          <w:sz w:val="24"/>
          <w:szCs w:val="24"/>
          <w:lang w:val="en-US"/>
        </w:rPr>
      </w:pPr>
    </w:p>
    <w:p w:rsidR="00947B01" w:rsidRPr="009A10E6" w:rsidRDefault="00947B01" w:rsidP="00F0269A">
      <w:pPr>
        <w:pStyle w:val="Normal1"/>
        <w:spacing w:line="480" w:lineRule="auto"/>
        <w:jc w:val="both"/>
        <w:rPr>
          <w:rFonts w:ascii="Times New Roman" w:eastAsia="Times New Roman" w:hAnsi="Times New Roman" w:cs="Times New Roman"/>
          <w:sz w:val="24"/>
          <w:szCs w:val="24"/>
          <w:lang w:val="en-US"/>
        </w:rPr>
      </w:pPr>
    </w:p>
    <w:p w:rsidR="00C8103D" w:rsidRPr="00552730" w:rsidRDefault="002004D8" w:rsidP="00552730">
      <w:pPr>
        <w:pStyle w:val="Normal1"/>
        <w:tabs>
          <w:tab w:val="left" w:pos="0"/>
        </w:tabs>
        <w:spacing w:line="480" w:lineRule="auto"/>
        <w:jc w:val="both"/>
        <w:rPr>
          <w:rFonts w:ascii="Times New Roman" w:eastAsia="Times New Roman" w:hAnsi="Times New Roman" w:cs="Times New Roman"/>
          <w:b/>
          <w:color w:val="2F5496"/>
          <w:sz w:val="24"/>
          <w:szCs w:val="24"/>
          <w:lang w:val="en-US"/>
        </w:rPr>
      </w:pPr>
      <w:r w:rsidRPr="009A10E6">
        <w:rPr>
          <w:rFonts w:ascii="Times New Roman" w:eastAsia="Times New Roman" w:hAnsi="Times New Roman" w:cs="Times New Roman"/>
          <w:b/>
          <w:color w:val="2F5496"/>
          <w:sz w:val="24"/>
          <w:szCs w:val="24"/>
          <w:lang w:val="en-US"/>
        </w:rPr>
        <w:lastRenderedPageBreak/>
        <w:t xml:space="preserve">The </w:t>
      </w:r>
      <w:r w:rsidR="00A846E2" w:rsidRPr="009A10E6">
        <w:rPr>
          <w:rFonts w:ascii="Times New Roman" w:eastAsia="Times New Roman" w:hAnsi="Times New Roman" w:cs="Times New Roman"/>
          <w:b/>
          <w:color w:val="2F5496"/>
          <w:sz w:val="24"/>
          <w:szCs w:val="24"/>
          <w:lang w:val="en-US"/>
        </w:rPr>
        <w:t>Greek</w:t>
      </w:r>
      <w:r w:rsidRPr="009A10E6">
        <w:rPr>
          <w:rFonts w:ascii="Times New Roman" w:eastAsia="Times New Roman" w:hAnsi="Times New Roman" w:cs="Times New Roman"/>
          <w:b/>
          <w:color w:val="2F5496"/>
          <w:sz w:val="24"/>
          <w:szCs w:val="24"/>
          <w:lang w:val="en-US"/>
        </w:rPr>
        <w:t xml:space="preserve"> context</w:t>
      </w:r>
    </w:p>
    <w:p w:rsidR="00C66781" w:rsidRPr="009A10E6" w:rsidRDefault="00C8103D" w:rsidP="00F0269A">
      <w:pPr>
        <w:pStyle w:val="Normal1"/>
        <w:spacing w:line="480" w:lineRule="auto"/>
        <w:ind w:firstLine="720"/>
        <w:jc w:val="both"/>
        <w:rPr>
          <w:rFonts w:ascii="Times New Roman" w:eastAsia="Times New Roman" w:hAnsi="Times New Roman" w:cs="Times New Roman"/>
          <w:sz w:val="24"/>
          <w:szCs w:val="24"/>
          <w:lang w:val="en-US"/>
        </w:rPr>
      </w:pPr>
      <w:r w:rsidRPr="009A10E6">
        <w:rPr>
          <w:rFonts w:ascii="Times New Roman" w:eastAsia="Times New Roman" w:hAnsi="Times New Roman" w:cs="Times New Roman"/>
          <w:sz w:val="24"/>
          <w:szCs w:val="24"/>
          <w:lang w:val="en-US"/>
        </w:rPr>
        <w:t xml:space="preserve">The years between 1964 to 1967 were part of a unique point in time for Greece, one with </w:t>
      </w:r>
      <w:r w:rsidR="00C66781" w:rsidRPr="009A10E6">
        <w:rPr>
          <w:rFonts w:ascii="Times New Roman" w:eastAsia="Times New Roman" w:hAnsi="Times New Roman" w:cs="Times New Roman"/>
          <w:sz w:val="24"/>
          <w:szCs w:val="24"/>
          <w:lang w:val="en-US"/>
        </w:rPr>
        <w:t xml:space="preserve">features that clearly </w:t>
      </w:r>
      <w:commentRangeStart w:id="17"/>
      <w:r w:rsidR="00C66781" w:rsidRPr="009A10E6">
        <w:rPr>
          <w:rFonts w:ascii="Times New Roman" w:eastAsia="Times New Roman" w:hAnsi="Times New Roman" w:cs="Times New Roman"/>
          <w:sz w:val="24"/>
          <w:szCs w:val="24"/>
          <w:lang w:val="en-US"/>
        </w:rPr>
        <w:t>distanced</w:t>
      </w:r>
      <w:commentRangeEnd w:id="17"/>
      <w:r w:rsidR="00552730">
        <w:rPr>
          <w:rStyle w:val="CommentReference"/>
          <w:rFonts w:ascii="Calibri" w:eastAsia="Calibri" w:hAnsi="Calibri" w:cs="Times New Roman"/>
          <w:lang w:val="en-US" w:eastAsia="en-US"/>
        </w:rPr>
        <w:commentReference w:id="17"/>
      </w:r>
      <w:r w:rsidR="00C66781" w:rsidRPr="009A10E6">
        <w:rPr>
          <w:rFonts w:ascii="Times New Roman" w:eastAsia="Times New Roman" w:hAnsi="Times New Roman" w:cs="Times New Roman"/>
          <w:sz w:val="24"/>
          <w:szCs w:val="24"/>
          <w:lang w:val="en-US"/>
        </w:rPr>
        <w:t xml:space="preserve"> it from its past, since during that time frame, an important political change occurred</w:t>
      </w:r>
      <w:r w:rsidR="007852DB" w:rsidRPr="009A10E6">
        <w:rPr>
          <w:rFonts w:ascii="Times New Roman" w:eastAsia="Times New Roman" w:hAnsi="Times New Roman" w:cs="Times New Roman"/>
          <w:sz w:val="24"/>
          <w:szCs w:val="24"/>
          <w:lang w:val="en-US"/>
        </w:rPr>
        <w:t xml:space="preserve"> which disrupted the country’s </w:t>
      </w:r>
      <w:r w:rsidR="00C66781" w:rsidRPr="009A10E6">
        <w:rPr>
          <w:rFonts w:ascii="Times New Roman" w:eastAsia="Times New Roman" w:hAnsi="Times New Roman" w:cs="Times New Roman"/>
          <w:sz w:val="24"/>
          <w:szCs w:val="24"/>
          <w:lang w:val="en-US"/>
        </w:rPr>
        <w:t xml:space="preserve">long line of conservative governments. </w:t>
      </w:r>
      <w:r w:rsidR="00CC4898">
        <w:rPr>
          <w:rFonts w:ascii="Times New Roman" w:eastAsia="Times New Roman" w:hAnsi="Times New Roman" w:cs="Times New Roman"/>
          <w:sz w:val="24"/>
          <w:szCs w:val="24"/>
          <w:lang w:val="en-US"/>
        </w:rPr>
        <w:t>In this article we</w:t>
      </w:r>
      <w:r w:rsidR="00C66781" w:rsidRPr="009A10E6">
        <w:rPr>
          <w:rFonts w:ascii="Times New Roman" w:eastAsia="Times New Roman" w:hAnsi="Times New Roman" w:cs="Times New Roman"/>
          <w:sz w:val="24"/>
          <w:szCs w:val="24"/>
          <w:lang w:val="en-US"/>
        </w:rPr>
        <w:t xml:space="preserve"> aim to </w:t>
      </w:r>
      <w:r w:rsidR="00990173">
        <w:rPr>
          <w:rFonts w:ascii="Times New Roman" w:eastAsia="Times New Roman" w:hAnsi="Times New Roman" w:cs="Times New Roman"/>
          <w:sz w:val="24"/>
          <w:szCs w:val="24"/>
          <w:lang w:val="en-US"/>
        </w:rPr>
        <w:t xml:space="preserve">articulate the extent to which </w:t>
      </w:r>
      <w:r w:rsidR="00C66781" w:rsidRPr="009A10E6">
        <w:rPr>
          <w:rFonts w:ascii="Times New Roman" w:eastAsia="Times New Roman" w:hAnsi="Times New Roman" w:cs="Times New Roman"/>
          <w:sz w:val="24"/>
          <w:szCs w:val="24"/>
          <w:lang w:val="en-US"/>
        </w:rPr>
        <w:t>these reforming acts were influenced by the aforementioned international developments.</w:t>
      </w:r>
    </w:p>
    <w:p w:rsidR="00721059" w:rsidRPr="009A10E6" w:rsidRDefault="00C66781" w:rsidP="00F0269A">
      <w:pPr>
        <w:pStyle w:val="Normal1"/>
        <w:spacing w:line="480" w:lineRule="auto"/>
        <w:ind w:firstLine="720"/>
        <w:jc w:val="both"/>
        <w:rPr>
          <w:rFonts w:ascii="Times New Roman" w:eastAsia="Times New Roman" w:hAnsi="Times New Roman" w:cs="Times New Roman"/>
          <w:sz w:val="24"/>
          <w:szCs w:val="24"/>
          <w:lang w:val="en-US"/>
        </w:rPr>
      </w:pPr>
      <w:r w:rsidRPr="009A10E6">
        <w:rPr>
          <w:rFonts w:ascii="Times New Roman" w:eastAsia="Times New Roman" w:hAnsi="Times New Roman" w:cs="Times New Roman"/>
          <w:sz w:val="24"/>
          <w:szCs w:val="24"/>
          <w:lang w:val="en-US"/>
        </w:rPr>
        <w:t xml:space="preserve">Based on the above, education had to take a different direction, one that would support a liberal change aiming at Greece’s economic and social adaptation to the international demands. </w:t>
      </w:r>
      <w:r w:rsidR="00AF46F7" w:rsidRPr="009A10E6">
        <w:rPr>
          <w:rFonts w:ascii="Times New Roman" w:eastAsia="Times New Roman" w:hAnsi="Times New Roman" w:cs="Times New Roman"/>
          <w:sz w:val="24"/>
          <w:szCs w:val="24"/>
          <w:lang w:val="en-US"/>
        </w:rPr>
        <w:t>The prerequisite for a move like that was a novel approach to the concept of humanism. The follow</w:t>
      </w:r>
      <w:r w:rsidR="00721059" w:rsidRPr="009A10E6">
        <w:rPr>
          <w:rFonts w:ascii="Times New Roman" w:eastAsia="Times New Roman" w:hAnsi="Times New Roman" w:cs="Times New Roman"/>
          <w:sz w:val="24"/>
          <w:szCs w:val="24"/>
          <w:lang w:val="en-US"/>
        </w:rPr>
        <w:t>ing</w:t>
      </w:r>
      <w:r w:rsidR="00AF46F7" w:rsidRPr="009A10E6">
        <w:rPr>
          <w:rFonts w:ascii="Times New Roman" w:eastAsia="Times New Roman" w:hAnsi="Times New Roman" w:cs="Times New Roman"/>
          <w:sz w:val="24"/>
          <w:szCs w:val="24"/>
          <w:lang w:val="en-US"/>
        </w:rPr>
        <w:t xml:space="preserve"> excerpt from the </w:t>
      </w:r>
      <w:r w:rsidR="0025002C" w:rsidRPr="009A10E6">
        <w:rPr>
          <w:rFonts w:ascii="Times New Roman" w:eastAsia="Times New Roman" w:hAnsi="Times New Roman" w:cs="Times New Roman"/>
          <w:sz w:val="24"/>
          <w:szCs w:val="24"/>
          <w:lang w:val="en-US"/>
        </w:rPr>
        <w:t>executive summary</w:t>
      </w:r>
      <w:r w:rsidR="00AF46F7" w:rsidRPr="009A10E6">
        <w:rPr>
          <w:rFonts w:ascii="Times New Roman" w:eastAsia="Times New Roman" w:hAnsi="Times New Roman" w:cs="Times New Roman"/>
          <w:sz w:val="24"/>
          <w:szCs w:val="24"/>
          <w:lang w:val="en-US"/>
        </w:rPr>
        <w:t xml:space="preserve"> of the legislative Decree of 1964 (</w:t>
      </w:r>
      <w:r w:rsidR="00AF46F7" w:rsidRPr="009A10E6">
        <w:rPr>
          <w:rFonts w:ascii="Times New Roman" w:eastAsia="Times New Roman" w:hAnsi="Times New Roman" w:cs="Times New Roman"/>
          <w:sz w:val="24"/>
          <w:szCs w:val="24"/>
        </w:rPr>
        <w:t>Ν</w:t>
      </w:r>
      <w:r w:rsidR="00AF46F7" w:rsidRPr="009A10E6">
        <w:rPr>
          <w:rFonts w:ascii="Times New Roman" w:eastAsia="Times New Roman" w:hAnsi="Times New Roman" w:cs="Times New Roman"/>
          <w:sz w:val="24"/>
          <w:szCs w:val="24"/>
          <w:lang w:val="en-US"/>
        </w:rPr>
        <w:t>.</w:t>
      </w:r>
      <w:r w:rsidR="00AF46F7" w:rsidRPr="009A10E6">
        <w:rPr>
          <w:rFonts w:ascii="Times New Roman" w:eastAsia="Times New Roman" w:hAnsi="Times New Roman" w:cs="Times New Roman"/>
          <w:sz w:val="24"/>
          <w:szCs w:val="24"/>
        </w:rPr>
        <w:t>Δ</w:t>
      </w:r>
      <w:r w:rsidR="00AF46F7" w:rsidRPr="009A10E6">
        <w:rPr>
          <w:rFonts w:ascii="Times New Roman" w:eastAsia="Times New Roman" w:hAnsi="Times New Roman" w:cs="Times New Roman"/>
          <w:sz w:val="24"/>
          <w:szCs w:val="24"/>
          <w:lang w:val="en-US"/>
        </w:rPr>
        <w:t xml:space="preserve">.4379/1964) is indicative: </w:t>
      </w:r>
      <w:r w:rsidR="00721059" w:rsidRPr="009A10E6">
        <w:rPr>
          <w:rFonts w:ascii="Times New Roman" w:eastAsia="Times New Roman" w:hAnsi="Times New Roman" w:cs="Times New Roman"/>
          <w:i/>
          <w:sz w:val="24"/>
          <w:szCs w:val="24"/>
          <w:lang w:val="en-US"/>
        </w:rPr>
        <w:t xml:space="preserve">“The humanism whose idea will inspire our National Education in all its levels, should be that which is not </w:t>
      </w:r>
      <w:r w:rsidR="0025002C" w:rsidRPr="009A10E6">
        <w:rPr>
          <w:rFonts w:ascii="Times New Roman" w:eastAsia="Times New Roman" w:hAnsi="Times New Roman" w:cs="Times New Roman"/>
          <w:i/>
          <w:sz w:val="24"/>
          <w:szCs w:val="24"/>
          <w:lang w:val="en-US"/>
        </w:rPr>
        <w:t>fixated</w:t>
      </w:r>
      <w:r w:rsidR="00721059" w:rsidRPr="009A10E6">
        <w:rPr>
          <w:rFonts w:ascii="Times New Roman" w:eastAsia="Times New Roman" w:hAnsi="Times New Roman" w:cs="Times New Roman"/>
          <w:i/>
          <w:sz w:val="24"/>
          <w:szCs w:val="24"/>
          <w:lang w:val="en-US"/>
        </w:rPr>
        <w:t xml:space="preserve"> on passively worshipping the dead forms of the past, neither opposes the Sciences and Crafts (which has been our century’s  pride and accomplishment) but, remaining faithful to the deeper meanings of Greek Culture and Orthodox Faith, will embrace the great intellectual currents of our times and will aim to improve and refine Human life both in its private and common aspects</w:t>
      </w:r>
      <w:r w:rsidR="0078262E" w:rsidRPr="009A10E6">
        <w:rPr>
          <w:rFonts w:ascii="Times New Roman" w:eastAsia="Times New Roman" w:hAnsi="Times New Roman" w:cs="Times New Roman"/>
          <w:i/>
          <w:sz w:val="24"/>
          <w:szCs w:val="24"/>
          <w:lang w:val="en-US"/>
        </w:rPr>
        <w:t>”</w:t>
      </w:r>
      <w:r w:rsidR="006608DA" w:rsidRPr="009A10E6">
        <w:rPr>
          <w:rStyle w:val="FootnoteReference"/>
          <w:rFonts w:ascii="Times New Roman" w:eastAsia="Times New Roman" w:hAnsi="Times New Roman" w:cs="Times New Roman"/>
          <w:sz w:val="24"/>
          <w:szCs w:val="24"/>
        </w:rPr>
        <w:footnoteReference w:id="4"/>
      </w:r>
      <w:r w:rsidR="006608DA" w:rsidRPr="009A10E6">
        <w:rPr>
          <w:rFonts w:ascii="Times New Roman" w:eastAsia="Times New Roman" w:hAnsi="Times New Roman" w:cs="Times New Roman"/>
          <w:sz w:val="24"/>
          <w:szCs w:val="24"/>
          <w:lang w:val="en-US"/>
        </w:rPr>
        <w:t xml:space="preserve">. </w:t>
      </w:r>
      <w:r w:rsidR="0078262E" w:rsidRPr="009A10E6">
        <w:rPr>
          <w:rFonts w:ascii="Times New Roman" w:eastAsia="Times New Roman" w:hAnsi="Times New Roman" w:cs="Times New Roman"/>
          <w:sz w:val="24"/>
          <w:szCs w:val="24"/>
          <w:lang w:val="en-US"/>
        </w:rPr>
        <w:t>Spelled out in it</w:t>
      </w:r>
      <w:r w:rsidR="007E77B8" w:rsidRPr="009A10E6">
        <w:rPr>
          <w:rFonts w:ascii="Times New Roman" w:eastAsia="Times New Roman" w:hAnsi="Times New Roman" w:cs="Times New Roman"/>
          <w:sz w:val="24"/>
          <w:szCs w:val="24"/>
          <w:lang w:val="en-US"/>
        </w:rPr>
        <w:t>, is a different view of Greek culture in its two fundamental characteristics. The distancing of it from blind ancestor worship and the high quality encouragement of students’ pursuit of the sciences</w:t>
      </w:r>
      <w:r w:rsidR="006608DA" w:rsidRPr="009A10E6">
        <w:rPr>
          <w:rStyle w:val="FootnoteReference"/>
          <w:rFonts w:ascii="Times New Roman" w:eastAsia="Times New Roman" w:hAnsi="Times New Roman" w:cs="Times New Roman"/>
          <w:sz w:val="24"/>
          <w:szCs w:val="24"/>
        </w:rPr>
        <w:footnoteReference w:id="5"/>
      </w:r>
      <w:r w:rsidR="006608DA" w:rsidRPr="009A10E6">
        <w:rPr>
          <w:rFonts w:ascii="Times New Roman" w:eastAsia="Times New Roman" w:hAnsi="Times New Roman" w:cs="Times New Roman"/>
          <w:sz w:val="24"/>
          <w:szCs w:val="24"/>
          <w:lang w:val="en-US"/>
        </w:rPr>
        <w:t>.</w:t>
      </w:r>
    </w:p>
    <w:p w:rsidR="00E40E25" w:rsidRPr="009A10E6" w:rsidRDefault="007E77B8" w:rsidP="00F0269A">
      <w:pPr>
        <w:spacing w:line="480" w:lineRule="auto"/>
        <w:ind w:firstLine="709"/>
        <w:jc w:val="both"/>
        <w:rPr>
          <w:rFonts w:ascii="Times New Roman" w:hAnsi="Times New Roman"/>
        </w:rPr>
      </w:pPr>
      <w:r w:rsidRPr="009A10E6">
        <w:rPr>
          <w:rFonts w:ascii="Times New Roman" w:hAnsi="Times New Roman"/>
        </w:rPr>
        <w:lastRenderedPageBreak/>
        <w:t xml:space="preserve">This </w:t>
      </w:r>
      <w:r w:rsidR="00990173" w:rsidRPr="009A10E6">
        <w:rPr>
          <w:rFonts w:ascii="Times New Roman" w:hAnsi="Times New Roman"/>
        </w:rPr>
        <w:t>vision</w:t>
      </w:r>
      <w:r w:rsidRPr="009A10E6">
        <w:rPr>
          <w:rFonts w:ascii="Times New Roman" w:hAnsi="Times New Roman"/>
        </w:rPr>
        <w:t xml:space="preserve"> was largely put into practice with the legislative decree of 1964 and was further implemented with two government bills</w:t>
      </w:r>
      <w:r w:rsidR="00AB5C67" w:rsidRPr="009A10E6">
        <w:rPr>
          <w:rFonts w:ascii="Times New Roman" w:hAnsi="Times New Roman"/>
        </w:rPr>
        <w:t xml:space="preserve">, the </w:t>
      </w:r>
      <w:commentRangeStart w:id="18"/>
      <w:r w:rsidR="00AB5C67" w:rsidRPr="009A10E6">
        <w:rPr>
          <w:rFonts w:ascii="Times New Roman" w:hAnsi="Times New Roman"/>
          <w:i/>
        </w:rPr>
        <w:t>On</w:t>
      </w:r>
      <w:commentRangeEnd w:id="18"/>
      <w:r w:rsidR="00E01DA8">
        <w:rPr>
          <w:rStyle w:val="CommentReference"/>
        </w:rPr>
        <w:commentReference w:id="18"/>
      </w:r>
      <w:r w:rsidR="00AB5C67" w:rsidRPr="009A10E6">
        <w:rPr>
          <w:rFonts w:ascii="Times New Roman" w:hAnsi="Times New Roman"/>
          <w:i/>
        </w:rPr>
        <w:t xml:space="preserve"> </w:t>
      </w:r>
      <w:r w:rsidR="0025002C" w:rsidRPr="009A10E6">
        <w:rPr>
          <w:rFonts w:ascii="Times New Roman" w:hAnsi="Times New Roman"/>
          <w:i/>
        </w:rPr>
        <w:t>t</w:t>
      </w:r>
      <w:r w:rsidR="00AB5C67" w:rsidRPr="009A10E6">
        <w:rPr>
          <w:rFonts w:ascii="Times New Roman" w:hAnsi="Times New Roman"/>
          <w:i/>
        </w:rPr>
        <w:t xml:space="preserve">echnical </w:t>
      </w:r>
      <w:r w:rsidR="0025002C" w:rsidRPr="009A10E6">
        <w:rPr>
          <w:rFonts w:ascii="Times New Roman" w:hAnsi="Times New Roman"/>
          <w:i/>
        </w:rPr>
        <w:t>e</w:t>
      </w:r>
      <w:r w:rsidR="00AB5C67" w:rsidRPr="009A10E6">
        <w:rPr>
          <w:rFonts w:ascii="Times New Roman" w:hAnsi="Times New Roman"/>
          <w:i/>
        </w:rPr>
        <w:t xml:space="preserve">ducation </w:t>
      </w:r>
      <w:r w:rsidR="00AB5C67" w:rsidRPr="009A10E6">
        <w:rPr>
          <w:rFonts w:ascii="Times New Roman" w:hAnsi="Times New Roman"/>
        </w:rPr>
        <w:t xml:space="preserve">and </w:t>
      </w:r>
      <w:r w:rsidR="00AB5C67" w:rsidRPr="009A10E6">
        <w:rPr>
          <w:rFonts w:ascii="Times New Roman" w:hAnsi="Times New Roman"/>
          <w:i/>
        </w:rPr>
        <w:t>On</w:t>
      </w:r>
      <w:r w:rsidR="0025002C" w:rsidRPr="009A10E6">
        <w:rPr>
          <w:rFonts w:ascii="Times New Roman" w:hAnsi="Times New Roman"/>
          <w:i/>
        </w:rPr>
        <w:t xml:space="preserve"> the founding of </w:t>
      </w:r>
      <w:commentRangeStart w:id="19"/>
      <w:r w:rsidR="0025002C" w:rsidRPr="009A10E6">
        <w:rPr>
          <w:rFonts w:ascii="Times New Roman" w:hAnsi="Times New Roman"/>
          <w:i/>
        </w:rPr>
        <w:t>universities</w:t>
      </w:r>
      <w:commentRangeEnd w:id="19"/>
      <w:r w:rsidR="006308ED">
        <w:rPr>
          <w:rStyle w:val="CommentReference"/>
        </w:rPr>
        <w:commentReference w:id="19"/>
      </w:r>
      <w:r w:rsidR="0025002C" w:rsidRPr="009A10E6">
        <w:rPr>
          <w:rFonts w:ascii="Times New Roman" w:hAnsi="Times New Roman"/>
        </w:rPr>
        <w:t>, which were never voted due to the uprisings that led to the government’s fall</w:t>
      </w:r>
      <w:r w:rsidR="002D0BCA" w:rsidRPr="009A10E6">
        <w:rPr>
          <w:rFonts w:ascii="Times New Roman" w:hAnsi="Times New Roman"/>
        </w:rPr>
        <w:t xml:space="preserve"> one year later</w:t>
      </w:r>
      <w:r w:rsidR="0025002C" w:rsidRPr="009A10E6">
        <w:rPr>
          <w:rFonts w:ascii="Times New Roman" w:hAnsi="Times New Roman"/>
        </w:rPr>
        <w:t xml:space="preserve">. It was this very same reforming spirit that naturally swayed teacher training programs which had to </w:t>
      </w:r>
      <w:r w:rsidR="002D0BCA" w:rsidRPr="009A10E6">
        <w:rPr>
          <w:rFonts w:ascii="Times New Roman" w:hAnsi="Times New Roman"/>
        </w:rPr>
        <w:t xml:space="preserve">be </w:t>
      </w:r>
      <w:r w:rsidR="0025002C" w:rsidRPr="009A10E6">
        <w:rPr>
          <w:rFonts w:ascii="Times New Roman" w:hAnsi="Times New Roman"/>
        </w:rPr>
        <w:t xml:space="preserve">revised in order to serve the liberal mindset that was on the rise. The greatest changes were brought about by the decree of 1964, evident in articles 13, 16 &amp; 17 and their corresponding parts in the executive summary, which are the source of vital information. The changes concerning </w:t>
      </w:r>
      <w:r w:rsidR="00F85597">
        <w:rPr>
          <w:rFonts w:ascii="Times New Roman" w:hAnsi="Times New Roman"/>
        </w:rPr>
        <w:t xml:space="preserve">PAs </w:t>
      </w:r>
      <w:r w:rsidR="0025002C" w:rsidRPr="009A10E6">
        <w:rPr>
          <w:rFonts w:ascii="Times New Roman" w:hAnsi="Times New Roman"/>
        </w:rPr>
        <w:t>are the following</w:t>
      </w:r>
      <w:r w:rsidR="00190597" w:rsidRPr="009A10E6">
        <w:rPr>
          <w:rFonts w:ascii="Times New Roman" w:hAnsi="Times New Roman"/>
        </w:rPr>
        <w:t>:</w:t>
      </w:r>
    </w:p>
    <w:p w:rsidR="00190597" w:rsidRPr="009A10E6" w:rsidRDefault="00190597" w:rsidP="00F0269A">
      <w:pPr>
        <w:pStyle w:val="ListParagraph"/>
        <w:numPr>
          <w:ilvl w:val="0"/>
          <w:numId w:val="1"/>
        </w:numPr>
        <w:spacing w:line="480" w:lineRule="auto"/>
        <w:ind w:left="142" w:hanging="142"/>
        <w:jc w:val="both"/>
        <w:rPr>
          <w:rFonts w:ascii="Times New Roman" w:hAnsi="Times New Roman"/>
        </w:rPr>
      </w:pPr>
      <w:r w:rsidRPr="009A10E6">
        <w:rPr>
          <w:rFonts w:ascii="Times New Roman" w:hAnsi="Times New Roman"/>
        </w:rPr>
        <w:t>Increase of attendance years to three.</w:t>
      </w:r>
    </w:p>
    <w:p w:rsidR="00190597" w:rsidRPr="009A10E6" w:rsidRDefault="00190597" w:rsidP="00F0269A">
      <w:pPr>
        <w:pStyle w:val="ListParagraph"/>
        <w:numPr>
          <w:ilvl w:val="0"/>
          <w:numId w:val="1"/>
        </w:numPr>
        <w:spacing w:line="480" w:lineRule="auto"/>
        <w:ind w:left="142" w:hanging="142"/>
        <w:jc w:val="both"/>
        <w:rPr>
          <w:rFonts w:ascii="Times New Roman" w:hAnsi="Times New Roman"/>
        </w:rPr>
      </w:pPr>
      <w:r w:rsidRPr="009A10E6">
        <w:rPr>
          <w:rFonts w:ascii="Times New Roman" w:hAnsi="Times New Roman"/>
        </w:rPr>
        <w:t>Student admission to PAs depended on the grade of the students’ academic certificate</w:t>
      </w:r>
      <w:r w:rsidR="002D0BCA" w:rsidRPr="009A10E6">
        <w:rPr>
          <w:rFonts w:ascii="Times New Roman" w:hAnsi="Times New Roman"/>
        </w:rPr>
        <w:t xml:space="preserve"> taken by school</w:t>
      </w:r>
      <w:r w:rsidRPr="009A10E6">
        <w:rPr>
          <w:rFonts w:ascii="Times New Roman" w:hAnsi="Times New Roman"/>
        </w:rPr>
        <w:t>, annulling the process of written admission exams.</w:t>
      </w:r>
    </w:p>
    <w:p w:rsidR="00190597" w:rsidRPr="009A10E6" w:rsidRDefault="002D0BCA" w:rsidP="00F0269A">
      <w:pPr>
        <w:pStyle w:val="ListParagraph"/>
        <w:numPr>
          <w:ilvl w:val="0"/>
          <w:numId w:val="1"/>
        </w:numPr>
        <w:spacing w:line="480" w:lineRule="auto"/>
        <w:ind w:left="142" w:hanging="142"/>
        <w:jc w:val="both"/>
        <w:rPr>
          <w:rFonts w:ascii="Times New Roman" w:hAnsi="Times New Roman"/>
        </w:rPr>
      </w:pPr>
      <w:r w:rsidRPr="009A10E6">
        <w:rPr>
          <w:rFonts w:ascii="Times New Roman" w:hAnsi="Times New Roman"/>
        </w:rPr>
        <w:t>C</w:t>
      </w:r>
      <w:r w:rsidR="00190597" w:rsidRPr="009A10E6">
        <w:rPr>
          <w:rFonts w:ascii="Times New Roman" w:hAnsi="Times New Roman"/>
        </w:rPr>
        <w:t xml:space="preserve">ombination of practiced </w:t>
      </w:r>
      <w:r w:rsidRPr="009A10E6">
        <w:rPr>
          <w:rFonts w:ascii="Times New Roman" w:hAnsi="Times New Roman"/>
        </w:rPr>
        <w:t>and</w:t>
      </w:r>
      <w:r w:rsidR="00190597" w:rsidRPr="009A10E6">
        <w:rPr>
          <w:rFonts w:ascii="Times New Roman" w:hAnsi="Times New Roman"/>
        </w:rPr>
        <w:t xml:space="preserve"> theoretical </w:t>
      </w:r>
      <w:r w:rsidRPr="009A10E6">
        <w:rPr>
          <w:rFonts w:ascii="Times New Roman" w:hAnsi="Times New Roman"/>
        </w:rPr>
        <w:t>training</w:t>
      </w:r>
      <w:r w:rsidR="00F85597">
        <w:rPr>
          <w:rFonts w:ascii="Times New Roman" w:hAnsi="Times New Roman"/>
        </w:rPr>
        <w:t xml:space="preserve"> in</w:t>
      </w:r>
      <w:r w:rsidR="00683484" w:rsidRPr="009A10E6">
        <w:rPr>
          <w:rFonts w:ascii="Times New Roman" w:eastAsia="Times New Roman" w:hAnsi="Times New Roman"/>
        </w:rPr>
        <w:t>.</w:t>
      </w:r>
      <w:r w:rsidR="00683484" w:rsidRPr="009A10E6">
        <w:rPr>
          <w:rFonts w:ascii="Times New Roman" w:eastAsia="Times New Roman" w:hAnsi="Times New Roman"/>
          <w:vertAlign w:val="superscript"/>
        </w:rPr>
        <w:footnoteReference w:id="6"/>
      </w:r>
    </w:p>
    <w:p w:rsidR="005A1668" w:rsidRPr="009A10E6" w:rsidRDefault="002D0BCA" w:rsidP="00F0269A">
      <w:pPr>
        <w:pStyle w:val="ListParagraph"/>
        <w:numPr>
          <w:ilvl w:val="0"/>
          <w:numId w:val="1"/>
        </w:numPr>
        <w:spacing w:line="480" w:lineRule="auto"/>
        <w:ind w:left="142" w:hanging="142"/>
        <w:jc w:val="both"/>
        <w:rPr>
          <w:rFonts w:ascii="Times New Roman" w:hAnsi="Times New Roman"/>
        </w:rPr>
      </w:pPr>
      <w:r w:rsidRPr="009A10E6">
        <w:rPr>
          <w:rFonts w:ascii="Times New Roman" w:hAnsi="Times New Roman"/>
        </w:rPr>
        <w:t>I</w:t>
      </w:r>
      <w:r w:rsidR="005A1668" w:rsidRPr="009A10E6">
        <w:rPr>
          <w:rFonts w:ascii="Times New Roman" w:hAnsi="Times New Roman"/>
        </w:rPr>
        <w:t xml:space="preserve">ssues concerning the supervision and direction of the PAs </w:t>
      </w:r>
      <w:r w:rsidRPr="009A10E6">
        <w:rPr>
          <w:rFonts w:ascii="Times New Roman" w:hAnsi="Times New Roman"/>
        </w:rPr>
        <w:t xml:space="preserve">were entrusted </w:t>
      </w:r>
      <w:r w:rsidR="005A1668" w:rsidRPr="009A10E6">
        <w:rPr>
          <w:rFonts w:ascii="Times New Roman" w:hAnsi="Times New Roman"/>
        </w:rPr>
        <w:t xml:space="preserve">to the </w:t>
      </w:r>
      <w:r w:rsidRPr="009A10E6">
        <w:rPr>
          <w:rFonts w:ascii="Times New Roman" w:hAnsi="Times New Roman"/>
        </w:rPr>
        <w:t xml:space="preserve">newly founded </w:t>
      </w:r>
      <w:r w:rsidR="005A1668" w:rsidRPr="009A10E6">
        <w:rPr>
          <w:rFonts w:ascii="Times New Roman" w:hAnsi="Times New Roman"/>
        </w:rPr>
        <w:t>independent Pedagogical Institute.</w:t>
      </w:r>
    </w:p>
    <w:p w:rsidR="005A1668" w:rsidRPr="009A10E6" w:rsidRDefault="00CD6165" w:rsidP="00F0269A">
      <w:pPr>
        <w:pStyle w:val="ListParagraph"/>
        <w:spacing w:line="480" w:lineRule="auto"/>
        <w:ind w:left="0" w:firstLine="709"/>
        <w:jc w:val="both"/>
        <w:rPr>
          <w:rFonts w:ascii="Times New Roman" w:hAnsi="Times New Roman"/>
        </w:rPr>
      </w:pPr>
      <w:r w:rsidRPr="009A10E6">
        <w:rPr>
          <w:rFonts w:ascii="Times New Roman" w:hAnsi="Times New Roman"/>
        </w:rPr>
        <w:t>When it came to the rest of the legislative actions that took place after the decree of 1964, the ones related to teacher training in PAs</w:t>
      </w:r>
      <w:r w:rsidR="00224EB8" w:rsidRPr="009A10E6">
        <w:rPr>
          <w:rFonts w:ascii="Times New Roman" w:hAnsi="Times New Roman"/>
        </w:rPr>
        <w:t xml:space="preserve"> </w:t>
      </w:r>
      <w:r w:rsidRPr="009A10E6">
        <w:rPr>
          <w:rFonts w:ascii="Times New Roman" w:hAnsi="Times New Roman"/>
        </w:rPr>
        <w:t>are the following:</w:t>
      </w:r>
    </w:p>
    <w:p w:rsidR="00CD6165" w:rsidRPr="009A10E6" w:rsidRDefault="00224EB8" w:rsidP="00F0269A">
      <w:pPr>
        <w:pStyle w:val="ListParagraph"/>
        <w:numPr>
          <w:ilvl w:val="0"/>
          <w:numId w:val="1"/>
        </w:numPr>
        <w:spacing w:line="480" w:lineRule="auto"/>
        <w:ind w:left="142" w:hanging="142"/>
        <w:jc w:val="both"/>
        <w:rPr>
          <w:rFonts w:ascii="Times New Roman" w:hAnsi="Times New Roman"/>
        </w:rPr>
      </w:pPr>
      <w:r w:rsidRPr="009A10E6">
        <w:rPr>
          <w:rFonts w:ascii="Times New Roman" w:hAnsi="Times New Roman"/>
        </w:rPr>
        <w:t>The 1964 assignment of new PA Curriculum and Schedule</w:t>
      </w:r>
      <w:r w:rsidR="00683484" w:rsidRPr="009A10E6">
        <w:rPr>
          <w:rFonts w:ascii="Times New Roman" w:hAnsi="Times New Roman"/>
        </w:rPr>
        <w:t>.</w:t>
      </w:r>
    </w:p>
    <w:p w:rsidR="00224EB8" w:rsidRPr="009A10E6" w:rsidRDefault="00224EB8" w:rsidP="00F0269A">
      <w:pPr>
        <w:pStyle w:val="ListParagraph"/>
        <w:numPr>
          <w:ilvl w:val="0"/>
          <w:numId w:val="1"/>
        </w:numPr>
        <w:spacing w:line="480" w:lineRule="auto"/>
        <w:ind w:left="142" w:hanging="142"/>
        <w:jc w:val="both"/>
        <w:rPr>
          <w:rFonts w:ascii="Times New Roman" w:hAnsi="Times New Roman"/>
        </w:rPr>
      </w:pPr>
      <w:r w:rsidRPr="009A10E6">
        <w:rPr>
          <w:rFonts w:ascii="Times New Roman" w:hAnsi="Times New Roman"/>
        </w:rPr>
        <w:t xml:space="preserve">Founding, in rudimentary wording and with no further explanation, of a one department PA in Karditsa, according to royal decree </w:t>
      </w:r>
      <w:r w:rsidRPr="009A10E6">
        <w:rPr>
          <w:rFonts w:ascii="Times New Roman" w:eastAsia="Times New Roman" w:hAnsi="Times New Roman"/>
        </w:rPr>
        <w:t>504/1966.</w:t>
      </w:r>
    </w:p>
    <w:p w:rsidR="00224EB8" w:rsidRPr="009A10E6" w:rsidRDefault="00224EB8" w:rsidP="00F0269A">
      <w:pPr>
        <w:pStyle w:val="ListParagraph"/>
        <w:numPr>
          <w:ilvl w:val="0"/>
          <w:numId w:val="1"/>
        </w:numPr>
        <w:spacing w:line="480" w:lineRule="auto"/>
        <w:ind w:left="142" w:hanging="142"/>
        <w:jc w:val="both"/>
        <w:rPr>
          <w:rFonts w:ascii="Times New Roman" w:hAnsi="Times New Roman"/>
        </w:rPr>
      </w:pPr>
      <w:r w:rsidRPr="009A10E6">
        <w:rPr>
          <w:rFonts w:ascii="Times New Roman" w:hAnsi="Times New Roman"/>
        </w:rPr>
        <w:lastRenderedPageBreak/>
        <w:t xml:space="preserve">Founding of a second PA department in Larisa, according to the ministerial decree </w:t>
      </w:r>
      <w:r w:rsidRPr="009A10E6">
        <w:rPr>
          <w:rFonts w:ascii="Times New Roman" w:eastAsia="Times New Roman" w:hAnsi="Times New Roman"/>
        </w:rPr>
        <w:t>110533/25-10-65.</w:t>
      </w:r>
      <w:r w:rsidRPr="009A10E6">
        <w:rPr>
          <w:rFonts w:ascii="Times New Roman" w:eastAsia="Times New Roman" w:hAnsi="Times New Roman"/>
          <w:vertAlign w:val="superscript"/>
        </w:rPr>
        <w:footnoteReference w:id="7"/>
      </w:r>
    </w:p>
    <w:p w:rsidR="00533774" w:rsidRPr="009A10E6" w:rsidRDefault="00533774" w:rsidP="00F0269A">
      <w:pPr>
        <w:pStyle w:val="ListParagraph"/>
        <w:numPr>
          <w:ilvl w:val="0"/>
          <w:numId w:val="1"/>
        </w:numPr>
        <w:spacing w:line="480" w:lineRule="auto"/>
        <w:ind w:left="142" w:hanging="142"/>
        <w:jc w:val="both"/>
        <w:rPr>
          <w:rFonts w:ascii="Times New Roman" w:hAnsi="Times New Roman"/>
        </w:rPr>
      </w:pPr>
      <w:r w:rsidRPr="009A10E6">
        <w:rPr>
          <w:rFonts w:ascii="Times New Roman" w:hAnsi="Times New Roman"/>
        </w:rPr>
        <w:t xml:space="preserve">Assignment of new Curriculum and Schedule only for the first year of PAs, according to royal decree </w:t>
      </w:r>
      <w:r w:rsidRPr="009A10E6">
        <w:rPr>
          <w:rFonts w:ascii="Times New Roman" w:eastAsia="Times New Roman" w:hAnsi="Times New Roman"/>
        </w:rPr>
        <w:t>247/1966.</w:t>
      </w:r>
    </w:p>
    <w:p w:rsidR="00CA73EE" w:rsidRPr="009A10E6" w:rsidRDefault="006112B2" w:rsidP="00F0269A">
      <w:pPr>
        <w:pStyle w:val="ListParagraph"/>
        <w:numPr>
          <w:ilvl w:val="0"/>
          <w:numId w:val="1"/>
        </w:numPr>
        <w:spacing w:line="480" w:lineRule="auto"/>
        <w:ind w:left="142" w:hanging="142"/>
        <w:jc w:val="both"/>
        <w:rPr>
          <w:rFonts w:ascii="Times New Roman" w:hAnsi="Times New Roman"/>
        </w:rPr>
      </w:pPr>
      <w:r>
        <w:rPr>
          <w:rFonts w:ascii="Times New Roman" w:hAnsi="Times New Roman"/>
          <w:lang w:val="el-GR"/>
        </w:rPr>
        <w:t>Α</w:t>
      </w:r>
      <w:r w:rsidR="00533774" w:rsidRPr="009A10E6">
        <w:rPr>
          <w:rFonts w:ascii="Times New Roman" w:hAnsi="Times New Roman"/>
        </w:rPr>
        <w:t xml:space="preserve"> more general legislative framework of royal decree </w:t>
      </w:r>
      <w:r w:rsidR="00533774" w:rsidRPr="009A10E6">
        <w:rPr>
          <w:rFonts w:ascii="Times New Roman" w:eastAsia="Times New Roman" w:hAnsi="Times New Roman"/>
        </w:rPr>
        <w:t xml:space="preserve">923/1966, which regulated a multitude of issues regarding the daily workings of PAs. Some of its most significant points included: a) strengthening the students’ </w:t>
      </w:r>
      <w:r w:rsidR="00CA73EE" w:rsidRPr="009A10E6">
        <w:rPr>
          <w:rFonts w:ascii="Times New Roman" w:eastAsia="Times New Roman" w:hAnsi="Times New Roman"/>
        </w:rPr>
        <w:t>connection</w:t>
      </w:r>
      <w:r w:rsidR="00533774" w:rsidRPr="009A10E6">
        <w:rPr>
          <w:rFonts w:ascii="Times New Roman" w:eastAsia="Times New Roman" w:hAnsi="Times New Roman"/>
        </w:rPr>
        <w:t xml:space="preserve"> to real life schools’ routine through the PAs’ Pilot Elementary and other elementary schools, b) the continuing of the pre-existing </w:t>
      </w:r>
      <w:r w:rsidR="00FE7A11" w:rsidRPr="009A10E6">
        <w:rPr>
          <w:rFonts w:ascii="Times New Roman" w:eastAsia="Times New Roman" w:hAnsi="Times New Roman"/>
        </w:rPr>
        <w:t xml:space="preserve">framework for students admission to PAs, c) plans for the creation of students’ unions, </w:t>
      </w:r>
      <w:r w:rsidR="00FD59FF" w:rsidRPr="009A10E6">
        <w:rPr>
          <w:rFonts w:ascii="Times New Roman" w:eastAsia="Times New Roman" w:hAnsi="Times New Roman"/>
        </w:rPr>
        <w:t xml:space="preserve">however without any further mention about </w:t>
      </w:r>
      <w:r w:rsidR="00FE7A11" w:rsidRPr="009A10E6">
        <w:rPr>
          <w:rFonts w:ascii="Times New Roman" w:eastAsia="Times New Roman" w:hAnsi="Times New Roman"/>
        </w:rPr>
        <w:t xml:space="preserve">operation, rights or obligations, d) the </w:t>
      </w:r>
      <w:r w:rsidR="00CA73EE" w:rsidRPr="009A10E6">
        <w:rPr>
          <w:rFonts w:ascii="Times New Roman" w:eastAsia="Times New Roman" w:hAnsi="Times New Roman"/>
        </w:rPr>
        <w:t>institutionalizing</w:t>
      </w:r>
      <w:r w:rsidR="00FE7A11" w:rsidRPr="009A10E6">
        <w:rPr>
          <w:rFonts w:ascii="Times New Roman" w:eastAsia="Times New Roman" w:hAnsi="Times New Roman"/>
        </w:rPr>
        <w:t xml:space="preserve"> of students meetings called by their unions on issues concerning the unions themselves or individual PA students. Meetings could be held on matters of lectures, trips, festivals or concerts, e) defining matters concerning students’ </w:t>
      </w:r>
      <w:r w:rsidR="00CA73EE" w:rsidRPr="009A10E6">
        <w:rPr>
          <w:rFonts w:ascii="Times New Roman" w:eastAsia="Times New Roman" w:hAnsi="Times New Roman"/>
        </w:rPr>
        <w:t>conduct</w:t>
      </w:r>
      <w:r w:rsidR="00FE7A11" w:rsidRPr="009A10E6">
        <w:rPr>
          <w:rFonts w:ascii="Times New Roman" w:eastAsia="Times New Roman" w:hAnsi="Times New Roman"/>
        </w:rPr>
        <w:t xml:space="preserve">, </w:t>
      </w:r>
      <w:r w:rsidR="00B32D43" w:rsidRPr="009A10E6">
        <w:rPr>
          <w:rFonts w:ascii="Times New Roman" w:eastAsia="Times New Roman" w:hAnsi="Times New Roman"/>
        </w:rPr>
        <w:t>rewards</w:t>
      </w:r>
      <w:r w:rsidR="00FE7A11" w:rsidRPr="009A10E6">
        <w:rPr>
          <w:rFonts w:ascii="Times New Roman" w:eastAsia="Times New Roman" w:hAnsi="Times New Roman"/>
        </w:rPr>
        <w:t xml:space="preserve"> and penalties. It </w:t>
      </w:r>
      <w:r w:rsidR="00CA73EE" w:rsidRPr="009A10E6">
        <w:rPr>
          <w:rFonts w:ascii="Times New Roman" w:eastAsia="Times New Roman" w:hAnsi="Times New Roman"/>
        </w:rPr>
        <w:t>should</w:t>
      </w:r>
      <w:r w:rsidR="00FE7A11" w:rsidRPr="009A10E6">
        <w:rPr>
          <w:rFonts w:ascii="Times New Roman" w:eastAsia="Times New Roman" w:hAnsi="Times New Roman"/>
        </w:rPr>
        <w:t xml:space="preserve"> be noted, at this point, that the institutional guidelines concerning penalties didn’t vie towards a more democratic </w:t>
      </w:r>
      <w:r w:rsidR="00CA73EE" w:rsidRPr="009A10E6">
        <w:rPr>
          <w:rFonts w:ascii="Times New Roman" w:eastAsia="Times New Roman" w:hAnsi="Times New Roman"/>
        </w:rPr>
        <w:t>viewpoint, compared to that of previous decrees, f) defining subjects taught, without providing any specifications on a more particular time schedule for all three years of study.</w:t>
      </w:r>
    </w:p>
    <w:p w:rsidR="00224EB8" w:rsidRPr="009A10E6" w:rsidRDefault="00CA73EE" w:rsidP="00F0269A">
      <w:pPr>
        <w:spacing w:line="480" w:lineRule="auto"/>
        <w:ind w:firstLine="709"/>
        <w:jc w:val="both"/>
        <w:rPr>
          <w:rFonts w:ascii="Times New Roman" w:hAnsi="Times New Roman"/>
        </w:rPr>
      </w:pPr>
      <w:commentRangeStart w:id="20"/>
      <w:r w:rsidRPr="009A10E6">
        <w:rPr>
          <w:rFonts w:ascii="Times New Roman" w:hAnsi="Times New Roman"/>
        </w:rPr>
        <w:t xml:space="preserve">Before moving on with our research, we will </w:t>
      </w:r>
      <w:commentRangeEnd w:id="20"/>
      <w:r w:rsidR="00663DE7">
        <w:rPr>
          <w:rStyle w:val="CommentReference"/>
        </w:rPr>
        <w:commentReference w:id="20"/>
      </w:r>
      <w:r w:rsidRPr="009A10E6">
        <w:rPr>
          <w:rFonts w:ascii="Times New Roman" w:hAnsi="Times New Roman"/>
        </w:rPr>
        <w:t xml:space="preserve">briefly discuss the 1964 </w:t>
      </w:r>
      <w:r w:rsidR="00053D21" w:rsidRPr="009A10E6">
        <w:rPr>
          <w:rFonts w:ascii="Times New Roman" w:hAnsi="Times New Roman"/>
        </w:rPr>
        <w:t>P</w:t>
      </w:r>
      <w:r w:rsidR="00076C8D">
        <w:rPr>
          <w:rFonts w:ascii="Times New Roman" w:hAnsi="Times New Roman"/>
          <w:lang w:val="el-GR"/>
        </w:rPr>
        <w:t>Α</w:t>
      </w:r>
      <w:r w:rsidR="00053D21" w:rsidRPr="009A10E6">
        <w:rPr>
          <w:rFonts w:ascii="Times New Roman" w:hAnsi="Times New Roman"/>
        </w:rPr>
        <w:t xml:space="preserve">s </w:t>
      </w:r>
      <w:r w:rsidRPr="009A10E6">
        <w:rPr>
          <w:rFonts w:ascii="Times New Roman" w:hAnsi="Times New Roman"/>
        </w:rPr>
        <w:t xml:space="preserve">timetable, in order to clearly show the government’s interference in the teacher training received by students in PAs. </w:t>
      </w:r>
      <w:r w:rsidR="00583279" w:rsidRPr="009A10E6">
        <w:rPr>
          <w:rFonts w:ascii="Times New Roman" w:hAnsi="Times New Roman"/>
        </w:rPr>
        <w:t>The changes implemented, once compared to what was in place in the past, prove to be greatly significant.</w:t>
      </w:r>
      <w:r w:rsidR="00326B6C" w:rsidRPr="009A10E6">
        <w:rPr>
          <w:rFonts w:ascii="Times New Roman" w:hAnsi="Times New Roman"/>
        </w:rPr>
        <w:t xml:space="preserve"> To begin with, we need to stress the increase of attendance years to three. In addition, there was the establishment of optional courses for third year students. The selection of optional courses included Modern Greek Literature, General </w:t>
      </w:r>
      <w:r w:rsidR="00326B6C" w:rsidRPr="009A10E6">
        <w:rPr>
          <w:rFonts w:ascii="Times New Roman" w:hAnsi="Times New Roman"/>
        </w:rPr>
        <w:lastRenderedPageBreak/>
        <w:t>History and Cultural History, Mathematics, Natural Sciences, Folklore Studies, Sociology and Workshops – Laboratories</w:t>
      </w:r>
      <w:r w:rsidR="006112B2">
        <w:rPr>
          <w:rFonts w:ascii="Times New Roman" w:hAnsi="Times New Roman"/>
        </w:rPr>
        <w:t xml:space="preserve"> on didactics</w:t>
      </w:r>
      <w:r w:rsidR="00326B6C" w:rsidRPr="009A10E6">
        <w:rPr>
          <w:rFonts w:ascii="Times New Roman" w:hAnsi="Times New Roman"/>
        </w:rPr>
        <w:t>. This selection</w:t>
      </w:r>
      <w:r w:rsidR="00D169BB" w:rsidRPr="009A10E6">
        <w:rPr>
          <w:rFonts w:ascii="Times New Roman" w:hAnsi="Times New Roman"/>
        </w:rPr>
        <w:t xml:space="preserve"> was an important innovation, especially if we focus on the extra hours devoted to courses for Modern Greek Literature, Mathematics and Natural Sciences, the areas of study that are also named as the core of the ‘new humanism’ promoted by this reform.</w:t>
      </w:r>
    </w:p>
    <w:p w:rsidR="00D169BB" w:rsidRPr="009A10E6" w:rsidRDefault="00053D21" w:rsidP="00F0269A">
      <w:pPr>
        <w:spacing w:line="480" w:lineRule="auto"/>
        <w:ind w:firstLine="709"/>
        <w:jc w:val="both"/>
        <w:rPr>
          <w:rFonts w:ascii="Times New Roman" w:hAnsi="Times New Roman"/>
        </w:rPr>
      </w:pPr>
      <w:r w:rsidRPr="009A10E6">
        <w:rPr>
          <w:rFonts w:ascii="Times New Roman" w:hAnsi="Times New Roman"/>
        </w:rPr>
        <w:t xml:space="preserve">What becomes apparent </w:t>
      </w:r>
      <w:r w:rsidR="00D169BB" w:rsidRPr="009A10E6">
        <w:rPr>
          <w:rFonts w:ascii="Times New Roman" w:hAnsi="Times New Roman"/>
        </w:rPr>
        <w:t xml:space="preserve">is the legislator’s attempt towards the advancement of teacher training programs’ features. </w:t>
      </w:r>
      <w:r w:rsidR="00D91FBA" w:rsidRPr="009A10E6">
        <w:rPr>
          <w:rFonts w:ascii="Times New Roman" w:hAnsi="Times New Roman"/>
        </w:rPr>
        <w:t xml:space="preserve">In older schedules, the </w:t>
      </w:r>
      <w:r w:rsidR="007511A1" w:rsidRPr="009A10E6">
        <w:rPr>
          <w:rFonts w:ascii="Times New Roman" w:hAnsi="Times New Roman"/>
        </w:rPr>
        <w:t>dominant</w:t>
      </w:r>
      <w:r w:rsidR="00D91FBA" w:rsidRPr="009A10E6">
        <w:rPr>
          <w:rFonts w:ascii="Times New Roman" w:hAnsi="Times New Roman"/>
        </w:rPr>
        <w:t xml:space="preserve"> model was that of psych</w:t>
      </w:r>
      <w:r w:rsidR="007511A1" w:rsidRPr="009A10E6">
        <w:rPr>
          <w:rFonts w:ascii="Times New Roman" w:hAnsi="Times New Roman"/>
        </w:rPr>
        <w:t>o</w:t>
      </w:r>
      <w:r w:rsidR="006608DA" w:rsidRPr="009A10E6">
        <w:rPr>
          <w:rFonts w:ascii="Times New Roman" w:hAnsi="Times New Roman"/>
        </w:rPr>
        <w:t>-</w:t>
      </w:r>
      <w:r w:rsidR="00D91FBA" w:rsidRPr="009A10E6">
        <w:rPr>
          <w:rFonts w:ascii="Times New Roman" w:hAnsi="Times New Roman"/>
        </w:rPr>
        <w:t>pedagogic scientism, which set as its primary goal the pedagogic, teaching and psychological training, especially when it came to the psychology of learning (</w:t>
      </w:r>
      <w:r w:rsidR="006112B2">
        <w:rPr>
          <w:rFonts w:ascii="Times New Roman" w:hAnsi="Times New Roman"/>
          <w:lang w:val="el-GR"/>
        </w:rPr>
        <w:t>Αντωνίου</w:t>
      </w:r>
      <w:r w:rsidR="00D91FBA" w:rsidRPr="009A10E6">
        <w:rPr>
          <w:rFonts w:ascii="Times New Roman" w:hAnsi="Times New Roman"/>
        </w:rPr>
        <w:t xml:space="preserve">, 2009:31-34). At the same time, courses were organized in such a manner as to </w:t>
      </w:r>
      <w:r w:rsidR="007511A1" w:rsidRPr="009A10E6">
        <w:rPr>
          <w:rFonts w:ascii="Times New Roman" w:hAnsi="Times New Roman"/>
        </w:rPr>
        <w:t xml:space="preserve">steer one towards a paternalistic approach of teaching duties with distinct </w:t>
      </w:r>
      <w:r w:rsidR="00C720F0" w:rsidRPr="009A10E6">
        <w:rPr>
          <w:rFonts w:ascii="Times New Roman" w:hAnsi="Times New Roman"/>
        </w:rPr>
        <w:t>ethnocentric</w:t>
      </w:r>
      <w:r w:rsidR="007511A1" w:rsidRPr="009A10E6">
        <w:rPr>
          <w:rFonts w:ascii="Times New Roman" w:hAnsi="Times New Roman"/>
        </w:rPr>
        <w:t xml:space="preserve"> undertones. The new schedule though, established in 1964, seems to lead the way towards a less </w:t>
      </w:r>
      <w:r w:rsidRPr="009A10E6">
        <w:rPr>
          <w:rFonts w:ascii="Times New Roman" w:hAnsi="Times New Roman"/>
        </w:rPr>
        <w:t>ethnocentric</w:t>
      </w:r>
      <w:r w:rsidR="007511A1" w:rsidRPr="009A10E6">
        <w:rPr>
          <w:rFonts w:ascii="Times New Roman" w:hAnsi="Times New Roman"/>
        </w:rPr>
        <w:t xml:space="preserve"> viewpoint of teachers’ training, which kept its link to related ideals intact, especially when we take into consideration the contents of offered courses.</w:t>
      </w:r>
      <w:r w:rsidR="00A31FE6" w:rsidRPr="009A10E6">
        <w:rPr>
          <w:rFonts w:ascii="Times New Roman" w:hAnsi="Times New Roman"/>
        </w:rPr>
        <w:t xml:space="preserve"> At the same time, </w:t>
      </w:r>
      <w:r w:rsidR="00A1593A" w:rsidRPr="009A10E6">
        <w:rPr>
          <w:rFonts w:ascii="Times New Roman" w:hAnsi="Times New Roman"/>
        </w:rPr>
        <w:t>more</w:t>
      </w:r>
      <w:r w:rsidR="00A31FE6" w:rsidRPr="009A10E6">
        <w:rPr>
          <w:rFonts w:ascii="Times New Roman" w:hAnsi="Times New Roman"/>
        </w:rPr>
        <w:t xml:space="preserve"> steps were being taken towards showcasing the concept of ‘new humanism’ which coalesces the necessary knowledge on sciences with a deeper understanding of the Greek language and literature. It is thus no coincidence that the added years of attendance in PAs were dedicated to the upgrading of these subjects.</w:t>
      </w:r>
    </w:p>
    <w:p w:rsidR="00A31FE6" w:rsidRPr="009A10E6" w:rsidRDefault="00A31FE6" w:rsidP="00F0269A">
      <w:pPr>
        <w:spacing w:line="480" w:lineRule="auto"/>
        <w:jc w:val="both"/>
        <w:rPr>
          <w:rFonts w:ascii="Times New Roman" w:hAnsi="Times New Roman"/>
        </w:rPr>
      </w:pPr>
    </w:p>
    <w:p w:rsidR="00A31FE6" w:rsidRPr="009A10E6" w:rsidRDefault="00A31FE6" w:rsidP="00F0269A">
      <w:pPr>
        <w:spacing w:line="480" w:lineRule="auto"/>
        <w:jc w:val="both"/>
        <w:rPr>
          <w:rFonts w:ascii="Times New Roman" w:hAnsi="Times New Roman"/>
        </w:rPr>
      </w:pPr>
    </w:p>
    <w:p w:rsidR="00947B01" w:rsidRDefault="00947B01" w:rsidP="00F0269A">
      <w:pPr>
        <w:spacing w:line="480" w:lineRule="auto"/>
        <w:jc w:val="both"/>
        <w:rPr>
          <w:rFonts w:ascii="Times New Roman" w:hAnsi="Times New Roman"/>
          <w:b/>
          <w:color w:val="2F5496"/>
        </w:rPr>
      </w:pPr>
    </w:p>
    <w:p w:rsidR="00947B01" w:rsidRDefault="00947B01" w:rsidP="00F0269A">
      <w:pPr>
        <w:spacing w:line="480" w:lineRule="auto"/>
        <w:jc w:val="both"/>
        <w:rPr>
          <w:rFonts w:ascii="Times New Roman" w:hAnsi="Times New Roman"/>
          <w:b/>
          <w:color w:val="2F5496"/>
        </w:rPr>
      </w:pPr>
    </w:p>
    <w:p w:rsidR="00E01DA8" w:rsidRDefault="00E01DA8" w:rsidP="00F0269A">
      <w:pPr>
        <w:spacing w:line="480" w:lineRule="auto"/>
        <w:jc w:val="both"/>
        <w:rPr>
          <w:rFonts w:ascii="Times New Roman" w:hAnsi="Times New Roman"/>
          <w:b/>
          <w:color w:val="2F5496"/>
        </w:rPr>
      </w:pPr>
    </w:p>
    <w:p w:rsidR="00E01DA8" w:rsidRDefault="00E01DA8" w:rsidP="00F0269A">
      <w:pPr>
        <w:spacing w:line="480" w:lineRule="auto"/>
        <w:jc w:val="both"/>
        <w:rPr>
          <w:rFonts w:ascii="Times New Roman" w:hAnsi="Times New Roman"/>
          <w:b/>
          <w:color w:val="2F5496"/>
        </w:rPr>
      </w:pPr>
    </w:p>
    <w:p w:rsidR="00947B01" w:rsidRDefault="00947B01" w:rsidP="00F0269A">
      <w:pPr>
        <w:spacing w:line="480" w:lineRule="auto"/>
        <w:jc w:val="both"/>
        <w:rPr>
          <w:rFonts w:ascii="Times New Roman" w:hAnsi="Times New Roman"/>
          <w:b/>
          <w:color w:val="2F5496"/>
        </w:rPr>
      </w:pPr>
    </w:p>
    <w:p w:rsidR="00A31FE6" w:rsidRPr="009A10E6" w:rsidRDefault="00A31FE6" w:rsidP="00F0269A">
      <w:pPr>
        <w:spacing w:line="480" w:lineRule="auto"/>
        <w:jc w:val="both"/>
        <w:rPr>
          <w:rFonts w:ascii="Times New Roman" w:hAnsi="Times New Roman"/>
          <w:b/>
          <w:color w:val="2F5496"/>
        </w:rPr>
      </w:pPr>
      <w:r w:rsidRPr="009A10E6">
        <w:rPr>
          <w:rFonts w:ascii="Times New Roman" w:hAnsi="Times New Roman"/>
          <w:b/>
          <w:color w:val="2F5496"/>
        </w:rPr>
        <w:lastRenderedPageBreak/>
        <w:t>The bibliotype as methodological research tool</w:t>
      </w:r>
    </w:p>
    <w:p w:rsidR="00A31FE6" w:rsidRPr="009A10E6" w:rsidRDefault="00A31FE6" w:rsidP="00F0269A">
      <w:pPr>
        <w:spacing w:line="480" w:lineRule="auto"/>
        <w:jc w:val="both"/>
        <w:rPr>
          <w:rFonts w:ascii="Times New Roman" w:hAnsi="Times New Roman"/>
        </w:rPr>
      </w:pPr>
    </w:p>
    <w:p w:rsidR="002F3341" w:rsidRPr="009A10E6" w:rsidRDefault="002F3341" w:rsidP="00F0269A">
      <w:pPr>
        <w:spacing w:line="480" w:lineRule="auto"/>
        <w:ind w:firstLine="709"/>
        <w:jc w:val="both"/>
        <w:rPr>
          <w:rFonts w:ascii="Times New Roman" w:eastAsia="Times New Roman" w:hAnsi="Times New Roman"/>
        </w:rPr>
      </w:pPr>
      <w:r w:rsidRPr="009A10E6">
        <w:rPr>
          <w:rFonts w:ascii="Times New Roman" w:hAnsi="Times New Roman"/>
        </w:rPr>
        <w:t xml:space="preserve">The research that </w:t>
      </w:r>
      <w:r w:rsidR="00E6060F" w:rsidRPr="009A10E6">
        <w:rPr>
          <w:rFonts w:ascii="Times New Roman" w:hAnsi="Times New Roman"/>
        </w:rPr>
        <w:t>follows</w:t>
      </w:r>
      <w:r w:rsidRPr="009A10E6">
        <w:rPr>
          <w:rFonts w:ascii="Times New Roman" w:hAnsi="Times New Roman"/>
        </w:rPr>
        <w:t xml:space="preserve"> is closely linked to an original term, that of the ‘bibliotype’, which is also</w:t>
      </w:r>
      <w:r w:rsidR="001D15B2" w:rsidRPr="009A10E6">
        <w:rPr>
          <w:rFonts w:ascii="Times New Roman" w:hAnsi="Times New Roman"/>
        </w:rPr>
        <w:t xml:space="preserve"> the</w:t>
      </w:r>
      <w:r w:rsidRPr="009A10E6">
        <w:rPr>
          <w:rFonts w:ascii="Times New Roman" w:hAnsi="Times New Roman"/>
        </w:rPr>
        <w:t xml:space="preserve"> </w:t>
      </w:r>
      <w:r w:rsidR="006112B2">
        <w:rPr>
          <w:rFonts w:ascii="Times New Roman" w:hAnsi="Times New Roman"/>
        </w:rPr>
        <w:t>main</w:t>
      </w:r>
      <w:r w:rsidRPr="009A10E6">
        <w:rPr>
          <w:rFonts w:ascii="Times New Roman" w:hAnsi="Times New Roman"/>
        </w:rPr>
        <w:t xml:space="preserve"> methodological</w:t>
      </w:r>
      <w:r w:rsidR="001D15B2" w:rsidRPr="009A10E6">
        <w:rPr>
          <w:rFonts w:ascii="Times New Roman" w:hAnsi="Times New Roman"/>
        </w:rPr>
        <w:t xml:space="preserve"> tool used throughout. What is referred under this term is the teaching bibliotype, an altered version of the teaching ‘ideal type’. According to Max Weber, the ideal type is a theoretical construct which allows </w:t>
      </w:r>
      <w:commentRangeStart w:id="21"/>
      <w:r w:rsidR="001D15B2" w:rsidRPr="009A10E6">
        <w:rPr>
          <w:rFonts w:ascii="Times New Roman" w:hAnsi="Times New Roman"/>
        </w:rPr>
        <w:t xml:space="preserve">to understand </w:t>
      </w:r>
      <w:commentRangeEnd w:id="21"/>
      <w:r w:rsidR="003C6901">
        <w:rPr>
          <w:rStyle w:val="CommentReference"/>
        </w:rPr>
        <w:commentReference w:id="21"/>
      </w:r>
      <w:r w:rsidR="001D15B2" w:rsidRPr="009A10E6">
        <w:rPr>
          <w:rFonts w:ascii="Times New Roman" w:hAnsi="Times New Roman"/>
        </w:rPr>
        <w:t>certain historical and social phenomena by analyzing their individ</w:t>
      </w:r>
      <w:r w:rsidR="006112B2">
        <w:rPr>
          <w:rFonts w:ascii="Times New Roman" w:hAnsi="Times New Roman"/>
        </w:rPr>
        <w:t>ual characteristics. H</w:t>
      </w:r>
      <w:r w:rsidR="001D15B2" w:rsidRPr="009A10E6">
        <w:rPr>
          <w:rFonts w:ascii="Times New Roman" w:hAnsi="Times New Roman"/>
        </w:rPr>
        <w:t xml:space="preserve">owever, </w:t>
      </w:r>
      <w:r w:rsidR="006112B2" w:rsidRPr="006112B2">
        <w:rPr>
          <w:rFonts w:ascii="Times New Roman" w:hAnsi="Times New Roman"/>
        </w:rPr>
        <w:t xml:space="preserve">it is doubtful if </w:t>
      </w:r>
      <w:r w:rsidR="001D15B2" w:rsidRPr="009A10E6">
        <w:rPr>
          <w:rFonts w:ascii="Times New Roman" w:hAnsi="Times New Roman"/>
        </w:rPr>
        <w:t xml:space="preserve">such an approach can touch upon the </w:t>
      </w:r>
      <w:r w:rsidR="00E6060F" w:rsidRPr="009A10E6">
        <w:rPr>
          <w:rFonts w:ascii="Times New Roman" w:hAnsi="Times New Roman"/>
        </w:rPr>
        <w:t>real</w:t>
      </w:r>
      <w:r w:rsidR="001D15B2" w:rsidRPr="009A10E6">
        <w:rPr>
          <w:rFonts w:ascii="Times New Roman" w:hAnsi="Times New Roman"/>
        </w:rPr>
        <w:t xml:space="preserve"> dimensions of any given subject matter. Hence, oftentimes, the concept of the ideal type is use</w:t>
      </w:r>
      <w:r w:rsidR="006112B2">
        <w:rPr>
          <w:rFonts w:ascii="Times New Roman" w:hAnsi="Times New Roman"/>
        </w:rPr>
        <w:t>d</w:t>
      </w:r>
      <w:r w:rsidR="001D15B2" w:rsidRPr="009A10E6">
        <w:rPr>
          <w:rFonts w:ascii="Times New Roman" w:hAnsi="Times New Roman"/>
        </w:rPr>
        <w:t xml:space="preserve"> as a starting point to help us reach a specific case’s conclusion and then examine the causalities that are implicated in it </w:t>
      </w:r>
      <w:r w:rsidR="001D15B2" w:rsidRPr="009A10E6">
        <w:rPr>
          <w:rFonts w:ascii="Times New Roman" w:eastAsia="Times New Roman" w:hAnsi="Times New Roman"/>
        </w:rPr>
        <w:t>(Lallement, 2004:234).</w:t>
      </w:r>
    </w:p>
    <w:p w:rsidR="001D15B2" w:rsidRPr="009A10E6" w:rsidRDefault="00E6060F" w:rsidP="00F0269A">
      <w:pPr>
        <w:spacing w:line="480" w:lineRule="auto"/>
        <w:ind w:firstLine="709"/>
        <w:jc w:val="both"/>
        <w:rPr>
          <w:rFonts w:ascii="Times New Roman" w:hAnsi="Times New Roman"/>
        </w:rPr>
      </w:pPr>
      <w:r w:rsidRPr="009A10E6">
        <w:rPr>
          <w:rFonts w:ascii="Times New Roman" w:hAnsi="Times New Roman"/>
        </w:rPr>
        <w:t>We postulate that all the views already mentioned, orbit around the notion of an ideal rather than a real teacher training program, since they lack the voices of the actual students and teachers. It is for this reason that we developed the concept of the ideal type to that of the bibliotype</w:t>
      </w:r>
      <w:r w:rsidR="007F5030" w:rsidRPr="009A10E6">
        <w:rPr>
          <w:rFonts w:ascii="Times New Roman" w:hAnsi="Times New Roman"/>
        </w:rPr>
        <w:t>, which will offer us a real picture of the scientific orientation practiced in teacher training of the time. The bibliotype becomes thus a term used to study the totality of real-life par</w:t>
      </w:r>
      <w:r w:rsidR="008E733A">
        <w:rPr>
          <w:rFonts w:ascii="Times New Roman" w:hAnsi="Times New Roman"/>
        </w:rPr>
        <w:t>ameters of the</w:t>
      </w:r>
      <w:r w:rsidR="007F5030" w:rsidRPr="009A10E6">
        <w:rPr>
          <w:rFonts w:ascii="Times New Roman" w:hAnsi="Times New Roman"/>
        </w:rPr>
        <w:t xml:space="preserve"> function and influence of academic books in terms of the teachers’ training orientation put forth in PAH.</w:t>
      </w:r>
    </w:p>
    <w:p w:rsidR="002F3341" w:rsidRPr="009A10E6" w:rsidRDefault="007F5030" w:rsidP="00F0269A">
      <w:pPr>
        <w:spacing w:line="480" w:lineRule="auto"/>
        <w:ind w:firstLine="709"/>
        <w:jc w:val="both"/>
        <w:rPr>
          <w:rFonts w:ascii="Times New Roman" w:hAnsi="Times New Roman"/>
        </w:rPr>
      </w:pPr>
      <w:r w:rsidRPr="009A10E6">
        <w:rPr>
          <w:rFonts w:ascii="Times New Roman" w:hAnsi="Times New Roman"/>
        </w:rPr>
        <w:t xml:space="preserve">It is our belief that focusing on the universe of the lending library’s books, makes for something more than a methodological necessity. It is instead a process of comprehending the ways in which an academic setting envisages knowledge. In other words, we are looking to uncover whether knowledge </w:t>
      </w:r>
      <w:r w:rsidR="00C92197" w:rsidRPr="009A10E6">
        <w:rPr>
          <w:rFonts w:ascii="Times New Roman" w:hAnsi="Times New Roman"/>
        </w:rPr>
        <w:t>was</w:t>
      </w:r>
      <w:r w:rsidRPr="009A10E6">
        <w:rPr>
          <w:rFonts w:ascii="Times New Roman" w:hAnsi="Times New Roman"/>
        </w:rPr>
        <w:t xml:space="preserve"> being used </w:t>
      </w:r>
      <w:r w:rsidR="00C92197" w:rsidRPr="009A10E6">
        <w:rPr>
          <w:rFonts w:ascii="Times New Roman" w:hAnsi="Times New Roman"/>
        </w:rPr>
        <w:t xml:space="preserve">in terms of a banking model of education </w:t>
      </w:r>
      <w:r w:rsidR="00C92197" w:rsidRPr="009A10E6">
        <w:rPr>
          <w:rFonts w:ascii="Times New Roman" w:eastAsia="Times New Roman" w:hAnsi="Times New Roman"/>
        </w:rPr>
        <w:t>(Freire, 1972), where students are nothing more than the depository of a god given systemic knowledge, or whether, the use of the lending library served as a space for students to reflect upon the epistemological orientation of their traini</w:t>
      </w:r>
      <w:r w:rsidR="00C92197" w:rsidRPr="009A10E6">
        <w:rPr>
          <w:rFonts w:ascii="Times New Roman" w:hAnsi="Times New Roman"/>
        </w:rPr>
        <w:t>ng</w:t>
      </w:r>
    </w:p>
    <w:p w:rsidR="00875178" w:rsidRPr="009A10E6" w:rsidRDefault="00875178" w:rsidP="004734E5">
      <w:pPr>
        <w:spacing w:line="480" w:lineRule="auto"/>
        <w:jc w:val="both"/>
        <w:rPr>
          <w:rFonts w:ascii="Times New Roman" w:hAnsi="Times New Roman"/>
        </w:rPr>
      </w:pPr>
    </w:p>
    <w:p w:rsidR="00C92197" w:rsidRDefault="00C92197" w:rsidP="004734E5">
      <w:pPr>
        <w:spacing w:line="480" w:lineRule="auto"/>
        <w:jc w:val="both"/>
        <w:rPr>
          <w:rFonts w:ascii="Times New Roman" w:hAnsi="Times New Roman"/>
          <w:b/>
          <w:color w:val="2F5496"/>
        </w:rPr>
      </w:pPr>
      <w:r w:rsidRPr="009A10E6">
        <w:rPr>
          <w:rFonts w:ascii="Times New Roman" w:hAnsi="Times New Roman"/>
          <w:b/>
          <w:color w:val="2F5496"/>
        </w:rPr>
        <w:t>Presentation of the PAH lending library research</w:t>
      </w:r>
    </w:p>
    <w:p w:rsidR="004734E5" w:rsidRPr="004734E5" w:rsidRDefault="004734E5" w:rsidP="004734E5">
      <w:pPr>
        <w:spacing w:line="480" w:lineRule="auto"/>
        <w:jc w:val="both"/>
        <w:rPr>
          <w:rFonts w:ascii="Times New Roman" w:hAnsi="Times New Roman"/>
          <w:b/>
          <w:color w:val="2F5496"/>
        </w:rPr>
      </w:pPr>
    </w:p>
    <w:p w:rsidR="00A31FE6" w:rsidRPr="009A10E6" w:rsidRDefault="008D69C2" w:rsidP="00F0269A">
      <w:pPr>
        <w:spacing w:line="480" w:lineRule="auto"/>
        <w:ind w:firstLine="709"/>
        <w:jc w:val="both"/>
        <w:rPr>
          <w:rFonts w:ascii="Times New Roman" w:hAnsi="Times New Roman"/>
        </w:rPr>
      </w:pPr>
      <w:r w:rsidRPr="009A10E6">
        <w:rPr>
          <w:rFonts w:ascii="Times New Roman" w:hAnsi="Times New Roman"/>
        </w:rPr>
        <w:t xml:space="preserve">The research that will be presented here was </w:t>
      </w:r>
      <w:r w:rsidR="00FD234B" w:rsidRPr="009A10E6">
        <w:rPr>
          <w:rFonts w:ascii="Times New Roman" w:hAnsi="Times New Roman"/>
        </w:rPr>
        <w:t xml:space="preserve">based on </w:t>
      </w:r>
      <w:r w:rsidR="00243E88" w:rsidRPr="009A10E6">
        <w:rPr>
          <w:rFonts w:ascii="Times New Roman" w:hAnsi="Times New Roman"/>
        </w:rPr>
        <w:t>records</w:t>
      </w:r>
      <w:r w:rsidR="00FD234B" w:rsidRPr="009A10E6">
        <w:rPr>
          <w:rFonts w:ascii="Times New Roman" w:hAnsi="Times New Roman"/>
        </w:rPr>
        <w:t xml:space="preserve"> on the history of education,</w:t>
      </w:r>
      <w:r w:rsidR="00D1237A">
        <w:rPr>
          <w:rFonts w:ascii="Times New Roman" w:hAnsi="Times New Roman"/>
        </w:rPr>
        <w:t xml:space="preserve"> found in the PAH</w:t>
      </w:r>
      <w:r w:rsidR="00D1237A" w:rsidRPr="009A10E6">
        <w:rPr>
          <w:rFonts w:ascii="Times New Roman" w:hAnsi="Times New Roman"/>
        </w:rPr>
        <w:t xml:space="preserve"> </w:t>
      </w:r>
      <w:r w:rsidR="00D1237A">
        <w:rPr>
          <w:rFonts w:ascii="Times New Roman" w:hAnsi="Times New Roman"/>
        </w:rPr>
        <w:t xml:space="preserve">archives </w:t>
      </w:r>
      <w:r w:rsidR="00FD234B" w:rsidRPr="009A10E6">
        <w:rPr>
          <w:rFonts w:ascii="Times New Roman" w:hAnsi="Times New Roman"/>
        </w:rPr>
        <w:t xml:space="preserve">which </w:t>
      </w:r>
      <w:r w:rsidR="00D1237A">
        <w:rPr>
          <w:rFonts w:ascii="Times New Roman" w:hAnsi="Times New Roman"/>
        </w:rPr>
        <w:t>are</w:t>
      </w:r>
      <w:r w:rsidR="00FD234B" w:rsidRPr="009A10E6">
        <w:rPr>
          <w:rFonts w:ascii="Times New Roman" w:hAnsi="Times New Roman"/>
        </w:rPr>
        <w:t xml:space="preserve"> located in the C.S.R.H.E.T.P of University of Crete. Our goal here is to determine whether our conclusions concerning teachers’ training, as reached by examining the legislative framework, is confirmed or denied by the </w:t>
      </w:r>
      <w:r w:rsidR="00243E88" w:rsidRPr="009A10E6">
        <w:rPr>
          <w:rFonts w:ascii="Times New Roman" w:hAnsi="Times New Roman"/>
        </w:rPr>
        <w:t>records</w:t>
      </w:r>
      <w:r w:rsidR="00FD234B" w:rsidRPr="009A10E6">
        <w:rPr>
          <w:rFonts w:ascii="Times New Roman" w:hAnsi="Times New Roman"/>
        </w:rPr>
        <w:t xml:space="preserve"> of the lending library, a ‘bottom-up’ source of information as far as the practice of these acts in the context of the classroom is concerned. </w:t>
      </w:r>
      <w:r w:rsidR="002F3341" w:rsidRPr="009A10E6">
        <w:rPr>
          <w:rFonts w:ascii="Times New Roman" w:hAnsi="Times New Roman"/>
        </w:rPr>
        <w:t xml:space="preserve">More specifically, we made use of the comprehensive catalog of the lending library for </w:t>
      </w:r>
      <w:r w:rsidR="00243E88" w:rsidRPr="009A10E6">
        <w:rPr>
          <w:rFonts w:ascii="Times New Roman" w:hAnsi="Times New Roman"/>
        </w:rPr>
        <w:t>our</w:t>
      </w:r>
      <w:r w:rsidR="002F3341" w:rsidRPr="009A10E6">
        <w:rPr>
          <w:rFonts w:ascii="Times New Roman" w:hAnsi="Times New Roman"/>
        </w:rPr>
        <w:t xml:space="preserve"> specific timeframe, as well as the teaching logs describing the contents of the courses taught. In what follows, we will focus on specific, lending library book categories, </w:t>
      </w:r>
      <w:r w:rsidR="00243E88" w:rsidRPr="009A10E6">
        <w:rPr>
          <w:rFonts w:ascii="Times New Roman" w:hAnsi="Times New Roman"/>
        </w:rPr>
        <w:t>depending</w:t>
      </w:r>
      <w:r w:rsidR="002F3341" w:rsidRPr="009A10E6">
        <w:rPr>
          <w:rFonts w:ascii="Times New Roman" w:hAnsi="Times New Roman"/>
        </w:rPr>
        <w:t xml:space="preserve"> on the basis of the goal orientation set by th</w:t>
      </w:r>
      <w:r w:rsidR="00C162D8">
        <w:rPr>
          <w:rFonts w:ascii="Times New Roman" w:hAnsi="Times New Roman"/>
        </w:rPr>
        <w:t xml:space="preserve">e legislative framework of the </w:t>
      </w:r>
      <w:r w:rsidR="002F3341" w:rsidRPr="009A10E6">
        <w:rPr>
          <w:rFonts w:ascii="Times New Roman" w:hAnsi="Times New Roman"/>
        </w:rPr>
        <w:t>1964 reforms, and delve into these, looking for their qualitative rather than quantitative characteristics.</w:t>
      </w:r>
    </w:p>
    <w:p w:rsidR="00A477A1" w:rsidRDefault="00C92197" w:rsidP="009205FC">
      <w:pPr>
        <w:spacing w:line="480" w:lineRule="auto"/>
        <w:ind w:firstLine="709"/>
        <w:jc w:val="both"/>
        <w:rPr>
          <w:rFonts w:ascii="Times New Roman" w:hAnsi="Times New Roman"/>
        </w:rPr>
      </w:pPr>
      <w:r w:rsidRPr="009A10E6">
        <w:rPr>
          <w:rFonts w:ascii="Times New Roman" w:hAnsi="Times New Roman"/>
        </w:rPr>
        <w:t>In terms of the pedagogical discourse</w:t>
      </w:r>
      <w:r w:rsidR="00641F91">
        <w:rPr>
          <w:rFonts w:ascii="Times New Roman" w:hAnsi="Times New Roman"/>
        </w:rPr>
        <w:t xml:space="preserve"> t</w:t>
      </w:r>
      <w:r w:rsidR="006704C6" w:rsidRPr="009A10E6">
        <w:rPr>
          <w:rFonts w:ascii="Times New Roman" w:hAnsi="Times New Roman"/>
        </w:rPr>
        <w:t xml:space="preserve">he five sub-categories that show up as the most popular, according to the library’s data, are those of Special </w:t>
      </w:r>
      <w:r w:rsidR="00243E88" w:rsidRPr="009A10E6">
        <w:rPr>
          <w:rFonts w:ascii="Times New Roman" w:hAnsi="Times New Roman"/>
        </w:rPr>
        <w:t>Didactics</w:t>
      </w:r>
      <w:r w:rsidR="006704C6" w:rsidRPr="009A10E6">
        <w:rPr>
          <w:rFonts w:ascii="Times New Roman" w:hAnsi="Times New Roman"/>
        </w:rPr>
        <w:t xml:space="preserve">, General </w:t>
      </w:r>
      <w:r w:rsidR="00243E88" w:rsidRPr="009A10E6">
        <w:rPr>
          <w:rFonts w:ascii="Times New Roman" w:hAnsi="Times New Roman"/>
        </w:rPr>
        <w:t>Didactics</w:t>
      </w:r>
      <w:r w:rsidR="006704C6" w:rsidRPr="009A10E6">
        <w:rPr>
          <w:rFonts w:ascii="Times New Roman" w:hAnsi="Times New Roman"/>
        </w:rPr>
        <w:t xml:space="preserve">, General and Introductory Skills, </w:t>
      </w:r>
      <w:r w:rsidR="00A43CBA" w:rsidRPr="009A10E6">
        <w:rPr>
          <w:rFonts w:ascii="Times New Roman" w:hAnsi="Times New Roman"/>
        </w:rPr>
        <w:t xml:space="preserve">Retraining – Illiteracy and The </w:t>
      </w:r>
      <w:r w:rsidR="00A43CBA" w:rsidRPr="00F77E58">
        <w:rPr>
          <w:rFonts w:ascii="Times New Roman" w:hAnsi="Times New Roman"/>
        </w:rPr>
        <w:t>Arbeitschule</w:t>
      </w:r>
      <w:r w:rsidR="00641F91">
        <w:rPr>
          <w:rStyle w:val="FootnoteReference"/>
          <w:rFonts w:ascii="Times New Roman" w:hAnsi="Times New Roman"/>
        </w:rPr>
        <w:footnoteReference w:id="8"/>
      </w:r>
      <w:r w:rsidR="00A43CBA" w:rsidRPr="009A10E6">
        <w:rPr>
          <w:rFonts w:ascii="Times New Roman" w:hAnsi="Times New Roman"/>
        </w:rPr>
        <w:t xml:space="preserve">, which can be seen in the following </w:t>
      </w:r>
      <w:r w:rsidR="00A43CBA">
        <w:rPr>
          <w:rFonts w:ascii="Times New Roman" w:hAnsi="Times New Roman"/>
        </w:rPr>
        <w:t>graph</w:t>
      </w:r>
      <w:r w:rsidR="007F1458">
        <w:rPr>
          <w:rFonts w:ascii="Times New Roman" w:hAnsi="Times New Roman"/>
        </w:rPr>
        <w:t>.</w:t>
      </w:r>
    </w:p>
    <w:p w:rsidR="00A43CBA" w:rsidRPr="009A10E6" w:rsidRDefault="008248AB" w:rsidP="00F0269A">
      <w:pPr>
        <w:spacing w:line="480" w:lineRule="auto"/>
        <w:jc w:val="both"/>
        <w:rPr>
          <w:rFonts w:ascii="Times New Roman" w:hAnsi="Times New Roman"/>
        </w:rPr>
      </w:pPr>
      <w:r>
        <w:rPr>
          <w:rFonts w:ascii="Times New Roman" w:hAnsi="Times New Roman"/>
          <w:noProof/>
        </w:rPr>
        <w:lastRenderedPageBreak/>
        <w:drawing>
          <wp:inline distT="0" distB="0" distL="0" distR="0">
            <wp:extent cx="4516120" cy="242506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77A1" w:rsidRDefault="00145A3F" w:rsidP="00F0269A">
      <w:pPr>
        <w:spacing w:line="480" w:lineRule="auto"/>
        <w:ind w:firstLine="709"/>
        <w:jc w:val="both"/>
        <w:rPr>
          <w:rFonts w:ascii="Times New Roman" w:hAnsi="Times New Roman"/>
          <w:i/>
        </w:rPr>
      </w:pPr>
      <w:r>
        <w:rPr>
          <w:rFonts w:ascii="Times New Roman" w:hAnsi="Times New Roman"/>
          <w:i/>
        </w:rPr>
        <w:t>Graph</w:t>
      </w:r>
      <w:r w:rsidR="006D4856">
        <w:rPr>
          <w:rFonts w:ascii="Times New Roman" w:hAnsi="Times New Roman"/>
          <w:i/>
        </w:rPr>
        <w:t xml:space="preserve"> 1: Pedagogy, library</w:t>
      </w:r>
    </w:p>
    <w:p w:rsidR="009205FC" w:rsidRPr="00145A3F" w:rsidRDefault="009205FC" w:rsidP="00F0269A">
      <w:pPr>
        <w:spacing w:line="480" w:lineRule="auto"/>
        <w:ind w:firstLine="709"/>
        <w:jc w:val="both"/>
        <w:rPr>
          <w:rFonts w:ascii="Times New Roman" w:hAnsi="Times New Roman"/>
          <w:i/>
        </w:rPr>
      </w:pPr>
    </w:p>
    <w:p w:rsidR="002F3341" w:rsidRPr="009A10E6" w:rsidRDefault="00002659" w:rsidP="00F0269A">
      <w:pPr>
        <w:spacing w:line="480" w:lineRule="auto"/>
        <w:ind w:firstLine="709"/>
        <w:jc w:val="both"/>
        <w:rPr>
          <w:rFonts w:ascii="Times New Roman" w:hAnsi="Times New Roman"/>
        </w:rPr>
      </w:pPr>
      <w:r w:rsidRPr="009A10E6">
        <w:rPr>
          <w:rFonts w:ascii="Times New Roman" w:hAnsi="Times New Roman"/>
        </w:rPr>
        <w:t xml:space="preserve">In relation to the other sub-categories not featured in the </w:t>
      </w:r>
      <w:r w:rsidR="00277156">
        <w:rPr>
          <w:rFonts w:ascii="Times New Roman" w:hAnsi="Times New Roman"/>
        </w:rPr>
        <w:t>graph</w:t>
      </w:r>
      <w:r w:rsidRPr="009A10E6">
        <w:rPr>
          <w:rFonts w:ascii="Times New Roman" w:hAnsi="Times New Roman"/>
        </w:rPr>
        <w:t xml:space="preserve"> but brought to view by the research, what bears </w:t>
      </w:r>
      <w:r w:rsidR="006608DA" w:rsidRPr="009A10E6">
        <w:rPr>
          <w:rFonts w:ascii="Times New Roman" w:hAnsi="Times New Roman"/>
        </w:rPr>
        <w:t>mentioning</w:t>
      </w:r>
      <w:r w:rsidRPr="009A10E6">
        <w:rPr>
          <w:rFonts w:ascii="Times New Roman" w:hAnsi="Times New Roman"/>
        </w:rPr>
        <w:t xml:space="preserve"> is the high scores of History of Education, followed by Management – Legislation, Sociological Pedagogy, Civics and Comparative Pedagogy. The lowest scores noted for the sub-categories of National Education, Religion Studies and Penalties.</w:t>
      </w:r>
    </w:p>
    <w:p w:rsidR="00002659" w:rsidRPr="009A10E6" w:rsidRDefault="00641F91" w:rsidP="00F0269A">
      <w:pPr>
        <w:spacing w:line="480" w:lineRule="auto"/>
        <w:ind w:firstLine="709"/>
        <w:jc w:val="both"/>
        <w:rPr>
          <w:rFonts w:ascii="Times New Roman" w:hAnsi="Times New Roman"/>
        </w:rPr>
      </w:pPr>
      <w:r w:rsidRPr="009A10E6">
        <w:rPr>
          <w:rFonts w:ascii="Times New Roman" w:hAnsi="Times New Roman"/>
        </w:rPr>
        <w:t>In terms of teaching the courses offered to the PAH students were Theory and History of Education (first year students) and Theory of E</w:t>
      </w:r>
      <w:r>
        <w:rPr>
          <w:rFonts w:ascii="Times New Roman" w:hAnsi="Times New Roman"/>
        </w:rPr>
        <w:t>ducation (second year students). T</w:t>
      </w:r>
      <w:r w:rsidR="00002659" w:rsidRPr="009A10E6">
        <w:rPr>
          <w:rFonts w:ascii="Times New Roman" w:hAnsi="Times New Roman"/>
        </w:rPr>
        <w:t xml:space="preserve">he </w:t>
      </w:r>
      <w:r>
        <w:rPr>
          <w:rFonts w:ascii="Times New Roman" w:hAnsi="Times New Roman"/>
        </w:rPr>
        <w:t>situation</w:t>
      </w:r>
      <w:r w:rsidR="00002659" w:rsidRPr="009A10E6">
        <w:rPr>
          <w:rFonts w:ascii="Times New Roman" w:hAnsi="Times New Roman"/>
        </w:rPr>
        <w:t xml:space="preserve">, as shown in the following </w:t>
      </w:r>
      <w:r w:rsidR="00277156">
        <w:rPr>
          <w:rFonts w:ascii="Times New Roman" w:hAnsi="Times New Roman"/>
        </w:rPr>
        <w:t>graph</w:t>
      </w:r>
      <w:r w:rsidR="00002659" w:rsidRPr="009A10E6">
        <w:rPr>
          <w:rFonts w:ascii="Times New Roman" w:hAnsi="Times New Roman"/>
        </w:rPr>
        <w:t xml:space="preserve">, changes drastically as more focus is placed in such concepts as discipline, </w:t>
      </w:r>
      <w:r w:rsidR="003721C6" w:rsidRPr="009A10E6">
        <w:rPr>
          <w:rFonts w:ascii="Times New Roman" w:hAnsi="Times New Roman"/>
        </w:rPr>
        <w:t>H</w:t>
      </w:r>
      <w:r w:rsidR="00002659" w:rsidRPr="009A10E6">
        <w:rPr>
          <w:rFonts w:ascii="Times New Roman" w:hAnsi="Times New Roman"/>
        </w:rPr>
        <w:t>er</w:t>
      </w:r>
      <w:r w:rsidR="003721C6" w:rsidRPr="009A10E6">
        <w:rPr>
          <w:rFonts w:ascii="Times New Roman" w:hAnsi="Times New Roman"/>
        </w:rPr>
        <w:t>b</w:t>
      </w:r>
      <w:r w:rsidR="00002659" w:rsidRPr="009A10E6">
        <w:rPr>
          <w:rFonts w:ascii="Times New Roman" w:hAnsi="Times New Roman"/>
        </w:rPr>
        <w:t xml:space="preserve">artian </w:t>
      </w:r>
      <w:r w:rsidR="00EC5D5A" w:rsidRPr="009A10E6">
        <w:rPr>
          <w:rFonts w:ascii="Times New Roman" w:hAnsi="Times New Roman"/>
        </w:rPr>
        <w:t>pedagogy</w:t>
      </w:r>
      <w:r w:rsidR="003721C6" w:rsidRPr="009A10E6">
        <w:rPr>
          <w:rFonts w:ascii="Times New Roman" w:hAnsi="Times New Roman"/>
        </w:rPr>
        <w:t xml:space="preserve">, religion studies, </w:t>
      </w:r>
      <w:r w:rsidR="00F77E58" w:rsidRPr="00F77E58">
        <w:rPr>
          <w:rFonts w:ascii="Times New Roman" w:hAnsi="Times New Roman"/>
        </w:rPr>
        <w:t>Arbeitschule</w:t>
      </w:r>
      <w:r w:rsidR="00F77E58" w:rsidRPr="009A10E6">
        <w:rPr>
          <w:rFonts w:ascii="Times New Roman" w:hAnsi="Times New Roman"/>
        </w:rPr>
        <w:t xml:space="preserve"> </w:t>
      </w:r>
      <w:r w:rsidR="003721C6" w:rsidRPr="009A10E6">
        <w:rPr>
          <w:rFonts w:ascii="Times New Roman" w:hAnsi="Times New Roman"/>
        </w:rPr>
        <w:t xml:space="preserve">and education ideals. Other important categories that are less highlighted are the concept of </w:t>
      </w:r>
      <w:r w:rsidR="00EC5D5A" w:rsidRPr="009A10E6">
        <w:rPr>
          <w:rFonts w:ascii="Times New Roman" w:hAnsi="Times New Roman"/>
        </w:rPr>
        <w:t xml:space="preserve">individual interest, </w:t>
      </w:r>
      <w:r w:rsidR="003721C6" w:rsidRPr="009A10E6">
        <w:rPr>
          <w:rFonts w:ascii="Times New Roman" w:hAnsi="Times New Roman"/>
        </w:rPr>
        <w:t>experimental pedagogy, comparative pedagogy and psychoanalysis. However, due to the minimal amount of hours dedicated to these courses we cannot assign them the status of being properly taught.</w:t>
      </w:r>
    </w:p>
    <w:p w:rsidR="00875178" w:rsidRPr="009A10E6" w:rsidRDefault="00875178" w:rsidP="00F0269A">
      <w:pPr>
        <w:spacing w:line="480" w:lineRule="auto"/>
        <w:ind w:firstLine="709"/>
        <w:jc w:val="both"/>
        <w:rPr>
          <w:rFonts w:ascii="Times New Roman" w:hAnsi="Times New Roman"/>
        </w:rPr>
      </w:pPr>
    </w:p>
    <w:p w:rsidR="003721C6" w:rsidRDefault="008248AB" w:rsidP="00F0269A">
      <w:pPr>
        <w:spacing w:line="480" w:lineRule="auto"/>
        <w:ind w:firstLine="709"/>
        <w:jc w:val="both"/>
        <w:rPr>
          <w:rFonts w:ascii="Times New Roman" w:hAnsi="Times New Roman"/>
        </w:rPr>
      </w:pPr>
      <w:r>
        <w:rPr>
          <w:rFonts w:ascii="Times New Roman" w:hAnsi="Times New Roman"/>
          <w:noProof/>
        </w:rPr>
        <w:lastRenderedPageBreak/>
        <w:drawing>
          <wp:inline distT="0" distB="0" distL="0" distR="0">
            <wp:extent cx="3880485" cy="220281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4856" w:rsidRPr="006D4856" w:rsidRDefault="006D4856" w:rsidP="00F0269A">
      <w:pPr>
        <w:spacing w:line="480" w:lineRule="auto"/>
        <w:ind w:firstLine="709"/>
        <w:jc w:val="both"/>
        <w:rPr>
          <w:rFonts w:ascii="Times New Roman" w:hAnsi="Times New Roman"/>
          <w:i/>
        </w:rPr>
      </w:pPr>
      <w:r>
        <w:rPr>
          <w:rFonts w:ascii="Times New Roman" w:hAnsi="Times New Roman"/>
          <w:i/>
        </w:rPr>
        <w:t>Graph 2: Pedagogy, courses</w:t>
      </w:r>
    </w:p>
    <w:p w:rsidR="003721C6" w:rsidRPr="009A10E6" w:rsidRDefault="003721C6" w:rsidP="00F0269A">
      <w:pPr>
        <w:spacing w:line="480" w:lineRule="auto"/>
        <w:ind w:firstLine="709"/>
        <w:jc w:val="both"/>
        <w:rPr>
          <w:rFonts w:ascii="Times New Roman" w:hAnsi="Times New Roman"/>
        </w:rPr>
      </w:pPr>
      <w:r w:rsidRPr="009A10E6">
        <w:rPr>
          <w:rFonts w:ascii="Times New Roman" w:hAnsi="Times New Roman"/>
        </w:rPr>
        <w:t xml:space="preserve">Following the above, we could distinguish the areas where evidence from both </w:t>
      </w:r>
      <w:r w:rsidR="00EC5D5A" w:rsidRPr="009A10E6">
        <w:rPr>
          <w:rFonts w:ascii="Times New Roman" w:hAnsi="Times New Roman"/>
        </w:rPr>
        <w:t>records</w:t>
      </w:r>
      <w:r w:rsidRPr="009A10E6">
        <w:rPr>
          <w:rFonts w:ascii="Times New Roman" w:hAnsi="Times New Roman"/>
        </w:rPr>
        <w:t xml:space="preserve"> seem to converge. One of them is that of Comparative Pedagogy, which seems to gather little interest in</w:t>
      </w:r>
      <w:r w:rsidR="00A044CC" w:rsidRPr="009A10E6">
        <w:rPr>
          <w:rFonts w:ascii="Times New Roman" w:hAnsi="Times New Roman"/>
        </w:rPr>
        <w:t xml:space="preserve"> </w:t>
      </w:r>
      <w:r w:rsidRPr="009A10E6">
        <w:rPr>
          <w:rFonts w:ascii="Times New Roman" w:hAnsi="Times New Roman"/>
        </w:rPr>
        <w:t xml:space="preserve">both </w:t>
      </w:r>
      <w:r w:rsidR="00A044CC" w:rsidRPr="009A10E6">
        <w:rPr>
          <w:rFonts w:ascii="Times New Roman" w:hAnsi="Times New Roman"/>
        </w:rPr>
        <w:t>records</w:t>
      </w:r>
      <w:r w:rsidRPr="009A10E6">
        <w:rPr>
          <w:rFonts w:ascii="Times New Roman" w:hAnsi="Times New Roman"/>
        </w:rPr>
        <w:t xml:space="preserve">. </w:t>
      </w:r>
      <w:r w:rsidR="001D0AF8">
        <w:rPr>
          <w:rFonts w:ascii="Times New Roman" w:hAnsi="Times New Roman"/>
        </w:rPr>
        <w:t>Also</w:t>
      </w:r>
      <w:r w:rsidR="00503970" w:rsidRPr="009A10E6">
        <w:rPr>
          <w:rFonts w:ascii="Times New Roman" w:hAnsi="Times New Roman"/>
        </w:rPr>
        <w:t>, the promotion of experimental practices in pedagogical training as an individual subcategory in the lib</w:t>
      </w:r>
      <w:r w:rsidR="00A044CC" w:rsidRPr="009A10E6">
        <w:rPr>
          <w:rFonts w:ascii="Times New Roman" w:hAnsi="Times New Roman"/>
        </w:rPr>
        <w:t xml:space="preserve">rary is missing and instead </w:t>
      </w:r>
      <w:r w:rsidR="00F21585" w:rsidRPr="009A10E6">
        <w:rPr>
          <w:rFonts w:ascii="Times New Roman" w:hAnsi="Times New Roman"/>
        </w:rPr>
        <w:t xml:space="preserve">of this we noticed a brief </w:t>
      </w:r>
      <w:r w:rsidR="00503970" w:rsidRPr="009A10E6">
        <w:rPr>
          <w:rFonts w:ascii="Times New Roman" w:hAnsi="Times New Roman"/>
        </w:rPr>
        <w:t>discussion on pilot schools</w:t>
      </w:r>
      <w:r w:rsidR="00A044CC" w:rsidRPr="009A10E6">
        <w:rPr>
          <w:rFonts w:ascii="Times New Roman" w:hAnsi="Times New Roman"/>
        </w:rPr>
        <w:t>. In addition</w:t>
      </w:r>
      <w:r w:rsidR="00871011" w:rsidRPr="009A10E6">
        <w:rPr>
          <w:rFonts w:ascii="Times New Roman" w:hAnsi="Times New Roman"/>
        </w:rPr>
        <w:t xml:space="preserve"> class sessions given to </w:t>
      </w:r>
      <w:r w:rsidR="00A044CC" w:rsidRPr="009A10E6">
        <w:rPr>
          <w:rFonts w:ascii="Times New Roman" w:hAnsi="Times New Roman"/>
        </w:rPr>
        <w:t>this issue</w:t>
      </w:r>
      <w:r w:rsidR="00871011" w:rsidRPr="009A10E6">
        <w:rPr>
          <w:rFonts w:ascii="Times New Roman" w:hAnsi="Times New Roman"/>
        </w:rPr>
        <w:t xml:space="preserve"> </w:t>
      </w:r>
      <w:r w:rsidR="00B45256" w:rsidRPr="009A10E6">
        <w:rPr>
          <w:rFonts w:ascii="Times New Roman" w:hAnsi="Times New Roman"/>
        </w:rPr>
        <w:t>are</w:t>
      </w:r>
      <w:r w:rsidR="00871011" w:rsidRPr="009A10E6">
        <w:rPr>
          <w:rFonts w:ascii="Times New Roman" w:hAnsi="Times New Roman"/>
        </w:rPr>
        <w:t xml:space="preserve"> extremely limited</w:t>
      </w:r>
      <w:r w:rsidR="00A044CC" w:rsidRPr="009A10E6">
        <w:rPr>
          <w:rFonts w:ascii="Times New Roman" w:hAnsi="Times New Roman"/>
        </w:rPr>
        <w:t xml:space="preserve"> in PAH</w:t>
      </w:r>
      <w:r w:rsidR="00871011" w:rsidRPr="009A10E6">
        <w:rPr>
          <w:rFonts w:ascii="Times New Roman" w:hAnsi="Times New Roman"/>
        </w:rPr>
        <w:t xml:space="preserve">. In terms of discrepancies noted, it’s worthwhile to mention the subcategory </w:t>
      </w:r>
      <w:r w:rsidR="001D0AF8">
        <w:rPr>
          <w:rFonts w:ascii="Times New Roman" w:hAnsi="Times New Roman"/>
        </w:rPr>
        <w:t>about</w:t>
      </w:r>
      <w:r w:rsidR="00871011" w:rsidRPr="009A10E6">
        <w:rPr>
          <w:rFonts w:ascii="Times New Roman" w:hAnsi="Times New Roman"/>
        </w:rPr>
        <w:t xml:space="preserve"> the use of penalty and discipline as teaching tools, which scores very low in library</w:t>
      </w:r>
      <w:r w:rsidR="00B45256" w:rsidRPr="009A10E6">
        <w:rPr>
          <w:rFonts w:ascii="Times New Roman" w:hAnsi="Times New Roman"/>
        </w:rPr>
        <w:t>,</w:t>
      </w:r>
      <w:r w:rsidR="00871011" w:rsidRPr="009A10E6">
        <w:rPr>
          <w:rFonts w:ascii="Times New Roman" w:hAnsi="Times New Roman"/>
        </w:rPr>
        <w:t xml:space="preserve"> while shows up as prioritized in classes. Another inconsistency</w:t>
      </w:r>
      <w:r w:rsidR="0068332F" w:rsidRPr="009A10E6">
        <w:rPr>
          <w:rFonts w:ascii="Times New Roman" w:hAnsi="Times New Roman"/>
        </w:rPr>
        <w:t>, one</w:t>
      </w:r>
      <w:r w:rsidR="00871011" w:rsidRPr="009A10E6">
        <w:rPr>
          <w:rFonts w:ascii="Times New Roman" w:hAnsi="Times New Roman"/>
        </w:rPr>
        <w:t xml:space="preserve"> that will play a significant role in the interpretation of the findings</w:t>
      </w:r>
      <w:r w:rsidR="0068332F" w:rsidRPr="009A10E6">
        <w:rPr>
          <w:rFonts w:ascii="Times New Roman" w:hAnsi="Times New Roman"/>
        </w:rPr>
        <w:t>,</w:t>
      </w:r>
      <w:r w:rsidR="00871011" w:rsidRPr="009A10E6">
        <w:rPr>
          <w:rFonts w:ascii="Times New Roman" w:hAnsi="Times New Roman"/>
        </w:rPr>
        <w:t xml:space="preserve"> concerns issues of teaching techniques which prevail in </w:t>
      </w:r>
      <w:r w:rsidR="00F21585" w:rsidRPr="009A10E6">
        <w:rPr>
          <w:rFonts w:ascii="Times New Roman" w:hAnsi="Times New Roman"/>
        </w:rPr>
        <w:t xml:space="preserve">the category regarding the pedagogical issues in </w:t>
      </w:r>
      <w:r w:rsidR="00871011" w:rsidRPr="009A10E6">
        <w:rPr>
          <w:rFonts w:ascii="Times New Roman" w:hAnsi="Times New Roman"/>
        </w:rPr>
        <w:t xml:space="preserve">library </w:t>
      </w:r>
      <w:r w:rsidR="0068332F" w:rsidRPr="009A10E6">
        <w:rPr>
          <w:rFonts w:ascii="Times New Roman" w:hAnsi="Times New Roman"/>
        </w:rPr>
        <w:t xml:space="preserve">but not in terms of courses. Moreover, another interesting subcategory for the present research overall, is that of national education which scores in the lowest places in library and is non-existent in terms of courses. Nonetheless, the notion of the national aspect of education, as this is presented in </w:t>
      </w:r>
      <w:r w:rsidR="00F21585" w:rsidRPr="009A10E6">
        <w:rPr>
          <w:rFonts w:ascii="Times New Roman" w:hAnsi="Times New Roman"/>
        </w:rPr>
        <w:t>subcategory regarding the pedagogical</w:t>
      </w:r>
      <w:r w:rsidR="0068332F" w:rsidRPr="009A10E6">
        <w:rPr>
          <w:rFonts w:ascii="Times New Roman" w:hAnsi="Times New Roman"/>
        </w:rPr>
        <w:t xml:space="preserve"> ideals, still exists.</w:t>
      </w:r>
    </w:p>
    <w:p w:rsidR="002F3341" w:rsidRPr="009A10E6" w:rsidRDefault="0068332F" w:rsidP="00F0269A">
      <w:pPr>
        <w:spacing w:line="480" w:lineRule="auto"/>
        <w:ind w:firstLine="709"/>
        <w:jc w:val="both"/>
        <w:rPr>
          <w:rFonts w:ascii="Times New Roman" w:hAnsi="Times New Roman"/>
        </w:rPr>
      </w:pPr>
      <w:r w:rsidRPr="009A10E6">
        <w:rPr>
          <w:rFonts w:ascii="Times New Roman" w:hAnsi="Times New Roman"/>
        </w:rPr>
        <w:t>The next area of interest here is that of didactics, which were not indexed as a separate category</w:t>
      </w:r>
      <w:r w:rsidR="00787173" w:rsidRPr="009A10E6">
        <w:rPr>
          <w:rFonts w:ascii="Times New Roman" w:hAnsi="Times New Roman"/>
        </w:rPr>
        <w:t xml:space="preserve"> in the library for the timeframe reviewed here, but were included in the pedagogy category. Consequently, only the teaching logs can be reviewed in this case as evidence. Since the course, due to its nature, refers to technical components of teaching, we will </w:t>
      </w:r>
      <w:r w:rsidR="00787173" w:rsidRPr="009A10E6">
        <w:rPr>
          <w:rFonts w:ascii="Times New Roman" w:hAnsi="Times New Roman"/>
        </w:rPr>
        <w:lastRenderedPageBreak/>
        <w:t>attempt to examine some of th</w:t>
      </w:r>
      <w:r w:rsidR="00F21585" w:rsidRPr="009A10E6">
        <w:rPr>
          <w:rFonts w:ascii="Times New Roman" w:hAnsi="Times New Roman"/>
        </w:rPr>
        <w:t xml:space="preserve">e traits which reveal </w:t>
      </w:r>
      <w:r w:rsidR="00787173" w:rsidRPr="009A10E6">
        <w:rPr>
          <w:rFonts w:ascii="Times New Roman" w:hAnsi="Times New Roman"/>
        </w:rPr>
        <w:t>the philosophy of te</w:t>
      </w:r>
      <w:r w:rsidR="00F21585" w:rsidRPr="009A10E6">
        <w:rPr>
          <w:rFonts w:ascii="Times New Roman" w:hAnsi="Times New Roman"/>
        </w:rPr>
        <w:t>aching techniques. First of all</w:t>
      </w:r>
      <w:r w:rsidR="00787173" w:rsidRPr="009A10E6">
        <w:rPr>
          <w:rFonts w:ascii="Times New Roman" w:hAnsi="Times New Roman"/>
        </w:rPr>
        <w:t>, we find evidence that corresponds to the increased class sessions not</w:t>
      </w:r>
      <w:r w:rsidR="00AA1C0A" w:rsidRPr="009A10E6">
        <w:rPr>
          <w:rFonts w:ascii="Times New Roman" w:hAnsi="Times New Roman"/>
        </w:rPr>
        <w:t xml:space="preserve">ed in the time schedule, since </w:t>
      </w:r>
      <w:r w:rsidR="00787173" w:rsidRPr="009A10E6">
        <w:rPr>
          <w:rFonts w:ascii="Times New Roman" w:hAnsi="Times New Roman"/>
        </w:rPr>
        <w:t>the course is taught in both academic years</w:t>
      </w:r>
      <w:r w:rsidR="00787173" w:rsidRPr="009A10E6">
        <w:rPr>
          <w:rStyle w:val="FootnoteReference"/>
          <w:rFonts w:ascii="Times New Roman" w:hAnsi="Times New Roman"/>
          <w:color w:val="222222"/>
        </w:rPr>
        <w:footnoteReference w:id="9"/>
      </w:r>
      <w:r w:rsidR="00787173" w:rsidRPr="009A10E6">
        <w:rPr>
          <w:rFonts w:ascii="Times New Roman" w:hAnsi="Times New Roman"/>
        </w:rPr>
        <w:t xml:space="preserve">. In the first year, the course on General </w:t>
      </w:r>
      <w:r w:rsidR="00A477A1" w:rsidRPr="009A10E6">
        <w:rPr>
          <w:rFonts w:ascii="Times New Roman" w:hAnsi="Times New Roman"/>
        </w:rPr>
        <w:t>Didactics</w:t>
      </w:r>
      <w:r w:rsidR="00787173" w:rsidRPr="009A10E6">
        <w:rPr>
          <w:rFonts w:ascii="Times New Roman" w:hAnsi="Times New Roman"/>
        </w:rPr>
        <w:t xml:space="preserve"> shows an evenly distributed class sessions between all subcategories, without any distinct differences noted. The </w:t>
      </w:r>
      <w:r w:rsidR="00277156">
        <w:rPr>
          <w:rFonts w:ascii="Times New Roman" w:hAnsi="Times New Roman"/>
        </w:rPr>
        <w:t>graph</w:t>
      </w:r>
      <w:r w:rsidR="00787173" w:rsidRPr="009A10E6">
        <w:rPr>
          <w:rFonts w:ascii="Times New Roman" w:hAnsi="Times New Roman"/>
        </w:rPr>
        <w:t xml:space="preserve"> below presents the results of the first year course.</w:t>
      </w:r>
    </w:p>
    <w:p w:rsidR="0003351A" w:rsidRPr="009A10E6" w:rsidRDefault="0003351A" w:rsidP="00F0269A">
      <w:pPr>
        <w:spacing w:line="480" w:lineRule="auto"/>
        <w:ind w:firstLine="709"/>
        <w:jc w:val="both"/>
        <w:rPr>
          <w:rFonts w:ascii="Times New Roman" w:hAnsi="Times New Roman"/>
        </w:rPr>
      </w:pPr>
    </w:p>
    <w:p w:rsidR="0003351A" w:rsidRDefault="008248AB" w:rsidP="00F0269A">
      <w:pPr>
        <w:spacing w:line="480" w:lineRule="auto"/>
        <w:ind w:firstLine="709"/>
        <w:jc w:val="both"/>
        <w:rPr>
          <w:rFonts w:ascii="Times New Roman" w:hAnsi="Times New Roman"/>
        </w:rPr>
      </w:pPr>
      <w:r>
        <w:rPr>
          <w:rFonts w:ascii="Times New Roman" w:hAnsi="Times New Roman"/>
          <w:noProof/>
        </w:rPr>
        <w:drawing>
          <wp:inline distT="0" distB="0" distL="0" distR="0">
            <wp:extent cx="4364990" cy="2345690"/>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31559" w:rsidRPr="00A31559" w:rsidRDefault="00A31559" w:rsidP="00F0269A">
      <w:pPr>
        <w:spacing w:line="480" w:lineRule="auto"/>
        <w:ind w:firstLine="709"/>
        <w:jc w:val="both"/>
        <w:rPr>
          <w:rFonts w:ascii="Times New Roman" w:hAnsi="Times New Roman"/>
          <w:i/>
        </w:rPr>
      </w:pPr>
      <w:r>
        <w:rPr>
          <w:rFonts w:ascii="Times New Roman" w:hAnsi="Times New Roman"/>
          <w:i/>
        </w:rPr>
        <w:t>Graph 3: General didactics, A’ grade</w:t>
      </w:r>
    </w:p>
    <w:p w:rsidR="0003351A" w:rsidRPr="009A10E6" w:rsidRDefault="0003351A" w:rsidP="00F0269A">
      <w:pPr>
        <w:spacing w:line="480" w:lineRule="auto"/>
        <w:ind w:firstLine="709"/>
        <w:jc w:val="both"/>
        <w:rPr>
          <w:rFonts w:ascii="Times New Roman" w:hAnsi="Times New Roman"/>
        </w:rPr>
      </w:pPr>
      <w:r w:rsidRPr="009A10E6">
        <w:rPr>
          <w:rFonts w:ascii="Times New Roman" w:hAnsi="Times New Roman"/>
        </w:rPr>
        <w:t>The precedence of the concept of individual interest is obvious but what is mostly stressed here</w:t>
      </w:r>
      <w:r w:rsidR="00954CD4" w:rsidRPr="009A10E6">
        <w:rPr>
          <w:rFonts w:ascii="Times New Roman" w:hAnsi="Times New Roman"/>
        </w:rPr>
        <w:t xml:space="preserve">, even if it’s not visible in the previous </w:t>
      </w:r>
      <w:r w:rsidR="00277156">
        <w:rPr>
          <w:rFonts w:ascii="Times New Roman" w:hAnsi="Times New Roman"/>
        </w:rPr>
        <w:t>graph</w:t>
      </w:r>
      <w:r w:rsidR="00954CD4" w:rsidRPr="009A10E6">
        <w:rPr>
          <w:rFonts w:ascii="Times New Roman" w:hAnsi="Times New Roman"/>
        </w:rPr>
        <w:t>,</w:t>
      </w:r>
      <w:r w:rsidRPr="009A10E6">
        <w:rPr>
          <w:rFonts w:ascii="Times New Roman" w:hAnsi="Times New Roman"/>
        </w:rPr>
        <w:t xml:space="preserve"> is the mind frame under which time schedules and selection of teaching material are </w:t>
      </w:r>
      <w:r w:rsidR="00954CD4" w:rsidRPr="009A10E6">
        <w:rPr>
          <w:rFonts w:ascii="Times New Roman" w:hAnsi="Times New Roman"/>
        </w:rPr>
        <w:t>shaped</w:t>
      </w:r>
      <w:r w:rsidR="002F49E3" w:rsidRPr="009A10E6">
        <w:rPr>
          <w:rFonts w:ascii="Times New Roman" w:hAnsi="Times New Roman"/>
        </w:rPr>
        <w:t xml:space="preserve">. According to the course, the reasons for these choices are religious, national, moral, humanistic and social ones, without however, any one of them being particularly stressed. The next issue here is that of discipline and rewards, which are seen together, without any of them taking the lead in terms of class sessions. Also of note is the factor of teacher personality, which is decisive in the shaping of </w:t>
      </w:r>
      <w:r w:rsidR="002F49E3" w:rsidRPr="009A10E6">
        <w:rPr>
          <w:rFonts w:ascii="Times New Roman" w:hAnsi="Times New Roman"/>
        </w:rPr>
        <w:lastRenderedPageBreak/>
        <w:t>the teaching process. Finally, we should cite the parameter</w:t>
      </w:r>
      <w:r w:rsidR="00954CD4" w:rsidRPr="009A10E6">
        <w:rPr>
          <w:rFonts w:ascii="Times New Roman" w:hAnsi="Times New Roman"/>
        </w:rPr>
        <w:t>s</w:t>
      </w:r>
      <w:r w:rsidR="002F49E3" w:rsidRPr="009A10E6">
        <w:rPr>
          <w:rFonts w:ascii="Times New Roman" w:hAnsi="Times New Roman"/>
        </w:rPr>
        <w:t xml:space="preserve"> of fatigue and recess, which </w:t>
      </w:r>
      <w:r w:rsidR="00954CD4" w:rsidRPr="009A10E6">
        <w:rPr>
          <w:rFonts w:ascii="Times New Roman" w:hAnsi="Times New Roman"/>
        </w:rPr>
        <w:t>are</w:t>
      </w:r>
      <w:r w:rsidR="002F49E3" w:rsidRPr="009A10E6">
        <w:rPr>
          <w:rFonts w:ascii="Times New Roman" w:hAnsi="Times New Roman"/>
        </w:rPr>
        <w:t xml:space="preserve"> also mentioned.</w:t>
      </w:r>
    </w:p>
    <w:p w:rsidR="002F3341" w:rsidRPr="009A10E6" w:rsidRDefault="002F49E3" w:rsidP="00F0269A">
      <w:pPr>
        <w:spacing w:line="480" w:lineRule="auto"/>
        <w:ind w:firstLine="709"/>
        <w:jc w:val="both"/>
        <w:rPr>
          <w:rFonts w:ascii="Times New Roman" w:hAnsi="Times New Roman"/>
        </w:rPr>
      </w:pPr>
      <w:r w:rsidRPr="009A10E6">
        <w:rPr>
          <w:rFonts w:ascii="Times New Roman" w:hAnsi="Times New Roman"/>
        </w:rPr>
        <w:t>During the second year,</w:t>
      </w:r>
      <w:r w:rsidR="00B14B2D">
        <w:rPr>
          <w:rFonts w:ascii="Times New Roman" w:hAnsi="Times New Roman"/>
        </w:rPr>
        <w:t xml:space="preserve"> the course of Special D</w:t>
      </w:r>
      <w:r w:rsidR="00954CD4" w:rsidRPr="009A10E6">
        <w:rPr>
          <w:rFonts w:ascii="Times New Roman" w:hAnsi="Times New Roman"/>
        </w:rPr>
        <w:t xml:space="preserve">idactics </w:t>
      </w:r>
      <w:r w:rsidRPr="009A10E6">
        <w:rPr>
          <w:rFonts w:ascii="Times New Roman" w:hAnsi="Times New Roman"/>
        </w:rPr>
        <w:t xml:space="preserve">includes </w:t>
      </w:r>
      <w:r w:rsidR="00E312B8" w:rsidRPr="009A10E6">
        <w:rPr>
          <w:rFonts w:ascii="Times New Roman" w:hAnsi="Times New Roman"/>
        </w:rPr>
        <w:t xml:space="preserve">techniques for teaching individual subjects. The principal subjects brought to light in this case were, respectively, geography, history, fairytales and language. In the following </w:t>
      </w:r>
      <w:r w:rsidR="00277156">
        <w:rPr>
          <w:rFonts w:ascii="Times New Roman" w:hAnsi="Times New Roman"/>
        </w:rPr>
        <w:t>graph</w:t>
      </w:r>
      <w:r w:rsidR="00E312B8" w:rsidRPr="009A10E6">
        <w:rPr>
          <w:rFonts w:ascii="Times New Roman" w:hAnsi="Times New Roman"/>
        </w:rPr>
        <w:t>, the percentages scored by the most popular subcategories can be viewed.</w:t>
      </w:r>
    </w:p>
    <w:p w:rsidR="005A1668" w:rsidRPr="009A10E6" w:rsidRDefault="008248AB" w:rsidP="00F0269A">
      <w:pPr>
        <w:spacing w:line="480" w:lineRule="auto"/>
        <w:ind w:left="360"/>
        <w:jc w:val="both"/>
        <w:rPr>
          <w:rFonts w:ascii="Times New Roman" w:hAnsi="Times New Roman"/>
        </w:rPr>
      </w:pPr>
      <w:r>
        <w:rPr>
          <w:rFonts w:ascii="Times New Roman" w:hAnsi="Times New Roman"/>
          <w:noProof/>
        </w:rPr>
        <w:drawing>
          <wp:inline distT="0" distB="0" distL="0" distR="0">
            <wp:extent cx="4357370" cy="234569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1668" w:rsidRPr="005524EB" w:rsidRDefault="00A31559" w:rsidP="00F0269A">
      <w:pPr>
        <w:pStyle w:val="ListParagraph"/>
        <w:spacing w:line="480" w:lineRule="auto"/>
        <w:jc w:val="both"/>
        <w:rPr>
          <w:rFonts w:ascii="Times New Roman" w:hAnsi="Times New Roman"/>
          <w:i/>
        </w:rPr>
      </w:pPr>
      <w:r>
        <w:rPr>
          <w:rFonts w:ascii="Times New Roman" w:hAnsi="Times New Roman"/>
          <w:i/>
        </w:rPr>
        <w:t>Graph 4</w:t>
      </w:r>
      <w:r w:rsidR="005524EB">
        <w:rPr>
          <w:rFonts w:ascii="Times New Roman" w:hAnsi="Times New Roman"/>
          <w:i/>
        </w:rPr>
        <w:t xml:space="preserve">: </w:t>
      </w:r>
      <w:r w:rsidR="005524EB" w:rsidRPr="005524EB">
        <w:rPr>
          <w:rFonts w:ascii="Times New Roman" w:hAnsi="Times New Roman"/>
          <w:i/>
        </w:rPr>
        <w:t>Spec</w:t>
      </w:r>
      <w:r>
        <w:rPr>
          <w:rFonts w:ascii="Times New Roman" w:hAnsi="Times New Roman"/>
          <w:i/>
        </w:rPr>
        <w:t>ial didactics</w:t>
      </w:r>
      <w:r w:rsidR="005524EB" w:rsidRPr="005524EB">
        <w:rPr>
          <w:rFonts w:ascii="Times New Roman" w:hAnsi="Times New Roman"/>
          <w:i/>
        </w:rPr>
        <w:t>, B</w:t>
      </w:r>
      <w:r>
        <w:rPr>
          <w:rFonts w:ascii="Times New Roman" w:hAnsi="Times New Roman"/>
          <w:i/>
        </w:rPr>
        <w:t>’ grade</w:t>
      </w:r>
    </w:p>
    <w:p w:rsidR="00AC30DD" w:rsidRPr="009A10E6" w:rsidRDefault="006B060D" w:rsidP="00F0269A">
      <w:pPr>
        <w:spacing w:line="480" w:lineRule="auto"/>
        <w:ind w:firstLine="709"/>
        <w:jc w:val="both"/>
        <w:rPr>
          <w:rFonts w:ascii="Times New Roman" w:hAnsi="Times New Roman"/>
        </w:rPr>
      </w:pPr>
      <w:r w:rsidRPr="009A10E6">
        <w:rPr>
          <w:rFonts w:ascii="Times New Roman" w:hAnsi="Times New Roman"/>
        </w:rPr>
        <w:t xml:space="preserve">In the </w:t>
      </w:r>
      <w:r w:rsidR="00BB5C1B" w:rsidRPr="009A10E6">
        <w:rPr>
          <w:rFonts w:ascii="Times New Roman" w:hAnsi="Times New Roman"/>
        </w:rPr>
        <w:t xml:space="preserve">second year </w:t>
      </w:r>
      <w:r w:rsidRPr="009A10E6">
        <w:rPr>
          <w:rFonts w:ascii="Times New Roman" w:hAnsi="Times New Roman"/>
        </w:rPr>
        <w:t xml:space="preserve">course of General </w:t>
      </w:r>
      <w:r w:rsidR="00954CD4" w:rsidRPr="009A10E6">
        <w:rPr>
          <w:rFonts w:ascii="Times New Roman" w:hAnsi="Times New Roman"/>
        </w:rPr>
        <w:t>Didactics</w:t>
      </w:r>
      <w:r w:rsidR="00BB5C1B" w:rsidRPr="009A10E6">
        <w:rPr>
          <w:rFonts w:ascii="Times New Roman" w:hAnsi="Times New Roman"/>
        </w:rPr>
        <w:t xml:space="preserve"> a more explicit class sessions’ pattern is shown. Namely, most hours are dedicated in the description of the use of audiovisual teaching material, followed by a subcategory that combines reading and writing skills with </w:t>
      </w:r>
      <w:r w:rsidR="00795A30">
        <w:rPr>
          <w:rFonts w:ascii="Times New Roman" w:hAnsi="Times New Roman"/>
        </w:rPr>
        <w:t xml:space="preserve">the </w:t>
      </w:r>
      <w:r w:rsidR="00795A30" w:rsidRPr="00795A30">
        <w:rPr>
          <w:rFonts w:ascii="Times New Roman" w:hAnsi="Times New Roman"/>
          <w:i/>
        </w:rPr>
        <w:t>Gesamtunterricht</w:t>
      </w:r>
      <w:r w:rsidR="00795A30" w:rsidRPr="00795A30">
        <w:rPr>
          <w:rFonts w:ascii="Times New Roman" w:hAnsi="Times New Roman"/>
        </w:rPr>
        <w:t xml:space="preserve"> </w:t>
      </w:r>
      <w:r w:rsidR="00076C8D" w:rsidRPr="00795A30">
        <w:rPr>
          <w:rFonts w:ascii="Times New Roman" w:hAnsi="Times New Roman"/>
        </w:rPr>
        <w:t>methodology</w:t>
      </w:r>
      <w:r w:rsidR="00795A30" w:rsidRPr="00795A30">
        <w:rPr>
          <w:vertAlign w:val="superscript"/>
        </w:rPr>
        <w:footnoteReference w:id="10"/>
      </w:r>
      <w:r w:rsidR="00BB5C1B" w:rsidRPr="00795A30">
        <w:rPr>
          <w:rFonts w:ascii="Times New Roman" w:hAnsi="Times New Roman"/>
        </w:rPr>
        <w:t xml:space="preserve"> </w:t>
      </w:r>
      <w:r w:rsidR="00BB5C1B" w:rsidRPr="009A10E6">
        <w:rPr>
          <w:rFonts w:ascii="Times New Roman" w:hAnsi="Times New Roman"/>
        </w:rPr>
        <w:t xml:space="preserve">and groupwork according to students individual skills. The next subcategories that log out more class sessions are on teaching methodology, </w:t>
      </w:r>
      <w:r w:rsidR="00BB5C1B" w:rsidRPr="009A10E6">
        <w:rPr>
          <w:rFonts w:ascii="Times New Roman" w:hAnsi="Times New Roman"/>
        </w:rPr>
        <w:lastRenderedPageBreak/>
        <w:t xml:space="preserve">curriculum, and </w:t>
      </w:r>
      <w:r w:rsidR="00B63745" w:rsidRPr="00B63745">
        <w:rPr>
          <w:rFonts w:ascii="Times New Roman" w:hAnsi="Times New Roman"/>
        </w:rPr>
        <w:t>three stages</w:t>
      </w:r>
      <w:r w:rsidR="00BB5C1B" w:rsidRPr="00B63745">
        <w:rPr>
          <w:rFonts w:ascii="Times New Roman" w:hAnsi="Times New Roman"/>
        </w:rPr>
        <w:t xml:space="preserve"> teaching process</w:t>
      </w:r>
      <w:r w:rsidR="00DC575E">
        <w:rPr>
          <w:rStyle w:val="FootnoteReference"/>
          <w:rFonts w:ascii="Times New Roman" w:hAnsi="Times New Roman"/>
        </w:rPr>
        <w:footnoteReference w:id="11"/>
      </w:r>
      <w:r w:rsidR="00BB5C1B" w:rsidRPr="009A10E6">
        <w:rPr>
          <w:rFonts w:ascii="Times New Roman" w:hAnsi="Times New Roman"/>
        </w:rPr>
        <w:t xml:space="preserve">. </w:t>
      </w:r>
      <w:r w:rsidR="001F6360" w:rsidRPr="009A10E6">
        <w:rPr>
          <w:rFonts w:ascii="Times New Roman" w:hAnsi="Times New Roman"/>
        </w:rPr>
        <w:t xml:space="preserve">In examining the rest of subcategories we can conclude that the issues examined are the same to those of the first year course with the only difference being that of the issue of discipline which is this time combined with the benefits of </w:t>
      </w:r>
      <w:r w:rsidR="00C162D8">
        <w:rPr>
          <w:rFonts w:ascii="Times New Roman" w:hAnsi="Times New Roman"/>
        </w:rPr>
        <w:t xml:space="preserve">work (based on the </w:t>
      </w:r>
      <w:r w:rsidR="00C162D8" w:rsidRPr="00C162D8">
        <w:rPr>
          <w:rFonts w:ascii="Times New Roman" w:hAnsi="Times New Roman"/>
        </w:rPr>
        <w:t>Arbeitsschule movement)</w:t>
      </w:r>
      <w:r w:rsidR="001F6360" w:rsidRPr="009A10E6">
        <w:rPr>
          <w:rFonts w:ascii="Times New Roman" w:hAnsi="Times New Roman"/>
        </w:rPr>
        <w:t xml:space="preserve">. The following </w:t>
      </w:r>
      <w:r w:rsidR="00277156">
        <w:rPr>
          <w:rFonts w:ascii="Times New Roman" w:hAnsi="Times New Roman"/>
        </w:rPr>
        <w:t>graph</w:t>
      </w:r>
      <w:r w:rsidR="001F6360" w:rsidRPr="009A10E6">
        <w:rPr>
          <w:rFonts w:ascii="Times New Roman" w:hAnsi="Times New Roman"/>
        </w:rPr>
        <w:t xml:space="preserve"> shows the percentages of the most popular subcategories.</w:t>
      </w:r>
    </w:p>
    <w:p w:rsidR="001F6360" w:rsidRPr="009A10E6" w:rsidRDefault="001F6360" w:rsidP="00F0269A">
      <w:pPr>
        <w:spacing w:line="480" w:lineRule="auto"/>
        <w:ind w:firstLine="709"/>
        <w:jc w:val="both"/>
        <w:rPr>
          <w:rFonts w:ascii="Times New Roman" w:hAnsi="Times New Roman"/>
        </w:rPr>
      </w:pPr>
    </w:p>
    <w:p w:rsidR="001F6360" w:rsidRDefault="008248AB" w:rsidP="00F0269A">
      <w:pPr>
        <w:spacing w:line="480" w:lineRule="auto"/>
        <w:ind w:firstLine="709"/>
        <w:jc w:val="both"/>
        <w:rPr>
          <w:rFonts w:ascii="Times New Roman" w:hAnsi="Times New Roman"/>
        </w:rPr>
      </w:pPr>
      <w:r>
        <w:rPr>
          <w:rFonts w:ascii="Times New Roman" w:hAnsi="Times New Roman"/>
          <w:noProof/>
        </w:rPr>
        <w:drawing>
          <wp:inline distT="0" distB="0" distL="0" distR="0">
            <wp:extent cx="4364990" cy="2202815"/>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31559" w:rsidRPr="00A31559" w:rsidRDefault="00A31559" w:rsidP="00F0269A">
      <w:pPr>
        <w:spacing w:line="480" w:lineRule="auto"/>
        <w:ind w:firstLine="709"/>
        <w:jc w:val="both"/>
        <w:rPr>
          <w:rFonts w:ascii="Times New Roman" w:hAnsi="Times New Roman"/>
          <w:i/>
        </w:rPr>
      </w:pPr>
      <w:r>
        <w:rPr>
          <w:rFonts w:ascii="Times New Roman" w:hAnsi="Times New Roman"/>
          <w:i/>
        </w:rPr>
        <w:t>Graph 5: General didactics, B’ grade</w:t>
      </w:r>
    </w:p>
    <w:p w:rsidR="001F6360" w:rsidRPr="009A10E6" w:rsidRDefault="001F6360" w:rsidP="00F0269A">
      <w:pPr>
        <w:spacing w:line="480" w:lineRule="auto"/>
        <w:ind w:firstLine="709"/>
        <w:jc w:val="both"/>
        <w:rPr>
          <w:rFonts w:ascii="Times New Roman" w:hAnsi="Times New Roman"/>
        </w:rPr>
      </w:pPr>
      <w:r w:rsidRPr="009A10E6">
        <w:rPr>
          <w:rFonts w:ascii="Times New Roman" w:hAnsi="Times New Roman"/>
        </w:rPr>
        <w:t xml:space="preserve">Coming next is the Psychology category. The distinction of relevant books in the </w:t>
      </w:r>
      <w:r w:rsidR="005035D2" w:rsidRPr="009A10E6">
        <w:rPr>
          <w:rFonts w:ascii="Times New Roman" w:hAnsi="Times New Roman"/>
        </w:rPr>
        <w:t>lending library took place in the</w:t>
      </w:r>
      <w:r w:rsidRPr="009A10E6">
        <w:rPr>
          <w:rFonts w:ascii="Times New Roman" w:hAnsi="Times New Roman"/>
        </w:rPr>
        <w:t xml:space="preserve"> first years of the </w:t>
      </w:r>
      <w:r w:rsidR="00235A48" w:rsidRPr="009A10E6">
        <w:rPr>
          <w:rFonts w:ascii="Times New Roman" w:hAnsi="Times New Roman"/>
        </w:rPr>
        <w:t>Greek</w:t>
      </w:r>
      <w:r w:rsidR="005035D2" w:rsidRPr="009A10E6">
        <w:rPr>
          <w:rFonts w:ascii="Times New Roman" w:hAnsi="Times New Roman"/>
        </w:rPr>
        <w:t xml:space="preserve"> </w:t>
      </w:r>
      <w:r w:rsidR="00235A48" w:rsidRPr="009A10E6">
        <w:rPr>
          <w:rFonts w:ascii="Times New Roman" w:hAnsi="Times New Roman"/>
        </w:rPr>
        <w:t>dictatorship</w:t>
      </w:r>
      <w:r w:rsidR="00F324A5">
        <w:rPr>
          <w:rFonts w:ascii="Times New Roman" w:hAnsi="Times New Roman"/>
        </w:rPr>
        <w:t xml:space="preserve"> (1967-1974)</w:t>
      </w:r>
      <w:r w:rsidRPr="009A10E6">
        <w:rPr>
          <w:rFonts w:ascii="Times New Roman" w:hAnsi="Times New Roman"/>
        </w:rPr>
        <w:t xml:space="preserve">. Prior to that, books on pedagogy, psychology and philosophy all belonged to the same general category. In terms of courses, a course on General Psychology was part both of the first and the second years of study while on the second year there were also some further specialized courses centering around Vocational Guidance and Individual differences Psychology. In fact, </w:t>
      </w:r>
      <w:r w:rsidR="00F80FF6" w:rsidRPr="009A10E6">
        <w:rPr>
          <w:rFonts w:ascii="Times New Roman" w:hAnsi="Times New Roman"/>
        </w:rPr>
        <w:t xml:space="preserve">what we came across was a tendency to employ psychology mostly in terms of the individual rather than those of groupwork. In the </w:t>
      </w:r>
      <w:r w:rsidR="00277156">
        <w:rPr>
          <w:rFonts w:ascii="Times New Roman" w:hAnsi="Times New Roman"/>
        </w:rPr>
        <w:t>graph</w:t>
      </w:r>
      <w:r w:rsidR="00F80FF6" w:rsidRPr="009A10E6">
        <w:rPr>
          <w:rFonts w:ascii="Times New Roman" w:hAnsi="Times New Roman"/>
        </w:rPr>
        <w:t xml:space="preserve"> below </w:t>
      </w:r>
      <w:r w:rsidR="005035D2" w:rsidRPr="009A10E6">
        <w:rPr>
          <w:rFonts w:ascii="Times New Roman" w:hAnsi="Times New Roman"/>
        </w:rPr>
        <w:t>we</w:t>
      </w:r>
      <w:r w:rsidR="00F80FF6" w:rsidRPr="009A10E6">
        <w:rPr>
          <w:rFonts w:ascii="Times New Roman" w:hAnsi="Times New Roman"/>
        </w:rPr>
        <w:t xml:space="preserve"> can see the </w:t>
      </w:r>
      <w:r w:rsidR="00B14B2D">
        <w:rPr>
          <w:rFonts w:ascii="Times New Roman" w:hAnsi="Times New Roman"/>
        </w:rPr>
        <w:t>sub</w:t>
      </w:r>
      <w:r w:rsidR="00F80FF6" w:rsidRPr="009A10E6">
        <w:rPr>
          <w:rFonts w:ascii="Times New Roman" w:hAnsi="Times New Roman"/>
        </w:rPr>
        <w:t xml:space="preserve">categories </w:t>
      </w:r>
      <w:r w:rsidR="00F80FF6" w:rsidRPr="009A10E6">
        <w:rPr>
          <w:rFonts w:ascii="Times New Roman" w:hAnsi="Times New Roman"/>
        </w:rPr>
        <w:lastRenderedPageBreak/>
        <w:t>found in ana</w:t>
      </w:r>
      <w:r w:rsidR="00B14B2D">
        <w:rPr>
          <w:rFonts w:ascii="Times New Roman" w:hAnsi="Times New Roman"/>
        </w:rPr>
        <w:t>lyzing the library’s book index</w:t>
      </w:r>
      <w:r w:rsidR="00F324A5">
        <w:rPr>
          <w:rFonts w:ascii="Times New Roman" w:hAnsi="Times New Roman"/>
        </w:rPr>
        <w:t xml:space="preserve"> as far as the united book category of pedagogy is concerned, </w:t>
      </w:r>
    </w:p>
    <w:p w:rsidR="00F80FF6" w:rsidRDefault="008248AB" w:rsidP="00F0269A">
      <w:pPr>
        <w:spacing w:line="480" w:lineRule="auto"/>
        <w:ind w:firstLine="709"/>
        <w:jc w:val="both"/>
        <w:rPr>
          <w:rFonts w:ascii="Times New Roman" w:hAnsi="Times New Roman"/>
        </w:rPr>
      </w:pPr>
      <w:r>
        <w:rPr>
          <w:rFonts w:ascii="Times New Roman" w:hAnsi="Times New Roman"/>
          <w:noProof/>
        </w:rPr>
        <w:drawing>
          <wp:inline distT="0" distB="0" distL="0" distR="0">
            <wp:extent cx="4349115" cy="2345690"/>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1559" w:rsidRPr="00A31559" w:rsidRDefault="00A31559" w:rsidP="00F0269A">
      <w:pPr>
        <w:spacing w:line="480" w:lineRule="auto"/>
        <w:ind w:firstLine="709"/>
        <w:jc w:val="both"/>
        <w:rPr>
          <w:rFonts w:ascii="Times New Roman" w:hAnsi="Times New Roman"/>
          <w:i/>
        </w:rPr>
      </w:pPr>
      <w:r>
        <w:rPr>
          <w:rFonts w:ascii="Times New Roman" w:hAnsi="Times New Roman"/>
          <w:i/>
        </w:rPr>
        <w:t>Graph 6: Psychology, library</w:t>
      </w:r>
    </w:p>
    <w:p w:rsidR="00F80FF6" w:rsidRPr="009A10E6" w:rsidRDefault="00F80FF6" w:rsidP="00F0269A">
      <w:pPr>
        <w:spacing w:line="480" w:lineRule="auto"/>
        <w:ind w:firstLine="709"/>
        <w:jc w:val="both"/>
        <w:rPr>
          <w:rFonts w:ascii="Times New Roman" w:hAnsi="Times New Roman"/>
        </w:rPr>
      </w:pPr>
      <w:r w:rsidRPr="009A10E6">
        <w:rPr>
          <w:rFonts w:ascii="Times New Roman" w:hAnsi="Times New Roman"/>
        </w:rPr>
        <w:t>According to the findings shown above, we can infer that the areas of vocational guidance</w:t>
      </w:r>
      <w:r w:rsidR="002C3745">
        <w:rPr>
          <w:rFonts w:ascii="Times New Roman" w:hAnsi="Times New Roman"/>
        </w:rPr>
        <w:t>,</w:t>
      </w:r>
      <w:r w:rsidRPr="009A10E6">
        <w:rPr>
          <w:rFonts w:ascii="Times New Roman" w:hAnsi="Times New Roman"/>
        </w:rPr>
        <w:t xml:space="preserve"> </w:t>
      </w:r>
      <w:r w:rsidR="000F09DA">
        <w:rPr>
          <w:rFonts w:ascii="Times New Roman" w:hAnsi="Times New Roman"/>
        </w:rPr>
        <w:t>which is associated with the field of</w:t>
      </w:r>
      <w:r w:rsidRPr="009A10E6">
        <w:rPr>
          <w:rFonts w:ascii="Times New Roman" w:hAnsi="Times New Roman"/>
        </w:rPr>
        <w:t xml:space="preserve"> adaptation psychology</w:t>
      </w:r>
      <w:r w:rsidR="002C3745">
        <w:rPr>
          <w:rFonts w:ascii="Times New Roman" w:hAnsi="Times New Roman"/>
        </w:rPr>
        <w:t>,</w:t>
      </w:r>
      <w:r w:rsidRPr="009A10E6">
        <w:rPr>
          <w:rFonts w:ascii="Times New Roman" w:hAnsi="Times New Roman"/>
        </w:rPr>
        <w:t xml:space="preserve"> score the higher percentages, a fact that agrees with the courses’ overriding rationale. What is more, the subcategory of Child Psychology refers mainly to the </w:t>
      </w:r>
      <w:r w:rsidR="006E3E89" w:rsidRPr="009A10E6">
        <w:rPr>
          <w:rFonts w:ascii="Times New Roman" w:hAnsi="Times New Roman"/>
        </w:rPr>
        <w:t xml:space="preserve">proceedings noted during the </w:t>
      </w:r>
      <w:r w:rsidRPr="009A10E6">
        <w:rPr>
          <w:rFonts w:ascii="Times New Roman" w:hAnsi="Times New Roman"/>
        </w:rPr>
        <w:t xml:space="preserve">course under the same title. </w:t>
      </w:r>
      <w:r w:rsidR="006E3E89" w:rsidRPr="009A10E6">
        <w:rPr>
          <w:rFonts w:ascii="Times New Roman" w:hAnsi="Times New Roman"/>
        </w:rPr>
        <w:t>Approached thusly, our findings in terms of the course agree to those concerning books on the psychology of individual differences. The main difference gleaned mostly concerns categories of books of psychoanalysis and analytical psyc</w:t>
      </w:r>
      <w:r w:rsidR="00076C8D">
        <w:rPr>
          <w:rFonts w:ascii="Times New Roman" w:hAnsi="Times New Roman"/>
        </w:rPr>
        <w:t xml:space="preserve">hology. These look mainly into </w:t>
      </w:r>
      <w:r w:rsidR="006E3E89" w:rsidRPr="009A10E6">
        <w:rPr>
          <w:rFonts w:ascii="Times New Roman" w:hAnsi="Times New Roman"/>
        </w:rPr>
        <w:t>theories by Freud, Adler and Jung that examine deeper strata of various phenomena, always on the basis of the individual rather than of group formations.</w:t>
      </w:r>
    </w:p>
    <w:p w:rsidR="006E3E89" w:rsidRPr="009A10E6" w:rsidRDefault="006E3E89" w:rsidP="00F0269A">
      <w:pPr>
        <w:spacing w:line="480" w:lineRule="auto"/>
        <w:ind w:firstLine="709"/>
        <w:jc w:val="both"/>
        <w:rPr>
          <w:rFonts w:ascii="Times New Roman" w:hAnsi="Times New Roman"/>
        </w:rPr>
      </w:pPr>
      <w:r w:rsidRPr="009A10E6">
        <w:rPr>
          <w:rFonts w:ascii="Times New Roman" w:hAnsi="Times New Roman"/>
        </w:rPr>
        <w:t>The following knowledge area examined is that of History. First and foremost</w:t>
      </w:r>
      <w:r w:rsidR="002138B2" w:rsidRPr="009A10E6">
        <w:rPr>
          <w:rFonts w:ascii="Times New Roman" w:hAnsi="Times New Roman"/>
        </w:rPr>
        <w:t xml:space="preserve">, it is crucial to note the significant divergence found between the contents of the course taught and the books of the lending library. In the </w:t>
      </w:r>
      <w:r w:rsidR="00277156">
        <w:rPr>
          <w:rFonts w:ascii="Times New Roman" w:hAnsi="Times New Roman"/>
        </w:rPr>
        <w:t>graph</w:t>
      </w:r>
      <w:r w:rsidR="002138B2" w:rsidRPr="009A10E6">
        <w:rPr>
          <w:rFonts w:ascii="Times New Roman" w:hAnsi="Times New Roman"/>
        </w:rPr>
        <w:t xml:space="preserve"> below, the most popular subcategories detected in researching the lending library’s corresponding book categories, become apparent.</w:t>
      </w:r>
    </w:p>
    <w:p w:rsidR="002138B2" w:rsidRPr="009A10E6" w:rsidRDefault="002138B2" w:rsidP="00F0269A">
      <w:pPr>
        <w:spacing w:line="480" w:lineRule="auto"/>
        <w:jc w:val="both"/>
        <w:rPr>
          <w:rFonts w:ascii="Times New Roman" w:hAnsi="Times New Roman"/>
        </w:rPr>
      </w:pPr>
    </w:p>
    <w:p w:rsidR="00011422" w:rsidRDefault="008248AB" w:rsidP="00F0269A">
      <w:pPr>
        <w:spacing w:line="480" w:lineRule="auto"/>
        <w:jc w:val="both"/>
        <w:rPr>
          <w:rFonts w:ascii="Times New Roman" w:hAnsi="Times New Roman"/>
        </w:rPr>
      </w:pPr>
      <w:r>
        <w:rPr>
          <w:rFonts w:ascii="Times New Roman" w:hAnsi="Times New Roman"/>
          <w:noProof/>
        </w:rPr>
        <w:lastRenderedPageBreak/>
        <w:drawing>
          <wp:inline distT="0" distB="0" distL="0" distR="0">
            <wp:extent cx="4230370" cy="2337435"/>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752B" w:rsidRPr="002C3745" w:rsidRDefault="002C3745" w:rsidP="00F0269A">
      <w:pPr>
        <w:spacing w:line="480" w:lineRule="auto"/>
        <w:jc w:val="both"/>
        <w:rPr>
          <w:rFonts w:ascii="Times New Roman" w:hAnsi="Times New Roman"/>
          <w:i/>
        </w:rPr>
      </w:pPr>
      <w:r>
        <w:rPr>
          <w:rFonts w:ascii="Times New Roman" w:hAnsi="Times New Roman"/>
          <w:i/>
        </w:rPr>
        <w:t>Graph 7: History, library</w:t>
      </w:r>
    </w:p>
    <w:p w:rsidR="002138B2" w:rsidRPr="009A10E6" w:rsidRDefault="002138B2" w:rsidP="0094752B">
      <w:pPr>
        <w:spacing w:line="480" w:lineRule="auto"/>
        <w:jc w:val="both"/>
        <w:rPr>
          <w:rFonts w:ascii="Times New Roman" w:hAnsi="Times New Roman"/>
        </w:rPr>
      </w:pPr>
      <w:r w:rsidRPr="009A10E6">
        <w:rPr>
          <w:rFonts w:ascii="Times New Roman" w:hAnsi="Times New Roman"/>
        </w:rPr>
        <w:t>What follows are the subcategories with the most class sessions</w:t>
      </w:r>
      <w:r w:rsidR="007F1458">
        <w:rPr>
          <w:rFonts w:ascii="Times New Roman" w:hAnsi="Times New Roman"/>
        </w:rPr>
        <w:t>.</w:t>
      </w:r>
    </w:p>
    <w:p w:rsidR="002138B2" w:rsidRDefault="008248AB" w:rsidP="00F0269A">
      <w:pPr>
        <w:spacing w:line="480" w:lineRule="auto"/>
        <w:ind w:firstLine="709"/>
        <w:jc w:val="both"/>
        <w:rPr>
          <w:rFonts w:ascii="Times New Roman" w:hAnsi="Times New Roman"/>
        </w:rPr>
      </w:pPr>
      <w:r>
        <w:rPr>
          <w:rFonts w:ascii="Times New Roman" w:hAnsi="Times New Roman"/>
          <w:noProof/>
        </w:rPr>
        <w:drawing>
          <wp:inline distT="0" distB="0" distL="0" distR="0">
            <wp:extent cx="4230370" cy="2337435"/>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C3745" w:rsidRPr="00C162D8" w:rsidRDefault="002C3745" w:rsidP="00F0269A">
      <w:pPr>
        <w:spacing w:line="480" w:lineRule="auto"/>
        <w:jc w:val="both"/>
        <w:rPr>
          <w:rFonts w:ascii="Times New Roman" w:hAnsi="Times New Roman"/>
          <w:i/>
        </w:rPr>
      </w:pPr>
      <w:r>
        <w:rPr>
          <w:rFonts w:ascii="Times New Roman" w:hAnsi="Times New Roman"/>
          <w:i/>
        </w:rPr>
        <w:t>Graph 8: History, courses</w:t>
      </w:r>
    </w:p>
    <w:p w:rsidR="002138B2" w:rsidRPr="009A10E6" w:rsidRDefault="002138B2" w:rsidP="00F0269A">
      <w:pPr>
        <w:spacing w:line="480" w:lineRule="auto"/>
        <w:ind w:firstLine="709"/>
        <w:jc w:val="both"/>
        <w:rPr>
          <w:rFonts w:ascii="Times New Roman" w:hAnsi="Times New Roman"/>
        </w:rPr>
      </w:pPr>
    </w:p>
    <w:p w:rsidR="002138B2" w:rsidRPr="009A10E6" w:rsidRDefault="002138B2" w:rsidP="00F0269A">
      <w:pPr>
        <w:spacing w:line="480" w:lineRule="auto"/>
        <w:ind w:firstLine="709"/>
        <w:jc w:val="both"/>
        <w:rPr>
          <w:rFonts w:ascii="Times New Roman" w:hAnsi="Times New Roman"/>
        </w:rPr>
      </w:pPr>
      <w:r w:rsidRPr="009A10E6">
        <w:rPr>
          <w:rFonts w:ascii="Times New Roman" w:hAnsi="Times New Roman"/>
        </w:rPr>
        <w:t>Based on the above</w:t>
      </w:r>
      <w:r w:rsidR="00023D26" w:rsidRPr="009A10E6">
        <w:rPr>
          <w:rFonts w:ascii="Times New Roman" w:hAnsi="Times New Roman"/>
        </w:rPr>
        <w:t>,</w:t>
      </w:r>
      <w:r w:rsidRPr="009A10E6">
        <w:rPr>
          <w:rFonts w:ascii="Times New Roman" w:hAnsi="Times New Roman"/>
        </w:rPr>
        <w:t xml:space="preserve"> we can safely say that the major topic categories are clearly differentiated. Most books in the library focus on the history of Crete, the Macedonian question, the Greek revolution, ancient Greek history and matters of folklore history, that is, mainly </w:t>
      </w:r>
      <w:r w:rsidR="00023D26" w:rsidRPr="009A10E6">
        <w:rPr>
          <w:rFonts w:ascii="Times New Roman" w:hAnsi="Times New Roman"/>
        </w:rPr>
        <w:t xml:space="preserve">on </w:t>
      </w:r>
      <w:r w:rsidRPr="009A10E6">
        <w:rPr>
          <w:rFonts w:ascii="Times New Roman" w:hAnsi="Times New Roman"/>
        </w:rPr>
        <w:t xml:space="preserve">Greek history, leaving aside the international </w:t>
      </w:r>
      <w:r w:rsidR="00F324A5">
        <w:rPr>
          <w:rFonts w:ascii="Times New Roman" w:hAnsi="Times New Roman"/>
        </w:rPr>
        <w:t>context</w:t>
      </w:r>
      <w:r w:rsidRPr="009A10E6">
        <w:rPr>
          <w:rFonts w:ascii="Times New Roman" w:hAnsi="Times New Roman"/>
        </w:rPr>
        <w:t>. Moreover, what becomes evident examining the rest of the topic categories, is that there is a distinct focus on the period of modern Greek history</w:t>
      </w:r>
      <w:r w:rsidR="000923F7" w:rsidRPr="009A10E6">
        <w:rPr>
          <w:rFonts w:ascii="Times New Roman" w:hAnsi="Times New Roman"/>
        </w:rPr>
        <w:t xml:space="preserve"> with few books that delineate Greek history in all its time periods.</w:t>
      </w:r>
    </w:p>
    <w:p w:rsidR="000923F7" w:rsidRPr="009A10E6" w:rsidRDefault="000923F7" w:rsidP="00F0269A">
      <w:pPr>
        <w:spacing w:line="480" w:lineRule="auto"/>
        <w:ind w:firstLine="709"/>
        <w:jc w:val="both"/>
        <w:rPr>
          <w:rFonts w:ascii="Times New Roman" w:hAnsi="Times New Roman"/>
        </w:rPr>
      </w:pPr>
      <w:r w:rsidRPr="009A10E6">
        <w:rPr>
          <w:rFonts w:ascii="Times New Roman" w:hAnsi="Times New Roman"/>
        </w:rPr>
        <w:lastRenderedPageBreak/>
        <w:t xml:space="preserve">On the contrary, based on the analysis conducted </w:t>
      </w:r>
      <w:r w:rsidR="00613316" w:rsidRPr="009A10E6">
        <w:rPr>
          <w:rFonts w:ascii="Times New Roman" w:hAnsi="Times New Roman"/>
        </w:rPr>
        <w:t>for</w:t>
      </w:r>
      <w:r w:rsidRPr="009A10E6">
        <w:rPr>
          <w:rFonts w:ascii="Times New Roman" w:hAnsi="Times New Roman"/>
        </w:rPr>
        <w:t xml:space="preserve"> the corresponding course, we can detect a distinct approach</w:t>
      </w:r>
      <w:r w:rsidR="00613316" w:rsidRPr="009A10E6">
        <w:rPr>
          <w:rFonts w:ascii="Times New Roman" w:hAnsi="Times New Roman"/>
        </w:rPr>
        <w:t xml:space="preserve"> although some common trai</w:t>
      </w:r>
      <w:r w:rsidR="00F324A5">
        <w:rPr>
          <w:rFonts w:ascii="Times New Roman" w:hAnsi="Times New Roman"/>
        </w:rPr>
        <w:t>ts still exist. T</w:t>
      </w:r>
      <w:r w:rsidR="00613316" w:rsidRPr="009A10E6">
        <w:rPr>
          <w:rFonts w:ascii="Times New Roman" w:hAnsi="Times New Roman"/>
        </w:rPr>
        <w:t xml:space="preserve">his course also refrains from including any events from the international </w:t>
      </w:r>
      <w:r w:rsidR="003867EB" w:rsidRPr="009A10E6">
        <w:rPr>
          <w:rFonts w:ascii="Times New Roman" w:hAnsi="Times New Roman"/>
        </w:rPr>
        <w:t>historical context</w:t>
      </w:r>
      <w:r w:rsidR="00613316" w:rsidRPr="009A10E6">
        <w:rPr>
          <w:rFonts w:ascii="Times New Roman" w:hAnsi="Times New Roman"/>
        </w:rPr>
        <w:t xml:space="preserve">. However, the greatest discrepancy found concerns the time periods that are being examined. In contrast to what was previously mentioned, more focus is placed on ancient </w:t>
      </w:r>
      <w:r w:rsidR="00193BD5" w:rsidRPr="009A10E6">
        <w:rPr>
          <w:rFonts w:ascii="Times New Roman" w:hAnsi="Times New Roman"/>
        </w:rPr>
        <w:t>and</w:t>
      </w:r>
      <w:r w:rsidR="00613316" w:rsidRPr="009A10E6">
        <w:rPr>
          <w:rFonts w:ascii="Times New Roman" w:hAnsi="Times New Roman"/>
        </w:rPr>
        <w:t xml:space="preserve"> prehistoric Greek history, while further references extent up to the byzantine years. In general, there is a balanced distribution of class sessions dedicated to the ancient Greek and byzantine periods with the exception of Hellenistic times and the </w:t>
      </w:r>
      <w:r w:rsidR="00193BD5" w:rsidRPr="009A10E6">
        <w:rPr>
          <w:rFonts w:ascii="Times New Roman" w:hAnsi="Times New Roman"/>
        </w:rPr>
        <w:t>years</w:t>
      </w:r>
      <w:r w:rsidR="00613316" w:rsidRPr="009A10E6">
        <w:rPr>
          <w:rFonts w:ascii="Times New Roman" w:hAnsi="Times New Roman"/>
        </w:rPr>
        <w:t xml:space="preserve"> of the Persian wars which obviously take the lead in terms of hours allotted to them. No mention is done to folklore notions since those were examined under a course wholly devoted to this area. </w:t>
      </w:r>
      <w:r w:rsidR="00193BD5" w:rsidRPr="009A10E6">
        <w:rPr>
          <w:rFonts w:ascii="Times New Roman" w:hAnsi="Times New Roman"/>
        </w:rPr>
        <w:t>In any case, the great number of books on folklore to be found in the library under the section of history books, makes already for a crucial backslide, especially if we compare it to the international historiographic discourse those very years</w:t>
      </w:r>
      <w:r w:rsidR="009E2792" w:rsidRPr="009A10E6">
        <w:rPr>
          <w:rStyle w:val="FootnoteReference"/>
          <w:rFonts w:ascii="Times New Roman" w:hAnsi="Times New Roman"/>
        </w:rPr>
        <w:footnoteReference w:id="12"/>
      </w:r>
      <w:r w:rsidR="00193BD5" w:rsidRPr="009A10E6">
        <w:rPr>
          <w:rFonts w:ascii="Times New Roman" w:hAnsi="Times New Roman"/>
        </w:rPr>
        <w:t xml:space="preserve">, while it also reveals </w:t>
      </w:r>
      <w:r w:rsidR="00AC1EAA" w:rsidRPr="009A10E6">
        <w:rPr>
          <w:rFonts w:ascii="Times New Roman" w:hAnsi="Times New Roman"/>
        </w:rPr>
        <w:t>a specific</w:t>
      </w:r>
      <w:r w:rsidR="00193BD5" w:rsidRPr="009A10E6">
        <w:rPr>
          <w:rFonts w:ascii="Times New Roman" w:hAnsi="Times New Roman"/>
        </w:rPr>
        <w:t xml:space="preserve"> </w:t>
      </w:r>
      <w:r w:rsidR="00C720F0" w:rsidRPr="009A10E6">
        <w:rPr>
          <w:rFonts w:ascii="Times New Roman" w:hAnsi="Times New Roman"/>
        </w:rPr>
        <w:t>ethnocentric</w:t>
      </w:r>
      <w:r w:rsidR="00193BD5" w:rsidRPr="009A10E6">
        <w:rPr>
          <w:rFonts w:ascii="Times New Roman" w:hAnsi="Times New Roman"/>
        </w:rPr>
        <w:t xml:space="preserve"> orientation supported.</w:t>
      </w:r>
    </w:p>
    <w:p w:rsidR="00193BD5" w:rsidRPr="009A10E6" w:rsidRDefault="009E2792" w:rsidP="00F0269A">
      <w:pPr>
        <w:spacing w:line="480" w:lineRule="auto"/>
        <w:ind w:firstLine="709"/>
        <w:jc w:val="both"/>
        <w:rPr>
          <w:rFonts w:ascii="Times New Roman" w:hAnsi="Times New Roman"/>
        </w:rPr>
      </w:pPr>
      <w:r w:rsidRPr="009A10E6">
        <w:rPr>
          <w:rFonts w:ascii="Times New Roman" w:hAnsi="Times New Roman"/>
        </w:rPr>
        <w:t xml:space="preserve">The </w:t>
      </w:r>
      <w:r w:rsidR="00AC1EAA" w:rsidRPr="009A10E6">
        <w:rPr>
          <w:rFonts w:ascii="Times New Roman" w:hAnsi="Times New Roman"/>
        </w:rPr>
        <w:t>field</w:t>
      </w:r>
      <w:r w:rsidRPr="009A10E6">
        <w:rPr>
          <w:rFonts w:ascii="Times New Roman" w:hAnsi="Times New Roman"/>
        </w:rPr>
        <w:t xml:space="preserve"> of Sociology was the next one to be examined and, according to the research, there were two relevant courses offered, none of whose contexts corresponded to t</w:t>
      </w:r>
      <w:r w:rsidR="00F324A5">
        <w:rPr>
          <w:rFonts w:ascii="Times New Roman" w:hAnsi="Times New Roman"/>
        </w:rPr>
        <w:t>he tenets of sociologic science</w:t>
      </w:r>
      <w:r w:rsidRPr="009A10E6">
        <w:rPr>
          <w:rFonts w:ascii="Times New Roman" w:hAnsi="Times New Roman"/>
        </w:rPr>
        <w:t>. The first of these, under the title of Principles of Public Law was taught from 1964-1965 till 1965-1966, while the second one, titled Introduction to Economics, was taught the academic year of 1966-1967. I</w:t>
      </w:r>
      <w:r w:rsidR="008673D5" w:rsidRPr="009A10E6">
        <w:rPr>
          <w:rFonts w:ascii="Times New Roman" w:hAnsi="Times New Roman"/>
        </w:rPr>
        <w:t>n the first of these two, i</w:t>
      </w:r>
      <w:r w:rsidRPr="009A10E6">
        <w:rPr>
          <w:rFonts w:ascii="Times New Roman" w:hAnsi="Times New Roman"/>
        </w:rPr>
        <w:t>ssues of economic</w:t>
      </w:r>
      <w:r w:rsidR="008673D5" w:rsidRPr="009A10E6">
        <w:rPr>
          <w:rFonts w:ascii="Times New Roman" w:hAnsi="Times New Roman"/>
        </w:rPr>
        <w:t xml:space="preserve">al nature but also matters important for students to be aware of, concerning constitutional law and basic information on the Constitution and the separation of powers, were </w:t>
      </w:r>
      <w:r w:rsidR="00E60809" w:rsidRPr="009A10E6">
        <w:rPr>
          <w:rFonts w:ascii="Times New Roman" w:hAnsi="Times New Roman"/>
        </w:rPr>
        <w:t>discusse</w:t>
      </w:r>
      <w:r w:rsidR="008673D5" w:rsidRPr="009A10E6">
        <w:rPr>
          <w:rFonts w:ascii="Times New Roman" w:hAnsi="Times New Roman"/>
        </w:rPr>
        <w:t xml:space="preserve">d. In the second course, topics under consideration included an introduction to economical science, like taxes, expenditures, demographics, how certain social issues influence a country’s economy, employment and health insurance matters. As far as the </w:t>
      </w:r>
      <w:r w:rsidR="008673D5" w:rsidRPr="009A10E6">
        <w:rPr>
          <w:rFonts w:ascii="Times New Roman" w:hAnsi="Times New Roman"/>
        </w:rPr>
        <w:lastRenderedPageBreak/>
        <w:t xml:space="preserve">related </w:t>
      </w:r>
      <w:r w:rsidR="003853CB" w:rsidRPr="009A10E6">
        <w:rPr>
          <w:rFonts w:ascii="Times New Roman" w:hAnsi="Times New Roman"/>
        </w:rPr>
        <w:t>category of the</w:t>
      </w:r>
      <w:r w:rsidR="008673D5" w:rsidRPr="009A10E6">
        <w:rPr>
          <w:rFonts w:ascii="Times New Roman" w:hAnsi="Times New Roman"/>
        </w:rPr>
        <w:t xml:space="preserve"> lending library</w:t>
      </w:r>
      <w:r w:rsidR="003853CB" w:rsidRPr="009A10E6">
        <w:rPr>
          <w:rFonts w:ascii="Times New Roman" w:hAnsi="Times New Roman"/>
        </w:rPr>
        <w:t xml:space="preserve">, which came under the </w:t>
      </w:r>
      <w:r w:rsidR="00362F14" w:rsidRPr="009A10E6">
        <w:rPr>
          <w:rFonts w:ascii="Times New Roman" w:hAnsi="Times New Roman"/>
        </w:rPr>
        <w:t>title</w:t>
      </w:r>
      <w:r w:rsidR="003853CB" w:rsidRPr="009A10E6">
        <w:rPr>
          <w:rFonts w:ascii="Times New Roman" w:hAnsi="Times New Roman"/>
        </w:rPr>
        <w:t xml:space="preserve"> of Sociology,</w:t>
      </w:r>
      <w:r w:rsidR="008673D5" w:rsidRPr="009A10E6">
        <w:rPr>
          <w:rFonts w:ascii="Times New Roman" w:hAnsi="Times New Roman"/>
        </w:rPr>
        <w:t xml:space="preserve"> is concerned, </w:t>
      </w:r>
      <w:r w:rsidR="003853CB" w:rsidRPr="009A10E6">
        <w:rPr>
          <w:rFonts w:ascii="Times New Roman" w:hAnsi="Times New Roman"/>
        </w:rPr>
        <w:t>we remark that the majority of books found mainly expanded on political issues</w:t>
      </w:r>
      <w:r w:rsidR="00065DBD" w:rsidRPr="009A10E6">
        <w:rPr>
          <w:rFonts w:ascii="Times New Roman" w:hAnsi="Times New Roman"/>
        </w:rPr>
        <w:t xml:space="preserve"> and</w:t>
      </w:r>
      <w:r w:rsidR="003853CB" w:rsidRPr="009A10E6">
        <w:rPr>
          <w:rFonts w:ascii="Times New Roman" w:hAnsi="Times New Roman"/>
        </w:rPr>
        <w:t xml:space="preserve"> half of them adopting an anti-communistic approach. Few were the books under this category that </w:t>
      </w:r>
      <w:r w:rsidR="00E60809" w:rsidRPr="009A10E6">
        <w:rPr>
          <w:rFonts w:ascii="Times New Roman" w:hAnsi="Times New Roman"/>
        </w:rPr>
        <w:t>discussed</w:t>
      </w:r>
      <w:r w:rsidR="003853CB" w:rsidRPr="009A10E6">
        <w:rPr>
          <w:rFonts w:ascii="Times New Roman" w:hAnsi="Times New Roman"/>
        </w:rPr>
        <w:t xml:space="preserve"> </w:t>
      </w:r>
      <w:r w:rsidR="00F07F8F" w:rsidRPr="009A10E6">
        <w:rPr>
          <w:rFonts w:ascii="Times New Roman" w:hAnsi="Times New Roman"/>
        </w:rPr>
        <w:t xml:space="preserve">educational </w:t>
      </w:r>
      <w:r w:rsidR="00F07F8F">
        <w:rPr>
          <w:rFonts w:ascii="Times New Roman" w:hAnsi="Times New Roman"/>
        </w:rPr>
        <w:t>issues</w:t>
      </w:r>
      <w:r w:rsidR="003853CB" w:rsidRPr="009A10E6">
        <w:rPr>
          <w:rFonts w:ascii="Times New Roman" w:hAnsi="Times New Roman"/>
        </w:rPr>
        <w:t>.</w:t>
      </w:r>
    </w:p>
    <w:p w:rsidR="00362F14" w:rsidRPr="009A10E6" w:rsidRDefault="00A65FDD" w:rsidP="00AB558F">
      <w:pPr>
        <w:spacing w:line="480" w:lineRule="auto"/>
        <w:ind w:firstLine="709"/>
        <w:jc w:val="both"/>
        <w:rPr>
          <w:rFonts w:ascii="Times New Roman" w:hAnsi="Times New Roman"/>
        </w:rPr>
      </w:pPr>
      <w:r w:rsidRPr="009A10E6">
        <w:rPr>
          <w:rFonts w:ascii="Times New Roman" w:hAnsi="Times New Roman"/>
        </w:rPr>
        <w:t xml:space="preserve">A pivotal point in our </w:t>
      </w:r>
      <w:r w:rsidR="00E54264" w:rsidRPr="009A10E6">
        <w:rPr>
          <w:rFonts w:ascii="Times New Roman" w:hAnsi="Times New Roman"/>
        </w:rPr>
        <w:t>research</w:t>
      </w:r>
      <w:r w:rsidRPr="009A10E6">
        <w:rPr>
          <w:rFonts w:ascii="Times New Roman" w:hAnsi="Times New Roman"/>
        </w:rPr>
        <w:t xml:space="preserve"> was the study of science</w:t>
      </w:r>
      <w:r w:rsidR="00C162D8">
        <w:rPr>
          <w:rFonts w:ascii="Times New Roman" w:hAnsi="Times New Roman"/>
        </w:rPr>
        <w:t>s</w:t>
      </w:r>
      <w:r w:rsidRPr="009A10E6">
        <w:rPr>
          <w:rFonts w:ascii="Times New Roman" w:hAnsi="Times New Roman"/>
        </w:rPr>
        <w:t>. In the teaching logs o</w:t>
      </w:r>
      <w:r w:rsidR="00362F14" w:rsidRPr="009A10E6">
        <w:rPr>
          <w:rFonts w:ascii="Times New Roman" w:hAnsi="Times New Roman"/>
        </w:rPr>
        <w:t>f</w:t>
      </w:r>
      <w:r w:rsidRPr="009A10E6">
        <w:rPr>
          <w:rFonts w:ascii="Times New Roman" w:hAnsi="Times New Roman"/>
        </w:rPr>
        <w:t xml:space="preserve"> courses given in the PAH, different sections are given to courses of Agricultural science, Physics and Mathematics</w:t>
      </w:r>
      <w:r w:rsidR="00362F14" w:rsidRPr="009A10E6">
        <w:rPr>
          <w:rFonts w:ascii="Times New Roman" w:hAnsi="Times New Roman"/>
        </w:rPr>
        <w:t xml:space="preserve">, for which no mention of individual courses’ logs was deemed necessary, since they only refer to technical rather than teaching content. On the other hand, the lending library contains one </w:t>
      </w:r>
      <w:r w:rsidR="00065DBD" w:rsidRPr="009A10E6">
        <w:rPr>
          <w:rFonts w:ascii="Times New Roman" w:hAnsi="Times New Roman"/>
        </w:rPr>
        <w:t>joint</w:t>
      </w:r>
      <w:r w:rsidR="00362F14" w:rsidRPr="009A10E6">
        <w:rPr>
          <w:rFonts w:ascii="Times New Roman" w:hAnsi="Times New Roman"/>
        </w:rPr>
        <w:t xml:space="preserve"> book category on agricultural and sciences. Reading the </w:t>
      </w:r>
      <w:r w:rsidR="00277156">
        <w:rPr>
          <w:rFonts w:ascii="Times New Roman" w:hAnsi="Times New Roman"/>
        </w:rPr>
        <w:t>graph</w:t>
      </w:r>
      <w:r w:rsidR="00362F14" w:rsidRPr="009A10E6">
        <w:rPr>
          <w:rFonts w:ascii="Times New Roman" w:hAnsi="Times New Roman"/>
        </w:rPr>
        <w:t xml:space="preserve"> below makes it obvious that most books of this category </w:t>
      </w:r>
      <w:r w:rsidR="00065DBD" w:rsidRPr="009A10E6">
        <w:rPr>
          <w:rFonts w:ascii="Times New Roman" w:hAnsi="Times New Roman"/>
        </w:rPr>
        <w:t>concern agricultural issues</w:t>
      </w:r>
      <w:r w:rsidR="00362F14" w:rsidRPr="009A10E6">
        <w:rPr>
          <w:rFonts w:ascii="Times New Roman" w:hAnsi="Times New Roman"/>
        </w:rPr>
        <w:t>, followed by those on geography and lastly those on sciences.</w:t>
      </w:r>
    </w:p>
    <w:p w:rsidR="002C3745" w:rsidRDefault="008248AB" w:rsidP="00F0269A">
      <w:pPr>
        <w:spacing w:line="480" w:lineRule="auto"/>
        <w:ind w:firstLine="709"/>
        <w:jc w:val="both"/>
        <w:rPr>
          <w:rFonts w:ascii="Times New Roman" w:hAnsi="Times New Roman"/>
        </w:rPr>
      </w:pPr>
      <w:r>
        <w:rPr>
          <w:rFonts w:ascii="Times New Roman" w:hAnsi="Times New Roman"/>
          <w:noProof/>
        </w:rPr>
        <w:drawing>
          <wp:inline distT="0" distB="0" distL="0" distR="0">
            <wp:extent cx="4190365" cy="2289810"/>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C3745" w:rsidRPr="002C3745" w:rsidRDefault="002C3745" w:rsidP="00F0269A">
      <w:pPr>
        <w:spacing w:line="480" w:lineRule="auto"/>
        <w:ind w:firstLine="709"/>
        <w:jc w:val="both"/>
        <w:rPr>
          <w:rFonts w:ascii="Times New Roman" w:hAnsi="Times New Roman"/>
        </w:rPr>
      </w:pPr>
      <w:r>
        <w:rPr>
          <w:rFonts w:ascii="Times New Roman" w:hAnsi="Times New Roman"/>
          <w:i/>
        </w:rPr>
        <w:t>Graph 9: Sciences, library</w:t>
      </w:r>
    </w:p>
    <w:p w:rsidR="00362F14" w:rsidRPr="00E4401A" w:rsidRDefault="00362F14" w:rsidP="00F0269A">
      <w:pPr>
        <w:spacing w:line="480" w:lineRule="auto"/>
        <w:ind w:firstLine="709"/>
        <w:jc w:val="both"/>
        <w:rPr>
          <w:rFonts w:ascii="Times New Roman" w:hAnsi="Times New Roman"/>
        </w:rPr>
      </w:pPr>
      <w:r w:rsidRPr="009A10E6">
        <w:rPr>
          <w:rFonts w:ascii="Times New Roman" w:hAnsi="Times New Roman"/>
        </w:rPr>
        <w:t xml:space="preserve">Gymnastics was the next area under review. The course offered was titled Physical Education and was taught in both academic years. Matters under consideration included issues related to the body, the </w:t>
      </w:r>
      <w:r w:rsidR="00A155F7" w:rsidRPr="009A10E6">
        <w:rPr>
          <w:rFonts w:ascii="Times New Roman" w:hAnsi="Times New Roman"/>
        </w:rPr>
        <w:t>didactics</w:t>
      </w:r>
      <w:r w:rsidR="00717056" w:rsidRPr="009A10E6">
        <w:rPr>
          <w:rFonts w:ascii="Times New Roman" w:hAnsi="Times New Roman"/>
        </w:rPr>
        <w:t xml:space="preserve"> of gymnastics, physical education theory, discipline necessary for the performance of exercises, various types of sport, dance, and, lastly, physical education history. In the </w:t>
      </w:r>
      <w:r w:rsidR="00277156">
        <w:rPr>
          <w:rFonts w:ascii="Times New Roman" w:hAnsi="Times New Roman"/>
        </w:rPr>
        <w:t>graph</w:t>
      </w:r>
      <w:r w:rsidR="00717056" w:rsidRPr="009A10E6">
        <w:rPr>
          <w:rFonts w:ascii="Times New Roman" w:hAnsi="Times New Roman"/>
        </w:rPr>
        <w:t xml:space="preserve"> below, percentages of the most pop</w:t>
      </w:r>
      <w:r w:rsidR="00E4401A">
        <w:rPr>
          <w:rFonts w:ascii="Times New Roman" w:hAnsi="Times New Roman"/>
        </w:rPr>
        <w:t xml:space="preserve">ular </w:t>
      </w:r>
      <w:r w:rsidR="006308ED">
        <w:rPr>
          <w:rFonts w:ascii="Times New Roman" w:hAnsi="Times New Roman"/>
        </w:rPr>
        <w:t>subcategories</w:t>
      </w:r>
      <w:r w:rsidR="00E4401A">
        <w:rPr>
          <w:rFonts w:ascii="Times New Roman" w:hAnsi="Times New Roman"/>
        </w:rPr>
        <w:t xml:space="preserve"> can be seen</w:t>
      </w:r>
      <w:r w:rsidR="00E4401A" w:rsidRPr="00E4401A">
        <w:rPr>
          <w:rFonts w:ascii="Times New Roman" w:hAnsi="Times New Roman"/>
        </w:rPr>
        <w:t>.</w:t>
      </w:r>
    </w:p>
    <w:p w:rsidR="00717056" w:rsidRDefault="008248AB" w:rsidP="00F0269A">
      <w:pPr>
        <w:spacing w:line="480" w:lineRule="auto"/>
        <w:ind w:firstLine="709"/>
        <w:jc w:val="both"/>
        <w:rPr>
          <w:rFonts w:ascii="Times New Roman" w:hAnsi="Times New Roman"/>
        </w:rPr>
      </w:pPr>
      <w:r>
        <w:rPr>
          <w:rFonts w:ascii="Times New Roman" w:hAnsi="Times New Roman"/>
          <w:noProof/>
        </w:rPr>
        <w:lastRenderedPageBreak/>
        <w:drawing>
          <wp:inline distT="0" distB="0" distL="0" distR="0">
            <wp:extent cx="4230370" cy="2337435"/>
            <wp:effectExtent l="0" t="0" r="0" b="0"/>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C3745" w:rsidRPr="002C3745" w:rsidRDefault="002C3745" w:rsidP="00F0269A">
      <w:pPr>
        <w:spacing w:line="480" w:lineRule="auto"/>
        <w:ind w:firstLine="709"/>
        <w:jc w:val="both"/>
        <w:rPr>
          <w:rFonts w:ascii="Times New Roman" w:hAnsi="Times New Roman"/>
          <w:i/>
        </w:rPr>
      </w:pPr>
      <w:r>
        <w:rPr>
          <w:rFonts w:ascii="Times New Roman" w:hAnsi="Times New Roman"/>
          <w:i/>
        </w:rPr>
        <w:t>Graph 10: Physical education, course</w:t>
      </w:r>
    </w:p>
    <w:p w:rsidR="00423B42" w:rsidRPr="00E4401A" w:rsidRDefault="00E4401A" w:rsidP="00F0269A">
      <w:pPr>
        <w:spacing w:line="480" w:lineRule="auto"/>
        <w:ind w:firstLine="709"/>
        <w:jc w:val="both"/>
        <w:rPr>
          <w:rFonts w:ascii="Times New Roman" w:hAnsi="Times New Roman"/>
        </w:rPr>
      </w:pPr>
      <w:r>
        <w:rPr>
          <w:rFonts w:ascii="Times New Roman" w:hAnsi="Times New Roman"/>
        </w:rPr>
        <w:t>T</w:t>
      </w:r>
      <w:r w:rsidR="00717056" w:rsidRPr="009A10E6">
        <w:rPr>
          <w:rFonts w:ascii="Times New Roman" w:hAnsi="Times New Roman"/>
        </w:rPr>
        <w:t>he relevant book category in the library, found under the title of Gymnastics – H</w:t>
      </w:r>
      <w:r w:rsidR="00423B42" w:rsidRPr="009A10E6">
        <w:rPr>
          <w:rFonts w:ascii="Times New Roman" w:hAnsi="Times New Roman"/>
        </w:rPr>
        <w:t>ygiene</w:t>
      </w:r>
      <w:r w:rsidR="00717056" w:rsidRPr="009A10E6">
        <w:rPr>
          <w:rFonts w:ascii="Times New Roman" w:hAnsi="Times New Roman"/>
        </w:rPr>
        <w:t xml:space="preserve"> – Scouting, gives a fairly </w:t>
      </w:r>
      <w:r w:rsidR="005354FA" w:rsidRPr="009A10E6">
        <w:rPr>
          <w:rFonts w:ascii="Times New Roman" w:hAnsi="Times New Roman"/>
        </w:rPr>
        <w:t xml:space="preserve">concise description of </w:t>
      </w:r>
      <w:r w:rsidR="00C3502A" w:rsidRPr="009A10E6">
        <w:rPr>
          <w:rFonts w:ascii="Times New Roman" w:hAnsi="Times New Roman"/>
        </w:rPr>
        <w:t>it</w:t>
      </w:r>
      <w:r w:rsidR="005354FA" w:rsidRPr="009A10E6">
        <w:rPr>
          <w:rFonts w:ascii="Times New Roman" w:hAnsi="Times New Roman"/>
        </w:rPr>
        <w:t xml:space="preserve">s </w:t>
      </w:r>
      <w:r w:rsidR="00C3502A" w:rsidRPr="009A10E6">
        <w:rPr>
          <w:rFonts w:ascii="Times New Roman" w:hAnsi="Times New Roman"/>
        </w:rPr>
        <w:t>contents</w:t>
      </w:r>
      <w:r w:rsidR="005354FA" w:rsidRPr="009A10E6">
        <w:rPr>
          <w:rFonts w:ascii="Times New Roman" w:hAnsi="Times New Roman"/>
        </w:rPr>
        <w:t xml:space="preserve">. </w:t>
      </w:r>
      <w:r w:rsidR="00C3502A" w:rsidRPr="009A10E6">
        <w:rPr>
          <w:rFonts w:ascii="Times New Roman" w:hAnsi="Times New Roman"/>
        </w:rPr>
        <w:t>Issues touched upon are scouting, h</w:t>
      </w:r>
      <w:r w:rsidR="00423B42" w:rsidRPr="009A10E6">
        <w:rPr>
          <w:rFonts w:ascii="Times New Roman" w:hAnsi="Times New Roman"/>
        </w:rPr>
        <w:t>ygiene</w:t>
      </w:r>
      <w:r w:rsidR="00C3502A" w:rsidRPr="009A10E6">
        <w:rPr>
          <w:rFonts w:ascii="Times New Roman" w:hAnsi="Times New Roman"/>
        </w:rPr>
        <w:t xml:space="preserve">, gymnastics for children, gymnastics in general, </w:t>
      </w:r>
      <w:r w:rsidR="00A155F7" w:rsidRPr="009A10E6">
        <w:rPr>
          <w:rFonts w:ascii="Times New Roman" w:hAnsi="Times New Roman"/>
        </w:rPr>
        <w:t>didactics of</w:t>
      </w:r>
      <w:r w:rsidR="00C3502A" w:rsidRPr="009A10E6">
        <w:rPr>
          <w:rFonts w:ascii="Times New Roman" w:hAnsi="Times New Roman"/>
        </w:rPr>
        <w:t xml:space="preserve"> gymnastics, military traini</w:t>
      </w:r>
      <w:r w:rsidR="00423B42" w:rsidRPr="009A10E6">
        <w:rPr>
          <w:rFonts w:ascii="Times New Roman" w:hAnsi="Times New Roman"/>
        </w:rPr>
        <w:t>n</w:t>
      </w:r>
      <w:r w:rsidR="00C3502A" w:rsidRPr="009A10E6">
        <w:rPr>
          <w:rFonts w:ascii="Times New Roman" w:hAnsi="Times New Roman"/>
        </w:rPr>
        <w:t>g but also those referring to gymnasiums and the history of gymnastics. Comparing these findings the greatest difference we observed applies to scouti</w:t>
      </w:r>
      <w:r w:rsidR="00423B42" w:rsidRPr="009A10E6">
        <w:rPr>
          <w:rFonts w:ascii="Times New Roman" w:hAnsi="Times New Roman"/>
        </w:rPr>
        <w:t>ng</w:t>
      </w:r>
      <w:r w:rsidR="00C3502A" w:rsidRPr="009A10E6">
        <w:rPr>
          <w:rFonts w:ascii="Times New Roman" w:hAnsi="Times New Roman"/>
        </w:rPr>
        <w:t xml:space="preserve"> which wasn’t mentioned in any of the teaching logs under review. Another point that came under our attention was </w:t>
      </w:r>
      <w:r w:rsidR="00423B42" w:rsidRPr="009A10E6">
        <w:rPr>
          <w:rFonts w:ascii="Times New Roman" w:hAnsi="Times New Roman"/>
        </w:rPr>
        <w:t xml:space="preserve">the fact that library contents focus more on issues of hygiene and military training which were never taught in class. In the </w:t>
      </w:r>
      <w:r w:rsidR="00277156">
        <w:rPr>
          <w:rFonts w:ascii="Times New Roman" w:hAnsi="Times New Roman"/>
        </w:rPr>
        <w:t>graph</w:t>
      </w:r>
      <w:r w:rsidR="00423B42" w:rsidRPr="009A10E6">
        <w:rPr>
          <w:rFonts w:ascii="Times New Roman" w:hAnsi="Times New Roman"/>
        </w:rPr>
        <w:t xml:space="preserve"> that follows, </w:t>
      </w:r>
      <w:r w:rsidR="00A155F7" w:rsidRPr="009A10E6">
        <w:rPr>
          <w:rFonts w:ascii="Times New Roman" w:hAnsi="Times New Roman"/>
        </w:rPr>
        <w:t>we</w:t>
      </w:r>
      <w:r w:rsidR="00423B42" w:rsidRPr="009A10E6">
        <w:rPr>
          <w:rFonts w:ascii="Times New Roman" w:hAnsi="Times New Roman"/>
        </w:rPr>
        <w:t xml:space="preserve"> can see the percentages of the most popular </w:t>
      </w:r>
      <w:r>
        <w:rPr>
          <w:rFonts w:ascii="Times New Roman" w:hAnsi="Times New Roman"/>
        </w:rPr>
        <w:t>library subcategories mentioned</w:t>
      </w:r>
      <w:r w:rsidRPr="00E4401A">
        <w:rPr>
          <w:rFonts w:ascii="Times New Roman" w:hAnsi="Times New Roman"/>
        </w:rPr>
        <w:t>.</w:t>
      </w:r>
    </w:p>
    <w:p w:rsidR="00011422" w:rsidRDefault="008248AB" w:rsidP="00F0269A">
      <w:pPr>
        <w:spacing w:line="480" w:lineRule="auto"/>
        <w:ind w:firstLine="709"/>
        <w:jc w:val="both"/>
        <w:rPr>
          <w:rFonts w:ascii="Times New Roman" w:hAnsi="Times New Roman"/>
        </w:rPr>
      </w:pPr>
      <w:r>
        <w:rPr>
          <w:rFonts w:ascii="Times New Roman" w:hAnsi="Times New Roman"/>
          <w:noProof/>
        </w:rPr>
        <w:lastRenderedPageBreak/>
        <w:drawing>
          <wp:inline distT="0" distB="0" distL="0" distR="0">
            <wp:extent cx="5438775" cy="2751455"/>
            <wp:effectExtent l="0" t="0" r="0" b="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3745" w:rsidRDefault="002C3745" w:rsidP="00F0269A">
      <w:pPr>
        <w:spacing w:line="480" w:lineRule="auto"/>
        <w:jc w:val="both"/>
        <w:rPr>
          <w:rFonts w:eastAsia="Times New Roman" w:cs="Calibri"/>
          <w:color w:val="000000"/>
          <w:sz w:val="22"/>
          <w:szCs w:val="22"/>
          <w:lang w:eastAsia="el-GR"/>
        </w:rPr>
      </w:pPr>
      <w:r>
        <w:rPr>
          <w:rFonts w:ascii="Times New Roman" w:hAnsi="Times New Roman"/>
          <w:i/>
        </w:rPr>
        <w:t>Graph 11:</w:t>
      </w:r>
      <w:r w:rsidRPr="002C3745">
        <w:rPr>
          <w:rFonts w:ascii="Times New Roman" w:hAnsi="Times New Roman"/>
          <w:i/>
        </w:rPr>
        <w:t xml:space="preserve"> Gymnastics, Hygiene, Scouting</w:t>
      </w:r>
    </w:p>
    <w:p w:rsidR="0094752B" w:rsidRPr="0094752B" w:rsidRDefault="0094752B" w:rsidP="00F0269A">
      <w:pPr>
        <w:spacing w:line="480" w:lineRule="auto"/>
        <w:jc w:val="both"/>
        <w:rPr>
          <w:rFonts w:ascii="Times New Roman" w:hAnsi="Times New Roman"/>
          <w:b/>
          <w:color w:val="2F5496"/>
        </w:rPr>
      </w:pPr>
    </w:p>
    <w:p w:rsidR="00922C8C" w:rsidRPr="006308ED" w:rsidRDefault="00922C8C" w:rsidP="006308ED">
      <w:pPr>
        <w:spacing w:line="480" w:lineRule="auto"/>
        <w:jc w:val="both"/>
        <w:rPr>
          <w:rFonts w:ascii="Times New Roman" w:hAnsi="Times New Roman"/>
          <w:b/>
          <w:color w:val="2F5496"/>
        </w:rPr>
      </w:pPr>
      <w:r w:rsidRPr="009A10E6">
        <w:rPr>
          <w:rFonts w:ascii="Times New Roman" w:hAnsi="Times New Roman"/>
          <w:b/>
          <w:color w:val="2F5496"/>
        </w:rPr>
        <w:t>Conclusions</w:t>
      </w:r>
    </w:p>
    <w:p w:rsidR="00922C8C" w:rsidRPr="009A10E6" w:rsidRDefault="00922C8C" w:rsidP="00F0269A">
      <w:pPr>
        <w:spacing w:line="480" w:lineRule="auto"/>
        <w:ind w:firstLine="709"/>
        <w:jc w:val="both"/>
        <w:rPr>
          <w:rFonts w:ascii="Times New Roman" w:hAnsi="Times New Roman"/>
        </w:rPr>
      </w:pPr>
      <w:r w:rsidRPr="009A10E6">
        <w:rPr>
          <w:rFonts w:ascii="Times New Roman" w:hAnsi="Times New Roman"/>
        </w:rPr>
        <w:t xml:space="preserve">This study was formulated on the basis of a different historical and methodological approach, as it ventured to highlight the </w:t>
      </w:r>
      <w:r w:rsidR="00B658B6" w:rsidRPr="009A10E6">
        <w:rPr>
          <w:rFonts w:ascii="Times New Roman" w:hAnsi="Times New Roman"/>
        </w:rPr>
        <w:t>characteristics</w:t>
      </w:r>
      <w:r w:rsidRPr="009A10E6">
        <w:rPr>
          <w:rFonts w:ascii="Times New Roman" w:hAnsi="Times New Roman"/>
        </w:rPr>
        <w:t xml:space="preserve"> of the </w:t>
      </w:r>
      <w:r w:rsidR="00B658B6" w:rsidRPr="009A10E6">
        <w:rPr>
          <w:rFonts w:ascii="Times New Roman" w:hAnsi="Times New Roman"/>
        </w:rPr>
        <w:t>teaching type encouraged, not by following the official legislative acts of the state, but by delving into the archives of PAH’s lending library, employing thus the concept of the bibliotype, which replaced that of the ideal type as methodological tools are concerned.</w:t>
      </w:r>
      <w:r w:rsidR="00076C8D" w:rsidRPr="00076C8D">
        <w:rPr>
          <w:rFonts w:ascii="Times New Roman" w:hAnsi="Times New Roman"/>
        </w:rPr>
        <w:t xml:space="preserve"> </w:t>
      </w:r>
      <w:r w:rsidR="00076C8D" w:rsidRPr="009A10E6">
        <w:rPr>
          <w:rFonts w:ascii="Times New Roman" w:hAnsi="Times New Roman"/>
        </w:rPr>
        <w:t xml:space="preserve">Consequently, our efforts are part of a specific case and do not aspire to apply to a greater extent and yield more general </w:t>
      </w:r>
      <w:r w:rsidR="00076C8D" w:rsidRPr="00067FF9">
        <w:rPr>
          <w:rFonts w:ascii="Times New Roman" w:hAnsi="Times New Roman"/>
        </w:rPr>
        <w:t>conclusions.</w:t>
      </w:r>
    </w:p>
    <w:p w:rsidR="00B658B6" w:rsidRPr="009A10E6" w:rsidRDefault="00B658B6" w:rsidP="00F0269A">
      <w:pPr>
        <w:spacing w:line="480" w:lineRule="auto"/>
        <w:ind w:firstLine="709"/>
        <w:jc w:val="both"/>
        <w:rPr>
          <w:rFonts w:ascii="Times New Roman" w:hAnsi="Times New Roman"/>
        </w:rPr>
      </w:pPr>
      <w:r w:rsidRPr="009A10E6">
        <w:rPr>
          <w:rFonts w:ascii="Times New Roman" w:hAnsi="Times New Roman"/>
        </w:rPr>
        <w:t>Based on the above, we concluded that the teaching bibliotype</w:t>
      </w:r>
      <w:r w:rsidR="007F2A96" w:rsidRPr="009A10E6">
        <w:rPr>
          <w:rFonts w:ascii="Times New Roman" w:hAnsi="Times New Roman"/>
        </w:rPr>
        <w:t xml:space="preserve"> </w:t>
      </w:r>
      <w:r w:rsidR="008916E3" w:rsidRPr="009A10E6">
        <w:rPr>
          <w:rFonts w:ascii="Times New Roman" w:hAnsi="Times New Roman"/>
        </w:rPr>
        <w:t>that emerged,</w:t>
      </w:r>
      <w:r w:rsidRPr="009A10E6">
        <w:rPr>
          <w:rFonts w:ascii="Times New Roman" w:hAnsi="Times New Roman"/>
        </w:rPr>
        <w:t xml:space="preserve"> does not seem to concur with the new approach that had been put forward by the educational reforms of the time. In particular, PAH decided to maintain a </w:t>
      </w:r>
      <w:r w:rsidR="00E4401A">
        <w:rPr>
          <w:rFonts w:ascii="Times New Roman" w:hAnsi="Times New Roman"/>
        </w:rPr>
        <w:t>joint</w:t>
      </w:r>
      <w:r w:rsidRPr="009A10E6">
        <w:rPr>
          <w:rFonts w:ascii="Times New Roman" w:hAnsi="Times New Roman"/>
        </w:rPr>
        <w:t xml:space="preserve"> category of books related to pedagogy, psychology and philosophy, contrary to the current international epistemological views of </w:t>
      </w:r>
      <w:commentRangeStart w:id="22"/>
      <w:r w:rsidR="006308ED">
        <w:rPr>
          <w:rFonts w:ascii="Times New Roman" w:hAnsi="Times New Roman"/>
        </w:rPr>
        <w:t>that</w:t>
      </w:r>
      <w:commentRangeEnd w:id="22"/>
      <w:r w:rsidR="006308ED">
        <w:rPr>
          <w:rStyle w:val="CommentReference"/>
        </w:rPr>
        <w:commentReference w:id="22"/>
      </w:r>
      <w:r w:rsidRPr="009A10E6">
        <w:rPr>
          <w:rFonts w:ascii="Times New Roman" w:hAnsi="Times New Roman"/>
        </w:rPr>
        <w:t xml:space="preserve"> </w:t>
      </w:r>
      <w:r w:rsidR="00E4401A">
        <w:rPr>
          <w:rFonts w:ascii="Times New Roman" w:hAnsi="Times New Roman"/>
        </w:rPr>
        <w:t>period</w:t>
      </w:r>
      <w:r w:rsidRPr="009A10E6">
        <w:rPr>
          <w:rFonts w:ascii="Times New Roman" w:hAnsi="Times New Roman"/>
        </w:rPr>
        <w:t xml:space="preserve">. In essence, </w:t>
      </w:r>
      <w:r w:rsidR="00A441DB" w:rsidRPr="009A10E6">
        <w:rPr>
          <w:rFonts w:ascii="Times New Roman" w:hAnsi="Times New Roman"/>
        </w:rPr>
        <w:t>what was found points towards the use of a didactic</w:t>
      </w:r>
      <w:r w:rsidR="007F2A96" w:rsidRPr="009A10E6">
        <w:rPr>
          <w:rFonts w:ascii="Times New Roman" w:hAnsi="Times New Roman"/>
        </w:rPr>
        <w:t>s</w:t>
      </w:r>
      <w:r w:rsidR="00A441DB" w:rsidRPr="009A10E6">
        <w:rPr>
          <w:rFonts w:ascii="Times New Roman" w:hAnsi="Times New Roman"/>
        </w:rPr>
        <w:t>-oriented model of t</w:t>
      </w:r>
      <w:r w:rsidR="008916E3" w:rsidRPr="009A10E6">
        <w:rPr>
          <w:rFonts w:ascii="Times New Roman" w:hAnsi="Times New Roman"/>
        </w:rPr>
        <w:t>eaching</w:t>
      </w:r>
      <w:r w:rsidR="00A441DB" w:rsidRPr="009A10E6">
        <w:rPr>
          <w:rFonts w:ascii="Times New Roman" w:hAnsi="Times New Roman"/>
        </w:rPr>
        <w:t xml:space="preserve">, while the predominant pedagogic discourse </w:t>
      </w:r>
      <w:r w:rsidR="00C75A58" w:rsidRPr="009A10E6">
        <w:rPr>
          <w:rFonts w:ascii="Times New Roman" w:hAnsi="Times New Roman"/>
        </w:rPr>
        <w:t xml:space="preserve">practiced </w:t>
      </w:r>
      <w:r w:rsidR="00A441DB" w:rsidRPr="009A10E6">
        <w:rPr>
          <w:rFonts w:ascii="Times New Roman" w:hAnsi="Times New Roman"/>
        </w:rPr>
        <w:t xml:space="preserve">seems to </w:t>
      </w:r>
      <w:r w:rsidR="008916E3" w:rsidRPr="009A10E6">
        <w:rPr>
          <w:rFonts w:ascii="Times New Roman" w:hAnsi="Times New Roman"/>
        </w:rPr>
        <w:lastRenderedPageBreak/>
        <w:t xml:space="preserve">have </w:t>
      </w:r>
      <w:r w:rsidR="00A441DB" w:rsidRPr="009A10E6">
        <w:rPr>
          <w:rFonts w:ascii="Times New Roman" w:hAnsi="Times New Roman"/>
        </w:rPr>
        <w:t>be</w:t>
      </w:r>
      <w:r w:rsidR="008916E3" w:rsidRPr="009A10E6">
        <w:rPr>
          <w:rFonts w:ascii="Times New Roman" w:hAnsi="Times New Roman"/>
        </w:rPr>
        <w:t>en</w:t>
      </w:r>
      <w:r w:rsidR="00A441DB" w:rsidRPr="009A10E6">
        <w:rPr>
          <w:rFonts w:ascii="Times New Roman" w:hAnsi="Times New Roman"/>
        </w:rPr>
        <w:t xml:space="preserve">aligned with the concept of didactic methodology, obviously forgoing the experimental </w:t>
      </w:r>
      <w:r w:rsidR="008916E3" w:rsidRPr="009A10E6">
        <w:rPr>
          <w:rFonts w:ascii="Times New Roman" w:hAnsi="Times New Roman"/>
        </w:rPr>
        <w:t>a</w:t>
      </w:r>
      <w:r w:rsidR="00A441DB" w:rsidRPr="009A10E6">
        <w:rPr>
          <w:rFonts w:ascii="Times New Roman" w:hAnsi="Times New Roman"/>
        </w:rPr>
        <w:t>spects of educational research. At the same time, the didactic methodology proposed appears to ignore the full body of courses by giving prevalence t</w:t>
      </w:r>
      <w:r w:rsidR="008916E3" w:rsidRPr="009A10E6">
        <w:rPr>
          <w:rFonts w:ascii="Times New Roman" w:hAnsi="Times New Roman"/>
        </w:rPr>
        <w:t>o</w:t>
      </w:r>
      <w:r w:rsidR="00A441DB" w:rsidRPr="009A10E6">
        <w:rPr>
          <w:rFonts w:ascii="Times New Roman" w:hAnsi="Times New Roman"/>
        </w:rPr>
        <w:t xml:space="preserve"> certain subject matters, contradicting</w:t>
      </w:r>
      <w:r w:rsidR="00C75A58" w:rsidRPr="009A10E6">
        <w:rPr>
          <w:rFonts w:ascii="Times New Roman" w:hAnsi="Times New Roman"/>
        </w:rPr>
        <w:t xml:space="preserve"> thus</w:t>
      </w:r>
      <w:r w:rsidR="00A441DB" w:rsidRPr="009A10E6">
        <w:rPr>
          <w:rFonts w:ascii="Times New Roman" w:hAnsi="Times New Roman"/>
        </w:rPr>
        <w:t xml:space="preserve"> the interdisciplinary discourse that ar</w:t>
      </w:r>
      <w:r w:rsidR="008916E3" w:rsidRPr="009A10E6">
        <w:rPr>
          <w:rFonts w:ascii="Times New Roman" w:hAnsi="Times New Roman"/>
        </w:rPr>
        <w:t>ose</w:t>
      </w:r>
      <w:r w:rsidR="00A441DB" w:rsidRPr="009A10E6">
        <w:rPr>
          <w:rFonts w:ascii="Times New Roman" w:hAnsi="Times New Roman"/>
        </w:rPr>
        <w:t xml:space="preserve"> from the formulation of the </w:t>
      </w:r>
      <w:r w:rsidR="00E4401A" w:rsidRPr="009A10E6">
        <w:rPr>
          <w:rFonts w:ascii="Times New Roman" w:hAnsi="Times New Roman"/>
        </w:rPr>
        <w:t xml:space="preserve">sciences </w:t>
      </w:r>
      <w:r w:rsidR="00E4401A">
        <w:rPr>
          <w:rFonts w:ascii="Times New Roman" w:hAnsi="Times New Roman"/>
        </w:rPr>
        <w:t xml:space="preserve">of </w:t>
      </w:r>
      <w:r w:rsidR="00A441DB" w:rsidRPr="009A10E6">
        <w:rPr>
          <w:rFonts w:ascii="Times New Roman" w:hAnsi="Times New Roman"/>
        </w:rPr>
        <w:t xml:space="preserve">education. </w:t>
      </w:r>
      <w:r w:rsidR="008916E3" w:rsidRPr="009A10E6">
        <w:rPr>
          <w:rFonts w:ascii="Times New Roman" w:hAnsi="Times New Roman"/>
        </w:rPr>
        <w:t xml:space="preserve">In any case, the focus placed on didactic methodology was found </w:t>
      </w:r>
      <w:r w:rsidR="00C75A58" w:rsidRPr="009A10E6">
        <w:rPr>
          <w:rFonts w:ascii="Times New Roman" w:hAnsi="Times New Roman"/>
        </w:rPr>
        <w:t>in equal measures</w:t>
      </w:r>
      <w:r w:rsidR="008916E3" w:rsidRPr="009A10E6">
        <w:rPr>
          <w:rFonts w:ascii="Times New Roman" w:hAnsi="Times New Roman"/>
        </w:rPr>
        <w:t xml:space="preserve"> both</w:t>
      </w:r>
      <w:r w:rsidR="00C75A58" w:rsidRPr="009A10E6">
        <w:rPr>
          <w:rFonts w:ascii="Times New Roman" w:hAnsi="Times New Roman"/>
        </w:rPr>
        <w:t xml:space="preserve"> in</w:t>
      </w:r>
      <w:r w:rsidR="008916E3" w:rsidRPr="009A10E6">
        <w:rPr>
          <w:rFonts w:ascii="Times New Roman" w:hAnsi="Times New Roman"/>
        </w:rPr>
        <w:t xml:space="preserve"> classes and books.</w:t>
      </w:r>
    </w:p>
    <w:p w:rsidR="00B658B6" w:rsidRPr="009A10E6" w:rsidRDefault="004768EE" w:rsidP="00F0269A">
      <w:pPr>
        <w:spacing w:line="480" w:lineRule="auto"/>
        <w:ind w:firstLine="709"/>
        <w:jc w:val="both"/>
        <w:rPr>
          <w:rFonts w:ascii="Times New Roman" w:hAnsi="Times New Roman"/>
        </w:rPr>
      </w:pPr>
      <w:r w:rsidRPr="009A10E6">
        <w:rPr>
          <w:rFonts w:ascii="Times New Roman" w:hAnsi="Times New Roman"/>
        </w:rPr>
        <w:t xml:space="preserve">In the framework described above, psychology was not able to supply an alternative solution, since the steps followed were readymade didactic ones and of a technical </w:t>
      </w:r>
      <w:r w:rsidR="00E4401A">
        <w:rPr>
          <w:rFonts w:ascii="Times New Roman" w:hAnsi="Times New Roman"/>
        </w:rPr>
        <w:t>content</w:t>
      </w:r>
      <w:r w:rsidRPr="009A10E6">
        <w:rPr>
          <w:rFonts w:ascii="Times New Roman" w:hAnsi="Times New Roman"/>
        </w:rPr>
        <w:t xml:space="preserve">. In terms of the library, psychology essentially became yet another tool for further examining didactic topics, disregarding more humanistic or </w:t>
      </w:r>
      <w:r w:rsidR="00C75A58" w:rsidRPr="009A10E6">
        <w:rPr>
          <w:rFonts w:ascii="Times New Roman" w:hAnsi="Times New Roman"/>
        </w:rPr>
        <w:t>pedagogical</w:t>
      </w:r>
      <w:r w:rsidRPr="009A10E6">
        <w:rPr>
          <w:rFonts w:ascii="Times New Roman" w:hAnsi="Times New Roman"/>
        </w:rPr>
        <w:t xml:space="preserve"> aspects of any given course. What was furthermore noted was that course</w:t>
      </w:r>
      <w:r w:rsidR="00C75A58" w:rsidRPr="009A10E6">
        <w:rPr>
          <w:rFonts w:ascii="Times New Roman" w:hAnsi="Times New Roman"/>
        </w:rPr>
        <w:t>s</w:t>
      </w:r>
      <w:r w:rsidRPr="009A10E6">
        <w:rPr>
          <w:rFonts w:ascii="Times New Roman" w:hAnsi="Times New Roman"/>
        </w:rPr>
        <w:t xml:space="preserve"> and books</w:t>
      </w:r>
      <w:r w:rsidR="00C75A58" w:rsidRPr="009A10E6">
        <w:rPr>
          <w:rFonts w:ascii="Times New Roman" w:hAnsi="Times New Roman"/>
        </w:rPr>
        <w:t>,</w:t>
      </w:r>
      <w:r w:rsidRPr="009A10E6">
        <w:rPr>
          <w:rFonts w:ascii="Times New Roman" w:hAnsi="Times New Roman"/>
        </w:rPr>
        <w:t xml:space="preserve"> in general</w:t>
      </w:r>
      <w:r w:rsidR="00C75A58" w:rsidRPr="009A10E6">
        <w:rPr>
          <w:rFonts w:ascii="Times New Roman" w:hAnsi="Times New Roman"/>
        </w:rPr>
        <w:t>,</w:t>
      </w:r>
      <w:r w:rsidRPr="009A10E6">
        <w:rPr>
          <w:rFonts w:ascii="Times New Roman" w:hAnsi="Times New Roman"/>
        </w:rPr>
        <w:t xml:space="preserve"> seem to have been encouraging an individual-based approach, meaning </w:t>
      </w:r>
      <w:r w:rsidR="007F2A96" w:rsidRPr="009A10E6">
        <w:rPr>
          <w:rFonts w:ascii="Times New Roman" w:hAnsi="Times New Roman"/>
        </w:rPr>
        <w:t>little</w:t>
      </w:r>
      <w:r w:rsidRPr="009A10E6">
        <w:rPr>
          <w:rFonts w:ascii="Times New Roman" w:hAnsi="Times New Roman"/>
        </w:rPr>
        <w:t xml:space="preserve"> mention was made to the value</w:t>
      </w:r>
      <w:r w:rsidR="00C75A58" w:rsidRPr="009A10E6">
        <w:rPr>
          <w:rFonts w:ascii="Times New Roman" w:hAnsi="Times New Roman"/>
        </w:rPr>
        <w:t>s</w:t>
      </w:r>
      <w:r w:rsidRPr="009A10E6">
        <w:rPr>
          <w:rFonts w:ascii="Times New Roman" w:hAnsi="Times New Roman"/>
        </w:rPr>
        <w:t xml:space="preserve"> of </w:t>
      </w:r>
      <w:commentRangeStart w:id="23"/>
      <w:r w:rsidRPr="009A10E6">
        <w:rPr>
          <w:rFonts w:ascii="Times New Roman" w:hAnsi="Times New Roman"/>
        </w:rPr>
        <w:t>groupwork</w:t>
      </w:r>
      <w:commentRangeEnd w:id="23"/>
      <w:r w:rsidR="006308ED">
        <w:rPr>
          <w:rStyle w:val="CommentReference"/>
        </w:rPr>
        <w:commentReference w:id="23"/>
      </w:r>
      <w:r w:rsidRPr="009A10E6">
        <w:rPr>
          <w:rFonts w:ascii="Times New Roman" w:hAnsi="Times New Roman"/>
        </w:rPr>
        <w:t>.</w:t>
      </w:r>
    </w:p>
    <w:p w:rsidR="004768EE" w:rsidRPr="009A10E6" w:rsidRDefault="0086430C" w:rsidP="00F0269A">
      <w:pPr>
        <w:spacing w:line="480" w:lineRule="auto"/>
        <w:ind w:firstLine="709"/>
        <w:jc w:val="both"/>
        <w:rPr>
          <w:rFonts w:ascii="Times New Roman" w:hAnsi="Times New Roman"/>
        </w:rPr>
      </w:pPr>
      <w:r w:rsidRPr="0086430C">
        <w:rPr>
          <w:rFonts w:ascii="Times New Roman" w:hAnsi="Times New Roman"/>
        </w:rPr>
        <w:t>Historical knowledge is considered to be central to the training provided, but we have not identified any evidence that is in line with the current</w:t>
      </w:r>
      <w:r w:rsidR="00E54264">
        <w:rPr>
          <w:rFonts w:ascii="Times New Roman" w:hAnsi="Times New Roman"/>
        </w:rPr>
        <w:t xml:space="preserve"> international historiographic</w:t>
      </w:r>
      <w:r w:rsidRPr="0086430C">
        <w:rPr>
          <w:rFonts w:ascii="Times New Roman" w:hAnsi="Times New Roman"/>
        </w:rPr>
        <w:t xml:space="preserve"> </w:t>
      </w:r>
      <w:r>
        <w:rPr>
          <w:rFonts w:ascii="Times New Roman" w:hAnsi="Times New Roman"/>
        </w:rPr>
        <w:t>thoughts</w:t>
      </w:r>
      <w:r w:rsidRPr="0086430C">
        <w:rPr>
          <w:rFonts w:ascii="Times New Roman" w:hAnsi="Times New Roman"/>
        </w:rPr>
        <w:t>.</w:t>
      </w:r>
      <w:r w:rsidR="004768EE" w:rsidRPr="009A10E6">
        <w:rPr>
          <w:rFonts w:ascii="Times New Roman" w:hAnsi="Times New Roman"/>
        </w:rPr>
        <w:t xml:space="preserve"> Moreover, </w:t>
      </w:r>
      <w:r w:rsidR="00D1066D" w:rsidRPr="009A10E6">
        <w:rPr>
          <w:rFonts w:ascii="Times New Roman" w:hAnsi="Times New Roman"/>
        </w:rPr>
        <w:t>the presence of the subcategory of folklore</w:t>
      </w:r>
      <w:r w:rsidR="00C75A58" w:rsidRPr="009A10E6">
        <w:rPr>
          <w:rFonts w:ascii="Times New Roman" w:hAnsi="Times New Roman"/>
        </w:rPr>
        <w:t xml:space="preserve"> that was</w:t>
      </w:r>
      <w:r w:rsidR="00D1066D" w:rsidRPr="009A10E6">
        <w:rPr>
          <w:rFonts w:ascii="Times New Roman" w:hAnsi="Times New Roman"/>
        </w:rPr>
        <w:t xml:space="preserve"> noted</w:t>
      </w:r>
      <w:r w:rsidR="00C75A58" w:rsidRPr="009A10E6">
        <w:rPr>
          <w:rFonts w:ascii="Times New Roman" w:hAnsi="Times New Roman"/>
        </w:rPr>
        <w:t>,</w:t>
      </w:r>
      <w:r w:rsidR="00D1066D" w:rsidRPr="009A10E6">
        <w:rPr>
          <w:rFonts w:ascii="Times New Roman" w:hAnsi="Times New Roman"/>
        </w:rPr>
        <w:t xml:space="preserve"> steers us even further away from major international historiography notions of that same period, as it is tied to a more romantic concept of a nation state. Crucially, the concept of folklore was more strongly felt in library documentation, with books on folklore to be found both in their own category but also in that of books on History.</w:t>
      </w:r>
    </w:p>
    <w:p w:rsidR="00C75A58" w:rsidRPr="009A10E6" w:rsidRDefault="00D1066D" w:rsidP="00F0269A">
      <w:pPr>
        <w:spacing w:line="480" w:lineRule="auto"/>
        <w:ind w:firstLine="709"/>
        <w:jc w:val="both"/>
        <w:rPr>
          <w:rFonts w:ascii="Times New Roman" w:hAnsi="Times New Roman"/>
        </w:rPr>
      </w:pPr>
      <w:r w:rsidRPr="009A10E6">
        <w:rPr>
          <w:rFonts w:ascii="Times New Roman" w:hAnsi="Times New Roman"/>
        </w:rPr>
        <w:t>When it comes to issues of modernization and democrati</w:t>
      </w:r>
      <w:r w:rsidR="00076C8D">
        <w:rPr>
          <w:rFonts w:ascii="Times New Roman" w:hAnsi="Times New Roman"/>
        </w:rPr>
        <w:t>zation posed by recent reforms</w:t>
      </w:r>
      <w:r w:rsidR="00076C8D" w:rsidRPr="00076C8D">
        <w:rPr>
          <w:rFonts w:ascii="Times New Roman" w:hAnsi="Times New Roman"/>
        </w:rPr>
        <w:t xml:space="preserve"> </w:t>
      </w:r>
      <w:r w:rsidR="00076C8D">
        <w:rPr>
          <w:rFonts w:ascii="Times New Roman" w:hAnsi="Times New Roman"/>
          <w:lang w:val="el-GR"/>
        </w:rPr>
        <w:t>ι</w:t>
      </w:r>
      <w:r w:rsidRPr="009A10E6">
        <w:rPr>
          <w:rFonts w:ascii="Times New Roman" w:hAnsi="Times New Roman"/>
        </w:rPr>
        <w:t xml:space="preserve">t would be even fair to say that </w:t>
      </w:r>
      <w:r w:rsidR="00076C8D">
        <w:rPr>
          <w:rFonts w:ascii="Times New Roman" w:hAnsi="Times New Roman"/>
        </w:rPr>
        <w:t>library</w:t>
      </w:r>
      <w:r w:rsidRPr="009A10E6">
        <w:rPr>
          <w:rFonts w:ascii="Times New Roman" w:hAnsi="Times New Roman"/>
        </w:rPr>
        <w:t xml:space="preserve"> goes against the </w:t>
      </w:r>
      <w:r w:rsidR="00C75A58" w:rsidRPr="009A10E6">
        <w:rPr>
          <w:rFonts w:ascii="Times New Roman" w:hAnsi="Times New Roman"/>
        </w:rPr>
        <w:t xml:space="preserve">content of courses designed to accommodate </w:t>
      </w:r>
      <w:r w:rsidR="00FB74AC" w:rsidRPr="009A10E6">
        <w:rPr>
          <w:rFonts w:ascii="Times New Roman" w:hAnsi="Times New Roman"/>
        </w:rPr>
        <w:t>such an</w:t>
      </w:r>
      <w:r w:rsidR="00C75A58" w:rsidRPr="009A10E6">
        <w:rPr>
          <w:rFonts w:ascii="Times New Roman" w:hAnsi="Times New Roman"/>
        </w:rPr>
        <w:t xml:space="preserve"> approach. Typical examples of the above are found in the book categories on sociology, physical education and sciences, where research showed great discrepancies and, in general, an overall conservative viewpoint.</w:t>
      </w:r>
    </w:p>
    <w:p w:rsidR="00684FDC" w:rsidRPr="009A10E6" w:rsidRDefault="00C720F0" w:rsidP="00F0269A">
      <w:pPr>
        <w:spacing w:line="480" w:lineRule="auto"/>
        <w:ind w:firstLine="709"/>
        <w:jc w:val="both"/>
        <w:rPr>
          <w:rFonts w:ascii="Times New Roman" w:hAnsi="Times New Roman"/>
        </w:rPr>
      </w:pPr>
      <w:r w:rsidRPr="009A10E6">
        <w:rPr>
          <w:rFonts w:ascii="Times New Roman" w:hAnsi="Times New Roman"/>
        </w:rPr>
        <w:lastRenderedPageBreak/>
        <w:t xml:space="preserve">Based on all the above we </w:t>
      </w:r>
      <w:r w:rsidR="00C162D8" w:rsidRPr="009A10E6">
        <w:rPr>
          <w:rFonts w:ascii="Times New Roman" w:hAnsi="Times New Roman"/>
        </w:rPr>
        <w:t>realize</w:t>
      </w:r>
      <w:r w:rsidRPr="009A10E6">
        <w:rPr>
          <w:rFonts w:ascii="Times New Roman" w:hAnsi="Times New Roman"/>
        </w:rPr>
        <w:t xml:space="preserve"> that teachers of PAH employed a pedagogic logic that stemmed from a didactic-based approach with certain ethnocentric and, to some degree, </w:t>
      </w:r>
      <w:r w:rsidR="002E1605" w:rsidRPr="009A10E6">
        <w:rPr>
          <w:rFonts w:ascii="Times New Roman" w:hAnsi="Times New Roman"/>
        </w:rPr>
        <w:t>conservative characteristic. In cases where this wasn’t explicitly supported, library materials ensured that this approach w</w:t>
      </w:r>
      <w:r w:rsidR="00DC515C" w:rsidRPr="009A10E6">
        <w:rPr>
          <w:rFonts w:ascii="Times New Roman" w:hAnsi="Times New Roman"/>
        </w:rPr>
        <w:t>o</w:t>
      </w:r>
      <w:r w:rsidR="002E1605" w:rsidRPr="009A10E6">
        <w:rPr>
          <w:rFonts w:ascii="Times New Roman" w:hAnsi="Times New Roman"/>
        </w:rPr>
        <w:t xml:space="preserve">uld be conveyed to students. The opposite was observed in terms of purely pedagogic topics, where the library supplied a rather more modernized view of teacher training compared to course contents. However, </w:t>
      </w:r>
      <w:r w:rsidR="00405902" w:rsidRPr="009A10E6">
        <w:rPr>
          <w:rFonts w:ascii="Times New Roman" w:hAnsi="Times New Roman"/>
        </w:rPr>
        <w:t>merging</w:t>
      </w:r>
      <w:r w:rsidR="002E1605" w:rsidRPr="009A10E6">
        <w:rPr>
          <w:rFonts w:ascii="Times New Roman" w:hAnsi="Times New Roman"/>
        </w:rPr>
        <w:t xml:space="preserve"> books on pedagogy, psychology and philosophy into a single category, undermined </w:t>
      </w:r>
      <w:r w:rsidR="00405902" w:rsidRPr="009A10E6">
        <w:rPr>
          <w:rFonts w:ascii="Times New Roman" w:hAnsi="Times New Roman"/>
        </w:rPr>
        <w:t>their respective scientific features and reframed any progressive views proposed in a manner that deviated from their original content.</w:t>
      </w:r>
    </w:p>
    <w:p w:rsidR="00405902" w:rsidRPr="009A10E6" w:rsidRDefault="00405902" w:rsidP="00F0269A">
      <w:pPr>
        <w:spacing w:line="480" w:lineRule="auto"/>
        <w:ind w:firstLine="709"/>
        <w:jc w:val="both"/>
        <w:rPr>
          <w:rFonts w:ascii="Times New Roman" w:hAnsi="Times New Roman"/>
        </w:rPr>
      </w:pPr>
      <w:r w:rsidRPr="009A10E6">
        <w:rPr>
          <w:rFonts w:ascii="Times New Roman" w:hAnsi="Times New Roman"/>
        </w:rPr>
        <w:t xml:space="preserve">As a consequence, the library managed to mask the negative aspects of teaching methods concerning pedagogy courses and, at the same time, to encourage </w:t>
      </w:r>
      <w:r w:rsidR="00DC515C" w:rsidRPr="009A10E6">
        <w:rPr>
          <w:rFonts w:ascii="Times New Roman" w:hAnsi="Times New Roman"/>
        </w:rPr>
        <w:t>some</w:t>
      </w:r>
      <w:r w:rsidRPr="009A10E6">
        <w:rPr>
          <w:rFonts w:ascii="Times New Roman" w:hAnsi="Times New Roman"/>
        </w:rPr>
        <w:t xml:space="preserve"> ethnocentric attitudes not strongly felt in courses. Therefore, the teaching bibliotype eclipses, to a degree, the pedagogic dimensions of educational situations, even though this does not become readily available to the naked eye and thus reveals an ethnocentric point of view linked to a more general </w:t>
      </w:r>
      <w:r w:rsidR="00DC515C" w:rsidRPr="009A10E6">
        <w:rPr>
          <w:rFonts w:ascii="Times New Roman" w:hAnsi="Times New Roman"/>
        </w:rPr>
        <w:t>political view against left</w:t>
      </w:r>
      <w:r w:rsidR="00897EB5" w:rsidRPr="009A10E6">
        <w:rPr>
          <w:rFonts w:ascii="Times New Roman" w:hAnsi="Times New Roman"/>
        </w:rPr>
        <w:t xml:space="preserve"> </w:t>
      </w:r>
      <w:r w:rsidR="00DC515C" w:rsidRPr="009A10E6">
        <w:rPr>
          <w:rFonts w:ascii="Times New Roman" w:hAnsi="Times New Roman"/>
        </w:rPr>
        <w:t xml:space="preserve">political </w:t>
      </w:r>
      <w:r w:rsidR="00897EB5" w:rsidRPr="009A10E6">
        <w:rPr>
          <w:rFonts w:ascii="Times New Roman" w:hAnsi="Times New Roman"/>
        </w:rPr>
        <w:t>thought.</w:t>
      </w:r>
    </w:p>
    <w:p w:rsidR="00D1066D" w:rsidRPr="009A10E6" w:rsidRDefault="00897EB5" w:rsidP="006308ED">
      <w:pPr>
        <w:spacing w:line="480" w:lineRule="auto"/>
        <w:ind w:firstLine="709"/>
        <w:jc w:val="both"/>
        <w:rPr>
          <w:rFonts w:ascii="Times New Roman" w:hAnsi="Times New Roman"/>
        </w:rPr>
      </w:pPr>
      <w:r w:rsidRPr="009A10E6">
        <w:rPr>
          <w:rFonts w:ascii="Times New Roman" w:hAnsi="Times New Roman"/>
        </w:rPr>
        <w:t xml:space="preserve">Finally, it should be noted that the lending library was a crucial part in </w:t>
      </w:r>
      <w:commentRangeStart w:id="24"/>
      <w:r w:rsidR="00DC515C" w:rsidRPr="009A10E6">
        <w:rPr>
          <w:rFonts w:ascii="Times New Roman" w:hAnsi="Times New Roman"/>
        </w:rPr>
        <w:t>percepting</w:t>
      </w:r>
      <w:r w:rsidRPr="009A10E6">
        <w:rPr>
          <w:rFonts w:ascii="Times New Roman" w:hAnsi="Times New Roman"/>
        </w:rPr>
        <w:t xml:space="preserve"> the </w:t>
      </w:r>
      <w:commentRangeEnd w:id="24"/>
      <w:r w:rsidR="00E01DA8">
        <w:rPr>
          <w:rStyle w:val="CommentReference"/>
        </w:rPr>
        <w:commentReference w:id="24"/>
      </w:r>
      <w:r w:rsidRPr="009A10E6">
        <w:rPr>
          <w:rFonts w:ascii="Times New Roman" w:hAnsi="Times New Roman"/>
        </w:rPr>
        <w:t>teacher training proposed by PAH in a fuller and more profound way during the time period we examined here. Through the use of the bibliotype we managed to access aspects of the training program that were not visible to previous research, which stayed on the surface of phenomena, failing thus to proceed to a ‘bottom-up’ treatment of the field.</w:t>
      </w:r>
      <w:r w:rsidR="009166B3" w:rsidRPr="009A10E6">
        <w:rPr>
          <w:rFonts w:ascii="Times New Roman" w:hAnsi="Times New Roman"/>
        </w:rPr>
        <w:t xml:space="preserve"> What became apparent </w:t>
      </w:r>
      <w:r w:rsidR="005343D2" w:rsidRPr="009A10E6">
        <w:rPr>
          <w:rFonts w:ascii="Times New Roman" w:hAnsi="Times New Roman"/>
        </w:rPr>
        <w:t>to us</w:t>
      </w:r>
      <w:r w:rsidR="009166B3" w:rsidRPr="009A10E6">
        <w:rPr>
          <w:rFonts w:ascii="Times New Roman" w:hAnsi="Times New Roman"/>
        </w:rPr>
        <w:t xml:space="preserve"> is that the library function was designed to overthrow the official approach presented by PAH through its courses. We can speak</w:t>
      </w:r>
      <w:r w:rsidR="005343D2" w:rsidRPr="009A10E6">
        <w:rPr>
          <w:rFonts w:ascii="Times New Roman" w:hAnsi="Times New Roman"/>
        </w:rPr>
        <w:t xml:space="preserve"> then</w:t>
      </w:r>
      <w:r w:rsidR="009166B3" w:rsidRPr="009A10E6">
        <w:rPr>
          <w:rFonts w:ascii="Times New Roman" w:hAnsi="Times New Roman"/>
        </w:rPr>
        <w:t xml:space="preserve"> of the </w:t>
      </w:r>
      <w:r w:rsidR="002C3839" w:rsidRPr="009A10E6">
        <w:rPr>
          <w:rFonts w:ascii="Times New Roman" w:hAnsi="Times New Roman"/>
        </w:rPr>
        <w:t>l</w:t>
      </w:r>
      <w:r w:rsidR="009166B3" w:rsidRPr="009A10E6">
        <w:rPr>
          <w:rFonts w:ascii="Times New Roman" w:hAnsi="Times New Roman"/>
        </w:rPr>
        <w:t xml:space="preserve">ibrary as the ‘other academy’, as a parallel curriculum used to serve specific goals posed by the academy itself. Subsequently, the library studied here did not succeed in providing students for any further </w:t>
      </w:r>
      <w:r w:rsidR="009166B3" w:rsidRPr="009A10E6">
        <w:rPr>
          <w:rFonts w:ascii="Times New Roman" w:hAnsi="Times New Roman"/>
        </w:rPr>
        <w:lastRenderedPageBreak/>
        <w:t>reflection grounds, but was, instead, used as a tool of silently prop</w:t>
      </w:r>
      <w:r w:rsidR="005343D2" w:rsidRPr="009A10E6">
        <w:rPr>
          <w:rFonts w:ascii="Times New Roman" w:hAnsi="Times New Roman"/>
        </w:rPr>
        <w:t>agating</w:t>
      </w:r>
      <w:r w:rsidR="002C3839" w:rsidRPr="009A10E6">
        <w:rPr>
          <w:rFonts w:ascii="Times New Roman" w:hAnsi="Times New Roman"/>
        </w:rPr>
        <w:t xml:space="preserve"> dominant knowledge, turning students into a depository bank of that very knowledge.</w:t>
      </w:r>
      <w:bookmarkStart w:id="25" w:name="_GoBack"/>
      <w:bookmarkEnd w:id="25"/>
    </w:p>
    <w:p w:rsidR="00D1237A" w:rsidRDefault="00D1237A" w:rsidP="00F0269A">
      <w:pPr>
        <w:spacing w:line="480" w:lineRule="auto"/>
        <w:ind w:firstLine="709"/>
        <w:rPr>
          <w:rStyle w:val="Emphasis"/>
          <w:rFonts w:ascii="Times New Roman" w:hAnsi="Times New Roman"/>
          <w:b/>
          <w:bCs/>
          <w:i w:val="0"/>
          <w:color w:val="303030"/>
          <w:bdr w:val="none" w:sz="0" w:space="0" w:color="auto" w:frame="1"/>
          <w:shd w:val="clear" w:color="auto" w:fill="FFFFFF"/>
        </w:rPr>
      </w:pPr>
      <w:r w:rsidRPr="00964955">
        <w:rPr>
          <w:rStyle w:val="Emphasis"/>
          <w:rFonts w:ascii="Times New Roman" w:hAnsi="Times New Roman"/>
          <w:b/>
          <w:bCs/>
          <w:i w:val="0"/>
          <w:color w:val="303030"/>
          <w:bdr w:val="none" w:sz="0" w:space="0" w:color="auto" w:frame="1"/>
          <w:shd w:val="clear" w:color="auto" w:fill="FFFFFF"/>
        </w:rPr>
        <w:t>Abbreviations</w:t>
      </w:r>
    </w:p>
    <w:p w:rsidR="00D1237A" w:rsidRDefault="00D1237A" w:rsidP="00F0269A">
      <w:pPr>
        <w:spacing w:line="480" w:lineRule="auto"/>
        <w:ind w:firstLine="709"/>
        <w:rPr>
          <w:rFonts w:ascii="Times New Roman" w:hAnsi="Times New Roman"/>
        </w:rPr>
      </w:pPr>
      <w:r>
        <w:rPr>
          <w:rFonts w:ascii="Times New Roman" w:hAnsi="Times New Roman"/>
        </w:rPr>
        <w:t>PA: Pedagogical Academy</w:t>
      </w:r>
    </w:p>
    <w:p w:rsidR="00D1237A" w:rsidRDefault="00D1237A" w:rsidP="00F0269A">
      <w:pPr>
        <w:spacing w:line="480" w:lineRule="auto"/>
        <w:ind w:firstLine="709"/>
        <w:rPr>
          <w:rFonts w:ascii="Times New Roman" w:hAnsi="Times New Roman"/>
        </w:rPr>
      </w:pPr>
      <w:r>
        <w:rPr>
          <w:rFonts w:ascii="Times New Roman" w:hAnsi="Times New Roman"/>
        </w:rPr>
        <w:t>PAH: Pedagogical Academy of Heraklion, Crete, Greece</w:t>
      </w:r>
    </w:p>
    <w:p w:rsidR="00D1237A" w:rsidRDefault="00D1237A" w:rsidP="00F0269A">
      <w:pPr>
        <w:spacing w:line="480" w:lineRule="auto"/>
        <w:ind w:firstLine="709"/>
        <w:rPr>
          <w:rFonts w:ascii="Times New Roman" w:hAnsi="Times New Roman"/>
        </w:rPr>
      </w:pPr>
      <w:r>
        <w:rPr>
          <w:rFonts w:ascii="Times New Roman" w:hAnsi="Times New Roman"/>
        </w:rPr>
        <w:t xml:space="preserve">OECD: </w:t>
      </w:r>
      <w:r w:rsidRPr="00964955">
        <w:rPr>
          <w:rFonts w:ascii="Times New Roman" w:hAnsi="Times New Roman"/>
        </w:rPr>
        <w:t>Organisation for Economic Co-operation and Development</w:t>
      </w:r>
    </w:p>
    <w:p w:rsidR="0086430C" w:rsidRDefault="00BE4330" w:rsidP="006308ED">
      <w:pPr>
        <w:spacing w:line="480" w:lineRule="auto"/>
        <w:ind w:left="709"/>
        <w:jc w:val="both"/>
        <w:rPr>
          <w:rFonts w:ascii="Times New Roman" w:hAnsi="Times New Roman"/>
        </w:rPr>
      </w:pPr>
      <w:r w:rsidRPr="009A10E6">
        <w:rPr>
          <w:rFonts w:ascii="Times New Roman" w:hAnsi="Times New Roman"/>
        </w:rPr>
        <w:t>C.S.R.H.E.T.P</w:t>
      </w:r>
      <w:r w:rsidR="00B7433E">
        <w:rPr>
          <w:rFonts w:ascii="Times New Roman" w:hAnsi="Times New Roman"/>
        </w:rPr>
        <w:t xml:space="preserve">: </w:t>
      </w:r>
      <w:hyperlink r:id="rId20" w:history="1">
        <w:r w:rsidR="00B7433E" w:rsidRPr="00B7433E">
          <w:rPr>
            <w:rFonts w:ascii="Times New Roman" w:hAnsi="Times New Roman"/>
          </w:rPr>
          <w:t xml:space="preserve">Centre of Study &amp; Research of History of Education and </w:t>
        </w:r>
        <w:r w:rsidR="00B7433E">
          <w:rPr>
            <w:rFonts w:ascii="Times New Roman" w:hAnsi="Times New Roman"/>
          </w:rPr>
          <w:t xml:space="preserve">the </w:t>
        </w:r>
        <w:r w:rsidR="00B7433E" w:rsidRPr="00B7433E">
          <w:rPr>
            <w:rFonts w:ascii="Times New Roman" w:hAnsi="Times New Roman"/>
          </w:rPr>
          <w:t xml:space="preserve">Teaching </w:t>
        </w:r>
        <w:r w:rsidR="00B7433E">
          <w:rPr>
            <w:rFonts w:ascii="Times New Roman" w:hAnsi="Times New Roman"/>
          </w:rPr>
          <w:t xml:space="preserve">  </w:t>
        </w:r>
        <w:r w:rsidR="006308ED">
          <w:rPr>
            <w:rFonts w:ascii="Times New Roman" w:hAnsi="Times New Roman"/>
          </w:rPr>
          <w:t xml:space="preserve">    </w:t>
        </w:r>
        <w:r w:rsidR="00B7433E" w:rsidRPr="00B7433E">
          <w:rPr>
            <w:rFonts w:ascii="Times New Roman" w:hAnsi="Times New Roman"/>
          </w:rPr>
          <w:t>Profession</w:t>
        </w:r>
      </w:hyperlink>
    </w:p>
    <w:p w:rsidR="006308ED" w:rsidRDefault="006308ED" w:rsidP="00764F53">
      <w:pPr>
        <w:spacing w:line="480" w:lineRule="auto"/>
        <w:ind w:firstLine="709"/>
        <w:jc w:val="both"/>
        <w:rPr>
          <w:rFonts w:ascii="Times New Roman" w:hAnsi="Times New Roman"/>
        </w:rPr>
      </w:pPr>
    </w:p>
    <w:p w:rsidR="00764F53" w:rsidRPr="00764F53" w:rsidRDefault="00764F53" w:rsidP="00764F53">
      <w:pPr>
        <w:spacing w:line="480" w:lineRule="auto"/>
        <w:ind w:firstLine="709"/>
        <w:jc w:val="both"/>
        <w:rPr>
          <w:rFonts w:ascii="Times New Roman" w:hAnsi="Times New Roman"/>
        </w:rPr>
      </w:pPr>
      <w:r w:rsidRPr="00764F53">
        <w:rPr>
          <w:rFonts w:ascii="Times New Roman" w:hAnsi="Times New Roman"/>
        </w:rPr>
        <w:t>Competing interests</w:t>
      </w:r>
    </w:p>
    <w:p w:rsidR="00764F53" w:rsidRPr="0086430C" w:rsidRDefault="00764F53" w:rsidP="00764F53">
      <w:pPr>
        <w:spacing w:line="480" w:lineRule="auto"/>
        <w:ind w:firstLine="709"/>
        <w:jc w:val="both"/>
        <w:rPr>
          <w:rFonts w:ascii="Times New Roman" w:hAnsi="Times New Roman"/>
        </w:rPr>
      </w:pPr>
      <w:r w:rsidRPr="00764F53">
        <w:rPr>
          <w:rFonts w:ascii="Times New Roman" w:hAnsi="Times New Roman"/>
        </w:rPr>
        <w:t>The author declare no conflicts of interest with this work</w:t>
      </w:r>
    </w:p>
    <w:p w:rsidR="008B5AB0" w:rsidRPr="006308ED" w:rsidRDefault="009F10C0" w:rsidP="006308ED">
      <w:pPr>
        <w:pStyle w:val="Heading1"/>
        <w:spacing w:line="480" w:lineRule="auto"/>
        <w:rPr>
          <w:rFonts w:ascii="Times New Roman" w:hAnsi="Times New Roman"/>
          <w:sz w:val="24"/>
          <w:szCs w:val="24"/>
          <w:lang w:val="en-US" w:eastAsia="el-GR"/>
        </w:rPr>
      </w:pPr>
      <w:r>
        <w:rPr>
          <w:rFonts w:ascii="Times New Roman" w:hAnsi="Times New Roman"/>
          <w:sz w:val="24"/>
          <w:szCs w:val="24"/>
          <w:lang w:val="en-US"/>
        </w:rPr>
        <w:t>References</w:t>
      </w:r>
      <w:r w:rsidR="008B5AB0" w:rsidRPr="009A10E6">
        <w:rPr>
          <w:rFonts w:ascii="Times New Roman" w:hAnsi="Times New Roman"/>
          <w:sz w:val="24"/>
          <w:szCs w:val="24"/>
        </w:rPr>
        <w:t>:</w:t>
      </w:r>
    </w:p>
    <w:p w:rsidR="00F0269A" w:rsidRPr="0011210B" w:rsidRDefault="00F0269A" w:rsidP="00F0269A">
      <w:pPr>
        <w:pStyle w:val="ListParagraph"/>
        <w:numPr>
          <w:ilvl w:val="0"/>
          <w:numId w:val="2"/>
        </w:numPr>
        <w:spacing w:after="160" w:line="480" w:lineRule="auto"/>
        <w:jc w:val="both"/>
        <w:rPr>
          <w:rFonts w:ascii="Times New Roman" w:hAnsi="Times New Roman"/>
        </w:rPr>
      </w:pPr>
      <w:r w:rsidRPr="0011210B">
        <w:rPr>
          <w:rFonts w:ascii="Times New Roman" w:hAnsi="Times New Roman"/>
          <w:color w:val="222222"/>
          <w:shd w:val="clear" w:color="auto" w:fill="FFFFFF"/>
        </w:rPr>
        <w:t>Best, F. (1988). The metamorphoses of the term ‘pedagogy’. </w:t>
      </w:r>
      <w:r w:rsidRPr="0011210B">
        <w:rPr>
          <w:rFonts w:ascii="Times New Roman" w:hAnsi="Times New Roman"/>
          <w:i/>
          <w:iCs/>
          <w:color w:val="222222"/>
          <w:shd w:val="clear" w:color="auto" w:fill="FFFFFF"/>
        </w:rPr>
        <w:t>Prospects</w:t>
      </w:r>
      <w:r w:rsidRPr="0011210B">
        <w:rPr>
          <w:rFonts w:ascii="Times New Roman" w:hAnsi="Times New Roman"/>
          <w:color w:val="222222"/>
          <w:shd w:val="clear" w:color="auto" w:fill="FFFFFF"/>
        </w:rPr>
        <w:t>, </w:t>
      </w:r>
      <w:r w:rsidRPr="0011210B">
        <w:rPr>
          <w:rFonts w:ascii="Times New Roman" w:hAnsi="Times New Roman"/>
          <w:i/>
          <w:iCs/>
          <w:color w:val="222222"/>
          <w:shd w:val="clear" w:color="auto" w:fill="FFFFFF"/>
        </w:rPr>
        <w:t>18</w:t>
      </w:r>
      <w:r w:rsidRPr="0011210B">
        <w:rPr>
          <w:rFonts w:ascii="Times New Roman" w:hAnsi="Times New Roman"/>
          <w:color w:val="222222"/>
          <w:shd w:val="clear" w:color="auto" w:fill="FFFFFF"/>
        </w:rPr>
        <w:t>(2), 155-166.</w:t>
      </w:r>
    </w:p>
    <w:p w:rsidR="008C3513" w:rsidRPr="008C3513" w:rsidRDefault="008C3513" w:rsidP="00F0269A">
      <w:pPr>
        <w:pStyle w:val="normal0"/>
        <w:numPr>
          <w:ilvl w:val="0"/>
          <w:numId w:val="2"/>
        </w:numPr>
        <w:spacing w:line="480" w:lineRule="auto"/>
        <w:jc w:val="both"/>
        <w:rPr>
          <w:rFonts w:ascii="Times New Roman" w:hAnsi="Times New Roman" w:cs="Times New Roman"/>
          <w:i/>
          <w:sz w:val="24"/>
          <w:szCs w:val="24"/>
        </w:rPr>
      </w:pPr>
      <w:r w:rsidRPr="008C3513">
        <w:rPr>
          <w:rFonts w:ascii="Times New Roman" w:eastAsia="Calibri" w:hAnsi="Times New Roman" w:cs="Times New Roman"/>
          <w:sz w:val="24"/>
          <w:szCs w:val="24"/>
          <w:lang w:val="en-US" w:eastAsia="en-US"/>
        </w:rPr>
        <w:t>Brezinka, W. (2003). Crisis and future of pedagogy as a university discipline. Pedagogical Review, 35, 9-32</w:t>
      </w:r>
    </w:p>
    <w:p w:rsidR="00F0269A" w:rsidRPr="00E00F91" w:rsidRDefault="00F0269A" w:rsidP="00F0269A">
      <w:pPr>
        <w:pStyle w:val="normal0"/>
        <w:numPr>
          <w:ilvl w:val="0"/>
          <w:numId w:val="2"/>
        </w:numPr>
        <w:spacing w:line="480" w:lineRule="auto"/>
        <w:jc w:val="both"/>
        <w:rPr>
          <w:rFonts w:ascii="Times New Roman" w:hAnsi="Times New Roman" w:cs="Times New Roman"/>
          <w:i/>
          <w:sz w:val="24"/>
          <w:szCs w:val="24"/>
        </w:rPr>
      </w:pPr>
      <w:r w:rsidRPr="00E00F91">
        <w:rPr>
          <w:rFonts w:ascii="Times New Roman" w:hAnsi="Times New Roman" w:cs="Times New Roman"/>
          <w:sz w:val="24"/>
          <w:szCs w:val="24"/>
          <w:lang w:val="en-US"/>
        </w:rPr>
        <w:t>Debesse, M. &amp; Mialaret, G. (1980)</w:t>
      </w:r>
      <w:r w:rsidRPr="00E00F91">
        <w:rPr>
          <w:rFonts w:ascii="Times New Roman" w:hAnsi="Times New Roman" w:cs="Times New Roman"/>
          <w:i/>
          <w:sz w:val="24"/>
          <w:szCs w:val="24"/>
          <w:lang w:val="en-US"/>
        </w:rPr>
        <w:t xml:space="preserve">. </w:t>
      </w:r>
      <w:r w:rsidRPr="00E00F91">
        <w:rPr>
          <w:rFonts w:ascii="Times New Roman" w:hAnsi="Times New Roman" w:cs="Times New Roman"/>
          <w:sz w:val="24"/>
          <w:szCs w:val="24"/>
        </w:rPr>
        <w:t>Πρόλογος</w:t>
      </w:r>
      <w:r w:rsidRPr="00E00F91">
        <w:rPr>
          <w:rFonts w:ascii="Times New Roman" w:hAnsi="Times New Roman" w:cs="Times New Roman"/>
          <w:i/>
          <w:sz w:val="24"/>
          <w:szCs w:val="24"/>
          <w:lang w:val="en-US"/>
        </w:rPr>
        <w:t xml:space="preserve">. </w:t>
      </w:r>
      <w:r w:rsidRPr="00E00F91">
        <w:rPr>
          <w:rFonts w:ascii="Times New Roman" w:hAnsi="Times New Roman" w:cs="Times New Roman"/>
          <w:sz w:val="24"/>
          <w:szCs w:val="24"/>
        </w:rPr>
        <w:t>Στο</w:t>
      </w:r>
      <w:r w:rsidRPr="008C3513">
        <w:rPr>
          <w:rFonts w:ascii="Times New Roman" w:hAnsi="Times New Roman" w:cs="Times New Roman"/>
          <w:sz w:val="24"/>
          <w:szCs w:val="24"/>
          <w:lang w:val="nb-NO"/>
        </w:rPr>
        <w:t xml:space="preserve"> M. Debesse &amp; G. Mialaret </w:t>
      </w:r>
      <w:r w:rsidR="008C3513" w:rsidRPr="008C3513">
        <w:rPr>
          <w:rFonts w:ascii="Times New Roman" w:hAnsi="Times New Roman" w:cs="Times New Roman"/>
          <w:sz w:val="24"/>
          <w:szCs w:val="24"/>
          <w:lang w:val="nb-NO"/>
        </w:rPr>
        <w:t xml:space="preserve">(ed.). </w:t>
      </w:r>
      <w:r w:rsidR="008C3513" w:rsidRPr="008C3513">
        <w:rPr>
          <w:rFonts w:ascii="Times New Roman" w:hAnsi="Times New Roman" w:cs="Times New Roman"/>
          <w:sz w:val="24"/>
          <w:szCs w:val="24"/>
          <w:lang w:val="en-US"/>
        </w:rPr>
        <w:t>The pedagogical sciences, general introduction. (vol. 1). Athens: Diptycho, 69-74</w:t>
      </w:r>
    </w:p>
    <w:p w:rsidR="008C3513" w:rsidRPr="008C3513" w:rsidRDefault="008C3513" w:rsidP="00F0269A">
      <w:pPr>
        <w:pStyle w:val="ListParagraph"/>
        <w:numPr>
          <w:ilvl w:val="0"/>
          <w:numId w:val="2"/>
        </w:numPr>
        <w:spacing w:after="160" w:line="480" w:lineRule="auto"/>
        <w:jc w:val="both"/>
        <w:rPr>
          <w:rFonts w:ascii="Times New Roman" w:hAnsi="Times New Roman"/>
          <w:color w:val="222222"/>
          <w:shd w:val="clear" w:color="auto" w:fill="FFFFFF"/>
        </w:rPr>
      </w:pPr>
      <w:r w:rsidRPr="008C3513">
        <w:rPr>
          <w:rFonts w:ascii="Times New Roman" w:eastAsia="Arial" w:hAnsi="Times New Roman"/>
          <w:lang w:eastAsia="el-GR"/>
        </w:rPr>
        <w:t>Dottrens, R. &amp; Mialaret, G. (1980). The evolution of pedagogical sciences and their current situation. In M. Debesse &amp; G. Mialaret (eds.). The pedagogical sciences, general introduction. (vol. 1). Athens: Diptycho, 85-142</w:t>
      </w:r>
    </w:p>
    <w:p w:rsidR="00F0269A" w:rsidRPr="003064B7" w:rsidRDefault="00F0269A" w:rsidP="00F0269A">
      <w:pPr>
        <w:pStyle w:val="ListParagraph"/>
        <w:numPr>
          <w:ilvl w:val="0"/>
          <w:numId w:val="2"/>
        </w:numPr>
        <w:spacing w:after="160" w:line="480" w:lineRule="auto"/>
        <w:jc w:val="both"/>
        <w:rPr>
          <w:rFonts w:ascii="Times New Roman" w:hAnsi="Times New Roman"/>
          <w:color w:val="222222"/>
          <w:shd w:val="clear" w:color="auto" w:fill="FFFFFF"/>
        </w:rPr>
      </w:pPr>
      <w:r w:rsidRPr="003064B7">
        <w:rPr>
          <w:rFonts w:ascii="Times New Roman" w:eastAsia="Arial Unicode MS" w:hAnsi="Times New Roman"/>
          <w:color w:val="000000"/>
          <w:shd w:val="clear" w:color="auto" w:fill="FFFFFF"/>
        </w:rPr>
        <w:t>Freire, P. (1972). </w:t>
      </w:r>
      <w:r w:rsidRPr="003064B7">
        <w:rPr>
          <w:rFonts w:ascii="Times New Roman" w:eastAsia="Arial Unicode MS" w:hAnsi="Times New Roman"/>
          <w:i/>
          <w:iCs/>
          <w:color w:val="000000"/>
          <w:shd w:val="clear" w:color="auto" w:fill="FFFFFF"/>
        </w:rPr>
        <w:t>Pedagogy of the oppressed</w:t>
      </w:r>
      <w:r w:rsidRPr="003064B7">
        <w:rPr>
          <w:rFonts w:ascii="Times New Roman" w:eastAsia="Arial Unicode MS" w:hAnsi="Times New Roman"/>
          <w:color w:val="000000"/>
          <w:shd w:val="clear" w:color="auto" w:fill="FFFFFF"/>
        </w:rPr>
        <w:t>. (6</w:t>
      </w:r>
      <w:r w:rsidRPr="003064B7">
        <w:rPr>
          <w:rFonts w:ascii="Times New Roman" w:eastAsia="Arial Unicode MS" w:hAnsi="Times New Roman"/>
          <w:color w:val="000000"/>
          <w:shd w:val="clear" w:color="auto" w:fill="FFFFFF"/>
          <w:vertAlign w:val="superscript"/>
        </w:rPr>
        <w:t>th</w:t>
      </w:r>
      <w:r w:rsidRPr="003064B7">
        <w:rPr>
          <w:rFonts w:ascii="Times New Roman" w:eastAsia="Arial Unicode MS" w:hAnsi="Times New Roman"/>
          <w:color w:val="000000"/>
          <w:shd w:val="clear" w:color="auto" w:fill="FFFFFF"/>
        </w:rPr>
        <w:t xml:space="preserve"> eds.) New York: Herder and Herder.</w:t>
      </w:r>
    </w:p>
    <w:p w:rsidR="00F0269A" w:rsidRPr="005C35D1" w:rsidRDefault="00F0269A" w:rsidP="00F0269A">
      <w:pPr>
        <w:pStyle w:val="normal0"/>
        <w:numPr>
          <w:ilvl w:val="0"/>
          <w:numId w:val="2"/>
        </w:numPr>
        <w:spacing w:line="480" w:lineRule="auto"/>
        <w:jc w:val="both"/>
        <w:rPr>
          <w:rFonts w:ascii="Times New Roman" w:hAnsi="Times New Roman" w:cs="Times New Roman"/>
          <w:sz w:val="24"/>
          <w:szCs w:val="24"/>
        </w:rPr>
      </w:pPr>
      <w:r w:rsidRPr="006E063E">
        <w:rPr>
          <w:rFonts w:ascii="Times New Roman" w:hAnsi="Times New Roman"/>
          <w:color w:val="000000"/>
          <w:sz w:val="24"/>
          <w:szCs w:val="24"/>
          <w:lang w:val="en-US"/>
        </w:rPr>
        <w:lastRenderedPageBreak/>
        <w:t xml:space="preserve">Giroux, </w:t>
      </w:r>
      <w:r w:rsidRPr="006E063E">
        <w:rPr>
          <w:rFonts w:ascii="Times New Roman" w:hAnsi="Times New Roman"/>
          <w:color w:val="000000"/>
          <w:sz w:val="24"/>
          <w:szCs w:val="24"/>
        </w:rPr>
        <w:t>Η</w:t>
      </w:r>
      <w:r w:rsidRPr="006E063E">
        <w:rPr>
          <w:rFonts w:ascii="Times New Roman" w:hAnsi="Times New Roman"/>
          <w:color w:val="000000"/>
          <w:sz w:val="24"/>
          <w:szCs w:val="24"/>
          <w:lang w:val="en-US"/>
        </w:rPr>
        <w:t xml:space="preserve">. (1981). </w:t>
      </w:r>
      <w:r w:rsidRPr="006E063E">
        <w:rPr>
          <w:rFonts w:ascii="Times New Roman" w:hAnsi="Times New Roman"/>
          <w:i/>
          <w:color w:val="000000"/>
          <w:sz w:val="24"/>
          <w:szCs w:val="24"/>
          <w:lang w:val="en-US"/>
        </w:rPr>
        <w:t>Ideology, culture and the process of schooling</w:t>
      </w:r>
      <w:r w:rsidRPr="006E063E">
        <w:rPr>
          <w:rFonts w:ascii="Times New Roman" w:hAnsi="Times New Roman"/>
          <w:color w:val="000000"/>
          <w:sz w:val="24"/>
          <w:szCs w:val="24"/>
          <w:lang w:val="en-US"/>
        </w:rPr>
        <w:t>. London: Temple University Press</w:t>
      </w:r>
    </w:p>
    <w:p w:rsidR="00F0269A" w:rsidRPr="0011210B" w:rsidRDefault="00F0269A" w:rsidP="00F0269A">
      <w:pPr>
        <w:pStyle w:val="CommentText"/>
        <w:numPr>
          <w:ilvl w:val="0"/>
          <w:numId w:val="2"/>
        </w:numPr>
        <w:spacing w:line="480" w:lineRule="auto"/>
        <w:jc w:val="both"/>
        <w:rPr>
          <w:rFonts w:ascii="Times New Roman" w:hAnsi="Times New Roman"/>
          <w:sz w:val="24"/>
          <w:szCs w:val="24"/>
        </w:rPr>
      </w:pPr>
      <w:r w:rsidRPr="0011210B">
        <w:rPr>
          <w:rFonts w:ascii="Times New Roman" w:hAnsi="Times New Roman"/>
          <w:sz w:val="24"/>
          <w:szCs w:val="24"/>
        </w:rPr>
        <w:t xml:space="preserve">Keiner, E. (2006). The science of Education – Disciplinary Knowledge on Non-Knowledge  /Ignorance?. In P. Smeyers et al (eds.). </w:t>
      </w:r>
      <w:r w:rsidRPr="0011210B">
        <w:rPr>
          <w:rFonts w:ascii="Times New Roman" w:hAnsi="Times New Roman"/>
          <w:i/>
          <w:sz w:val="24"/>
          <w:szCs w:val="24"/>
        </w:rPr>
        <w:t>Educational Research: Why ‘What Works” Doesn’t Work</w:t>
      </w:r>
      <w:r w:rsidRPr="0011210B">
        <w:rPr>
          <w:rFonts w:ascii="Times New Roman" w:hAnsi="Times New Roman"/>
          <w:sz w:val="24"/>
          <w:szCs w:val="24"/>
        </w:rPr>
        <w:t>. Dordrecht: Springer</w:t>
      </w:r>
      <w:r>
        <w:rPr>
          <w:rFonts w:ascii="Times New Roman" w:hAnsi="Times New Roman"/>
          <w:sz w:val="24"/>
          <w:szCs w:val="24"/>
        </w:rPr>
        <w:t>, 171-186.</w:t>
      </w:r>
    </w:p>
    <w:p w:rsidR="00EB6341" w:rsidRPr="00EB6341" w:rsidRDefault="00EB6341" w:rsidP="00F0269A">
      <w:pPr>
        <w:pStyle w:val="normal0"/>
        <w:numPr>
          <w:ilvl w:val="0"/>
          <w:numId w:val="2"/>
        </w:numPr>
        <w:spacing w:line="360" w:lineRule="auto"/>
        <w:jc w:val="both"/>
        <w:rPr>
          <w:rFonts w:ascii="Times New Roman" w:hAnsi="Times New Roman" w:cs="Times New Roman"/>
          <w:sz w:val="24"/>
          <w:szCs w:val="24"/>
        </w:rPr>
      </w:pPr>
      <w:r w:rsidRPr="00EB6341">
        <w:rPr>
          <w:rFonts w:ascii="Times New Roman" w:eastAsia="Calibri" w:hAnsi="Times New Roman" w:cs="Times New Roman"/>
          <w:sz w:val="24"/>
          <w:szCs w:val="24"/>
          <w:lang w:val="en-US" w:eastAsia="en-US"/>
        </w:rPr>
        <w:t>Lallement, M. (2004). History of sociological ideas. (M. Lykoudis, Transl.). Athens: Metaichmio</w:t>
      </w:r>
    </w:p>
    <w:p w:rsidR="00EB6341" w:rsidRPr="00EB6341" w:rsidRDefault="00EB6341" w:rsidP="00F0269A">
      <w:pPr>
        <w:pStyle w:val="ListParagraph"/>
        <w:numPr>
          <w:ilvl w:val="0"/>
          <w:numId w:val="2"/>
        </w:numPr>
        <w:spacing w:after="160" w:line="480" w:lineRule="auto"/>
        <w:rPr>
          <w:rFonts w:ascii="Times New Roman" w:hAnsi="Times New Roman"/>
        </w:rPr>
      </w:pPr>
      <w:r w:rsidRPr="00EB6341">
        <w:rPr>
          <w:rFonts w:ascii="Times New Roman" w:eastAsia="Arial" w:hAnsi="Times New Roman"/>
          <w:lang w:eastAsia="el-GR"/>
        </w:rPr>
        <w:t>Mialaret, G. (2008). Educational Sciences. (D. Karakatsani, Transl.). Athens: Metaichmio</w:t>
      </w:r>
    </w:p>
    <w:p w:rsidR="00D77176" w:rsidRPr="00D77176" w:rsidRDefault="00D77176" w:rsidP="00F0269A">
      <w:pPr>
        <w:pStyle w:val="ListParagraph"/>
        <w:numPr>
          <w:ilvl w:val="0"/>
          <w:numId w:val="2"/>
        </w:numPr>
        <w:spacing w:after="200" w:line="480" w:lineRule="auto"/>
        <w:rPr>
          <w:rFonts w:ascii="Times New Roman" w:eastAsia="Times New Roman" w:hAnsi="Times New Roman"/>
        </w:rPr>
      </w:pPr>
      <w:r w:rsidRPr="00D77176">
        <w:rPr>
          <w:rFonts w:ascii="Times New Roman" w:hAnsi="Times New Roman"/>
          <w:color w:val="000000"/>
          <w:lang w:val="el-GR"/>
        </w:rPr>
        <w:t>Antoniou, K. (2009). Teacher education. Athens: Greek Letters</w:t>
      </w:r>
    </w:p>
    <w:p w:rsidR="00D77176" w:rsidRPr="00D77176" w:rsidRDefault="00D77176" w:rsidP="00F0269A">
      <w:pPr>
        <w:pStyle w:val="ListParagraph"/>
        <w:numPr>
          <w:ilvl w:val="0"/>
          <w:numId w:val="2"/>
        </w:numPr>
        <w:spacing w:after="160" w:line="480" w:lineRule="auto"/>
        <w:rPr>
          <w:rFonts w:ascii="Times New Roman" w:hAnsi="Times New Roman"/>
          <w:lang w:val="el-GR"/>
        </w:rPr>
      </w:pPr>
      <w:r w:rsidRPr="00D77176">
        <w:rPr>
          <w:rFonts w:ascii="Times New Roman" w:eastAsia="Times New Roman" w:hAnsi="Times New Roman"/>
          <w:lang w:val="el-GR"/>
        </w:rPr>
        <w:t>B.D. 923/1966. "Regarding the academic and teaching year, registrations, transfers, penalties, the calendar, study, departmental examinations, etc. of the Pedagogical Academies". G.E.K. 230, vol. A, 14-11-1966.</w:t>
      </w:r>
    </w:p>
    <w:p w:rsidR="00D77176" w:rsidRPr="00D77176" w:rsidRDefault="00D77176" w:rsidP="00F0269A">
      <w:pPr>
        <w:pStyle w:val="normal0"/>
        <w:numPr>
          <w:ilvl w:val="0"/>
          <w:numId w:val="2"/>
        </w:numPr>
        <w:spacing w:line="480" w:lineRule="auto"/>
        <w:jc w:val="both"/>
        <w:rPr>
          <w:rFonts w:ascii="Times New Roman" w:hAnsi="Times New Roman" w:cs="Times New Roman"/>
          <w:sz w:val="24"/>
          <w:szCs w:val="24"/>
        </w:rPr>
      </w:pPr>
      <w:r w:rsidRPr="00D77176">
        <w:rPr>
          <w:rFonts w:ascii="Times New Roman" w:eastAsia="Calibri" w:hAnsi="Times New Roman" w:cs="Times New Roman"/>
          <w:color w:val="000000"/>
          <w:sz w:val="24"/>
          <w:szCs w:val="24"/>
          <w:lang w:eastAsia="en-US"/>
        </w:rPr>
        <w:t>Bouzakis, S., Tzikas, K., Anthopoulos, K. (1998). The training of teachers and kindergarten teachers in Greece. The period of Pedagogical Academies and Kindergarten Schools 1933-1990. (vol. 2). Athens: Gutenberg</w:t>
      </w:r>
    </w:p>
    <w:p w:rsidR="00C57681" w:rsidRPr="00C57681" w:rsidRDefault="00C57681" w:rsidP="00F0269A">
      <w:pPr>
        <w:pStyle w:val="normal0"/>
        <w:numPr>
          <w:ilvl w:val="0"/>
          <w:numId w:val="2"/>
        </w:numPr>
        <w:spacing w:line="480" w:lineRule="auto"/>
        <w:jc w:val="both"/>
        <w:rPr>
          <w:rFonts w:ascii="Times New Roman" w:hAnsi="Times New Roman" w:cs="Times New Roman"/>
          <w:sz w:val="24"/>
          <w:szCs w:val="24"/>
          <w:lang w:val="en-US"/>
        </w:rPr>
      </w:pPr>
      <w:r w:rsidRPr="00C57681">
        <w:rPr>
          <w:rFonts w:ascii="Times New Roman" w:eastAsia="Times New Roman" w:hAnsi="Times New Roman" w:cs="Times New Roman"/>
          <w:sz w:val="24"/>
          <w:szCs w:val="24"/>
        </w:rPr>
        <w:t>L.D. 4379/1964. "On the organization and administration of General (Elementary and Secondary) Education". G.E.K. 182, vol. A, 24-10-1964</w:t>
      </w:r>
    </w:p>
    <w:p w:rsidR="008B5AB0" w:rsidRPr="009A10E6" w:rsidRDefault="00E379F7" w:rsidP="00F0269A">
      <w:pPr>
        <w:pStyle w:val="normal0"/>
        <w:numPr>
          <w:ilvl w:val="0"/>
          <w:numId w:val="2"/>
        </w:numPr>
        <w:spacing w:line="480" w:lineRule="auto"/>
        <w:jc w:val="both"/>
        <w:rPr>
          <w:rFonts w:ascii="Times New Roman" w:hAnsi="Times New Roman" w:cs="Times New Roman"/>
          <w:sz w:val="24"/>
          <w:szCs w:val="24"/>
          <w:lang w:val="en-US"/>
        </w:rPr>
      </w:pPr>
      <w:r w:rsidRPr="00E379F7">
        <w:rPr>
          <w:rFonts w:ascii="Times New Roman" w:eastAsia="Calibri" w:hAnsi="Times New Roman" w:cs="Times New Roman"/>
          <w:sz w:val="24"/>
          <w:szCs w:val="24"/>
        </w:rPr>
        <w:t>Papanoutsos, E. (1996). Struggles and anxiety for education. (2nd ed.). Athens: Philippotis</w:t>
      </w:r>
    </w:p>
    <w:p w:rsidR="008B5AB0" w:rsidRPr="009A10E6" w:rsidRDefault="00BC0BA0" w:rsidP="00F0269A">
      <w:pPr>
        <w:pStyle w:val="ListParagraph"/>
        <w:numPr>
          <w:ilvl w:val="0"/>
          <w:numId w:val="2"/>
        </w:numPr>
        <w:spacing w:after="160" w:line="480" w:lineRule="auto"/>
        <w:rPr>
          <w:rFonts w:ascii="Times New Roman" w:hAnsi="Times New Roman"/>
        </w:rPr>
      </w:pPr>
      <w:r w:rsidRPr="00BC0BA0">
        <w:rPr>
          <w:rFonts w:ascii="Times New Roman" w:hAnsi="Times New Roman"/>
          <w:color w:val="000000"/>
          <w:lang w:val="el-GR"/>
        </w:rPr>
        <w:t>Haris, K. (1966). The correct view of teacher training in teaching methods. Epistemonikos Vima tou Didaskalou, 2, 4-7.</w:t>
      </w:r>
    </w:p>
    <w:p w:rsidR="008B5AB0" w:rsidRPr="009A10E6" w:rsidRDefault="008B5AB0" w:rsidP="00F0269A">
      <w:pPr>
        <w:pStyle w:val="ListParagraph"/>
        <w:spacing w:after="160" w:line="480" w:lineRule="auto"/>
        <w:ind w:left="0"/>
        <w:jc w:val="both"/>
        <w:rPr>
          <w:rFonts w:ascii="Times New Roman" w:hAnsi="Times New Roman"/>
          <w:color w:val="222222"/>
          <w:shd w:val="clear" w:color="auto" w:fill="FFFFFF"/>
        </w:rPr>
      </w:pPr>
    </w:p>
    <w:p w:rsidR="008B5AB0" w:rsidRPr="007F1A2A" w:rsidRDefault="008B5AB0" w:rsidP="00F0269A">
      <w:pPr>
        <w:pStyle w:val="normal0"/>
        <w:spacing w:line="480" w:lineRule="auto"/>
        <w:jc w:val="both"/>
        <w:rPr>
          <w:rFonts w:ascii="Times New Roman" w:hAnsi="Times New Roman" w:cs="Times New Roman"/>
          <w:sz w:val="24"/>
          <w:szCs w:val="24"/>
          <w:lang w:val="en-US"/>
        </w:rPr>
      </w:pPr>
      <w:r w:rsidRPr="009A10E6">
        <w:rPr>
          <w:rFonts w:ascii="Times New Roman" w:hAnsi="Times New Roman" w:cs="Times New Roman"/>
          <w:sz w:val="24"/>
          <w:szCs w:val="24"/>
          <w:lang w:val="en-US"/>
        </w:rPr>
        <w:t>Records from P.A.H. archives:</w:t>
      </w:r>
    </w:p>
    <w:p w:rsidR="008B5AB0" w:rsidRPr="009A10E6" w:rsidRDefault="008B5AB0" w:rsidP="00F0269A">
      <w:pPr>
        <w:spacing w:line="480" w:lineRule="auto"/>
        <w:rPr>
          <w:rFonts w:ascii="Times New Roman" w:hAnsi="Times New Roman"/>
        </w:rPr>
      </w:pPr>
      <w:r w:rsidRPr="009A10E6">
        <w:rPr>
          <w:rFonts w:ascii="Times New Roman" w:hAnsi="Times New Roman"/>
        </w:rPr>
        <w:t>Teaching Logs:</w:t>
      </w:r>
    </w:p>
    <w:p w:rsidR="008B5AB0" w:rsidRPr="007F1A2A" w:rsidRDefault="008B5AB0" w:rsidP="00F0269A">
      <w:pPr>
        <w:pStyle w:val="ListParagraph"/>
        <w:numPr>
          <w:ilvl w:val="0"/>
          <w:numId w:val="3"/>
        </w:numPr>
        <w:spacing w:after="200" w:line="480" w:lineRule="auto"/>
        <w:rPr>
          <w:rFonts w:ascii="Times New Roman" w:hAnsi="Times New Roman"/>
        </w:rPr>
      </w:pPr>
      <w:r w:rsidRPr="009A10E6">
        <w:rPr>
          <w:rFonts w:ascii="Times New Roman" w:hAnsi="Times New Roman"/>
          <w:i/>
        </w:rPr>
        <w:lastRenderedPageBreak/>
        <w:t>Teaching log</w:t>
      </w:r>
      <w:r w:rsidR="00076C8D">
        <w:rPr>
          <w:rFonts w:ascii="Times New Roman" w:hAnsi="Times New Roman"/>
          <w:i/>
        </w:rPr>
        <w:t>s from 1964-1965 until 1966-1967</w:t>
      </w:r>
      <w:r w:rsidRPr="009A10E6">
        <w:rPr>
          <w:rFonts w:ascii="Times New Roman" w:hAnsi="Times New Roman"/>
          <w:i/>
        </w:rPr>
        <w:t>/</w:t>
      </w:r>
      <w:r w:rsidRPr="009A10E6">
        <w:rPr>
          <w:rFonts w:ascii="Times New Roman" w:hAnsi="Times New Roman"/>
        </w:rPr>
        <w:t>C.S.R.H.E.T.P. – D</w:t>
      </w:r>
      <w:r w:rsidR="007F1A2A">
        <w:rPr>
          <w:rFonts w:ascii="Times New Roman" w:hAnsi="Times New Roman"/>
        </w:rPr>
        <w:t>epartment of Primary Education, Univ.</w:t>
      </w:r>
      <w:r w:rsidRPr="009A10E6">
        <w:rPr>
          <w:rFonts w:ascii="Times New Roman" w:hAnsi="Times New Roman"/>
        </w:rPr>
        <w:t xml:space="preserve"> of Crete</w:t>
      </w:r>
      <w:r w:rsidRPr="009A10E6">
        <w:rPr>
          <w:rFonts w:ascii="Times New Roman" w:hAnsi="Times New Roman"/>
          <w:i/>
        </w:rPr>
        <w:t xml:space="preserve"> </w:t>
      </w:r>
    </w:p>
    <w:p w:rsidR="008B5AB0" w:rsidRPr="009A10E6" w:rsidRDefault="008B5AB0" w:rsidP="00F0269A">
      <w:pPr>
        <w:spacing w:line="480" w:lineRule="auto"/>
        <w:rPr>
          <w:rFonts w:ascii="Times New Roman" w:hAnsi="Times New Roman"/>
        </w:rPr>
      </w:pPr>
      <w:r w:rsidRPr="009A10E6">
        <w:rPr>
          <w:rFonts w:ascii="Times New Roman" w:hAnsi="Times New Roman"/>
        </w:rPr>
        <w:t>Library book Index:</w:t>
      </w:r>
    </w:p>
    <w:p w:rsidR="008B5AB0" w:rsidRPr="00076C8D" w:rsidRDefault="008B5AB0" w:rsidP="00F0269A">
      <w:pPr>
        <w:pStyle w:val="ListParagraph"/>
        <w:numPr>
          <w:ilvl w:val="0"/>
          <w:numId w:val="5"/>
        </w:numPr>
        <w:spacing w:after="200" w:line="480" w:lineRule="auto"/>
        <w:jc w:val="both"/>
        <w:rPr>
          <w:rFonts w:ascii="Times New Roman" w:hAnsi="Times New Roman"/>
        </w:rPr>
      </w:pPr>
      <w:r w:rsidRPr="00076C8D">
        <w:rPr>
          <w:rFonts w:ascii="Times New Roman" w:hAnsi="Times New Roman"/>
        </w:rPr>
        <w:t xml:space="preserve">Comprehensive book index / C.S.R.H.E.T.P. – </w:t>
      </w:r>
      <w:r w:rsidR="007F1A2A" w:rsidRPr="009A10E6">
        <w:rPr>
          <w:rFonts w:ascii="Times New Roman" w:hAnsi="Times New Roman"/>
        </w:rPr>
        <w:t>D</w:t>
      </w:r>
      <w:r w:rsidR="007F1A2A">
        <w:rPr>
          <w:rFonts w:ascii="Times New Roman" w:hAnsi="Times New Roman"/>
        </w:rPr>
        <w:t xml:space="preserve">epartment of Primary Education, </w:t>
      </w:r>
      <w:commentRangeStart w:id="26"/>
      <w:r w:rsidR="007F1A2A">
        <w:rPr>
          <w:rFonts w:ascii="Times New Roman" w:hAnsi="Times New Roman"/>
        </w:rPr>
        <w:t>Univ</w:t>
      </w:r>
      <w:commentRangeEnd w:id="26"/>
      <w:r w:rsidR="006308ED">
        <w:rPr>
          <w:rStyle w:val="CommentReference"/>
        </w:rPr>
        <w:commentReference w:id="26"/>
      </w:r>
      <w:r w:rsidR="007F1A2A">
        <w:rPr>
          <w:rFonts w:ascii="Times New Roman" w:hAnsi="Times New Roman"/>
        </w:rPr>
        <w:t>.</w:t>
      </w:r>
      <w:r w:rsidR="007F1A2A" w:rsidRPr="009A10E6">
        <w:rPr>
          <w:rFonts w:ascii="Times New Roman" w:hAnsi="Times New Roman"/>
        </w:rPr>
        <w:t xml:space="preserve"> of Crete</w:t>
      </w:r>
    </w:p>
    <w:p w:rsidR="008B5AB0" w:rsidRDefault="008B5AB0"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p w:rsidR="006A25F4" w:rsidRDefault="006A25F4" w:rsidP="00F0269A">
      <w:pPr>
        <w:spacing w:line="480" w:lineRule="auto"/>
        <w:ind w:firstLine="709"/>
        <w:jc w:val="both"/>
        <w:rPr>
          <w:rFonts w:ascii="Times New Roman" w:hAnsi="Times New Roman"/>
        </w:rPr>
      </w:pPr>
    </w:p>
    <w:sectPr w:rsidR="006A25F4" w:rsidSect="00845C96">
      <w:headerReference w:type="even" r:id="rId21"/>
      <w:headerReference w:type="default" r:id="rId22"/>
      <w:footerReference w:type="even" r:id="rId23"/>
      <w:footerReference w:type="default" r:id="rId24"/>
      <w:headerReference w:type="first" r:id="rId25"/>
      <w:footerReference w:type="first" r:id="rId26"/>
      <w:pgSz w:w="11900" w:h="16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4-19T16:56:00Z" w:initials="H">
    <w:p w:rsidR="001A0F73" w:rsidRDefault="001A0F73" w:rsidP="001A0F73">
      <w:pPr>
        <w:pStyle w:val="CommentText"/>
      </w:pPr>
      <w:r>
        <w:rPr>
          <w:rStyle w:val="CommentReference"/>
        </w:rPr>
        <w:annotationRef/>
      </w:r>
      <w:r>
        <w:t>Chapter explores a frequently debated subject within the field of educational historiography: the nature and characteristics of teaching training</w:t>
      </w:r>
    </w:p>
    <w:p w:rsidR="001A0F73" w:rsidRDefault="001A0F73">
      <w:pPr>
        <w:pStyle w:val="CommentText"/>
      </w:pPr>
    </w:p>
  </w:comment>
  <w:comment w:id="1" w:author="HP" w:date="2025-04-19T17:02:00Z" w:initials="H">
    <w:p w:rsidR="001A0F73" w:rsidRDefault="001A0F73">
      <w:pPr>
        <w:pStyle w:val="CommentText"/>
      </w:pPr>
      <w:r>
        <w:rPr>
          <w:rStyle w:val="CommentReference"/>
        </w:rPr>
        <w:annotationRef/>
      </w:r>
      <w:r>
        <w:t xml:space="preserve">, the chapter offers a distinctive perspective through the application of microhistorical </w:t>
      </w:r>
      <w:r w:rsidR="00986200">
        <w:t>approach.</w:t>
      </w:r>
    </w:p>
  </w:comment>
  <w:comment w:id="2" w:author="HP" w:date="2025-04-19T22:09:00Z" w:initials="H">
    <w:p w:rsidR="00960ADB" w:rsidRDefault="00960ADB">
      <w:pPr>
        <w:pStyle w:val="CommentText"/>
      </w:pPr>
      <w:r>
        <w:rPr>
          <w:rStyle w:val="CommentReference"/>
        </w:rPr>
        <w:annotationRef/>
      </w:r>
      <w:r>
        <w:t xml:space="preserve">This chapter considers </w:t>
      </w:r>
    </w:p>
  </w:comment>
  <w:comment w:id="3" w:author="HP" w:date="2025-04-19T17:04:00Z" w:initials="H">
    <w:p w:rsidR="00986200" w:rsidRDefault="00986200">
      <w:pPr>
        <w:pStyle w:val="CommentText"/>
      </w:pPr>
      <w:r>
        <w:rPr>
          <w:rStyle w:val="CommentReference"/>
        </w:rPr>
        <w:annotationRef/>
      </w:r>
      <w:r>
        <w:t>delete</w:t>
      </w:r>
    </w:p>
  </w:comment>
  <w:comment w:id="4" w:author="HP" w:date="2025-04-19T17:06:00Z" w:initials="H">
    <w:p w:rsidR="007C3811" w:rsidRDefault="007C3811">
      <w:pPr>
        <w:pStyle w:val="CommentText"/>
      </w:pPr>
      <w:r>
        <w:rPr>
          <w:rStyle w:val="CommentReference"/>
        </w:rPr>
        <w:annotationRef/>
      </w:r>
      <w:r>
        <w:t>This chapter focused</w:t>
      </w:r>
    </w:p>
  </w:comment>
  <w:comment w:id="5" w:author="HP" w:date="2025-04-19T17:06:00Z" w:initials="H">
    <w:p w:rsidR="007C3811" w:rsidRDefault="007C3811">
      <w:pPr>
        <w:pStyle w:val="CommentText"/>
      </w:pPr>
      <w:r>
        <w:rPr>
          <w:rStyle w:val="CommentReference"/>
        </w:rPr>
        <w:annotationRef/>
      </w:r>
      <w:r>
        <w:t>delete</w:t>
      </w:r>
    </w:p>
  </w:comment>
  <w:comment w:id="6" w:author="HP" w:date="2025-04-19T21:59:00Z" w:initials="H">
    <w:p w:rsidR="00C91789" w:rsidRDefault="00C91789">
      <w:pPr>
        <w:pStyle w:val="CommentText"/>
      </w:pPr>
      <w:r>
        <w:rPr>
          <w:rStyle w:val="CommentReference"/>
        </w:rPr>
        <w:annotationRef/>
      </w:r>
      <w:r>
        <w:t>PAH ???</w:t>
      </w:r>
    </w:p>
  </w:comment>
  <w:comment w:id="7" w:author="HP" w:date="2025-04-19T17:07:00Z" w:initials="H">
    <w:p w:rsidR="007C3811" w:rsidRDefault="007C3811">
      <w:pPr>
        <w:pStyle w:val="CommentText"/>
      </w:pPr>
      <w:r>
        <w:rPr>
          <w:rStyle w:val="CommentReference"/>
        </w:rPr>
        <w:annotationRef/>
      </w:r>
      <w:r>
        <w:t>at</w:t>
      </w:r>
    </w:p>
  </w:comment>
  <w:comment w:id="8" w:author="HP" w:date="2025-04-19T17:08:00Z" w:initials="H">
    <w:p w:rsidR="007C3811" w:rsidRDefault="007C3811">
      <w:pPr>
        <w:pStyle w:val="CommentText"/>
      </w:pPr>
      <w:r>
        <w:rPr>
          <w:rStyle w:val="CommentReference"/>
        </w:rPr>
        <w:annotationRef/>
      </w:r>
      <w:r>
        <w:t>delete</w:t>
      </w:r>
    </w:p>
  </w:comment>
  <w:comment w:id="9" w:author="HP" w:date="2025-04-19T22:10:00Z" w:initials="H">
    <w:p w:rsidR="00960ADB" w:rsidRDefault="00960ADB">
      <w:pPr>
        <w:pStyle w:val="CommentText"/>
      </w:pPr>
      <w:r>
        <w:rPr>
          <w:rStyle w:val="CommentReference"/>
        </w:rPr>
        <w:annotationRef/>
      </w:r>
      <w:r>
        <w:t>years</w:t>
      </w:r>
    </w:p>
  </w:comment>
  <w:comment w:id="10" w:author="HP" w:date="2025-04-19T17:10:00Z" w:initials="H">
    <w:p w:rsidR="007C3811" w:rsidRDefault="007C3811">
      <w:pPr>
        <w:pStyle w:val="CommentText"/>
      </w:pPr>
      <w:r>
        <w:rPr>
          <w:rStyle w:val="CommentReference"/>
        </w:rPr>
        <w:annotationRef/>
      </w:r>
      <w:r>
        <w:t xml:space="preserve">is worth </w:t>
      </w:r>
    </w:p>
  </w:comment>
  <w:comment w:id="11" w:author="HP" w:date="2025-04-19T17:10:00Z" w:initials="H">
    <w:p w:rsidR="007C3811" w:rsidRDefault="007C3811">
      <w:pPr>
        <w:pStyle w:val="CommentText"/>
      </w:pPr>
      <w:r>
        <w:rPr>
          <w:rStyle w:val="CommentReference"/>
        </w:rPr>
        <w:annotationRef/>
      </w:r>
      <w:r>
        <w:t>c</w:t>
      </w:r>
    </w:p>
  </w:comment>
  <w:comment w:id="12" w:author="HP" w:date="2025-04-19T22:01:00Z" w:initials="H">
    <w:p w:rsidR="00C91789" w:rsidRDefault="00C91789">
      <w:pPr>
        <w:pStyle w:val="CommentText"/>
      </w:pPr>
      <w:r>
        <w:rPr>
          <w:rStyle w:val="CommentReference"/>
        </w:rPr>
        <w:annotationRef/>
      </w:r>
      <w:r>
        <w:t>delete</w:t>
      </w:r>
    </w:p>
  </w:comment>
  <w:comment w:id="13" w:author="HP" w:date="2025-04-19T21:33:00Z" w:initials="H">
    <w:p w:rsidR="006308ED" w:rsidRDefault="006308ED">
      <w:pPr>
        <w:pStyle w:val="CommentText"/>
      </w:pPr>
      <w:r>
        <w:rPr>
          <w:rStyle w:val="CommentReference"/>
        </w:rPr>
        <w:annotationRef/>
      </w:r>
      <w:r>
        <w:t>1950s and 1960s</w:t>
      </w:r>
    </w:p>
  </w:comment>
  <w:comment w:id="14" w:author="HP" w:date="2025-04-19T17:11:00Z" w:initials="H">
    <w:p w:rsidR="007C3811" w:rsidRDefault="007C3811">
      <w:pPr>
        <w:pStyle w:val="CommentText"/>
      </w:pPr>
      <w:r>
        <w:rPr>
          <w:rStyle w:val="CommentReference"/>
        </w:rPr>
        <w:annotationRef/>
      </w:r>
      <w:r>
        <w:t>delete</w:t>
      </w:r>
    </w:p>
  </w:comment>
  <w:comment w:id="15" w:author="HP" w:date="2025-04-19T17:12:00Z" w:initials="H">
    <w:p w:rsidR="00552730" w:rsidRDefault="00552730">
      <w:pPr>
        <w:pStyle w:val="CommentText"/>
      </w:pPr>
      <w:r>
        <w:rPr>
          <w:rStyle w:val="CommentReference"/>
        </w:rPr>
        <w:annotationRef/>
      </w:r>
      <w:r>
        <w:t>;</w:t>
      </w:r>
    </w:p>
  </w:comment>
  <w:comment w:id="16" w:author="HP" w:date="2025-04-19T22:12:00Z" w:initials="H">
    <w:p w:rsidR="00960ADB" w:rsidRDefault="00960ADB">
      <w:pPr>
        <w:pStyle w:val="CommentText"/>
      </w:pPr>
      <w:r>
        <w:rPr>
          <w:rStyle w:val="CommentReference"/>
        </w:rPr>
        <w:annotationRef/>
      </w:r>
      <w:r>
        <w:t>??</w:t>
      </w:r>
    </w:p>
  </w:comment>
  <w:comment w:id="17" w:author="HP" w:date="2025-04-19T17:13:00Z" w:initials="H">
    <w:p w:rsidR="00552730" w:rsidRDefault="00552730">
      <w:pPr>
        <w:pStyle w:val="CommentText"/>
      </w:pPr>
      <w:r>
        <w:rPr>
          <w:rStyle w:val="CommentReference"/>
        </w:rPr>
        <w:annotationRef/>
      </w:r>
      <w:r>
        <w:t>seperated</w:t>
      </w:r>
    </w:p>
  </w:comment>
  <w:comment w:id="18" w:author="HP" w:date="2025-04-19T22:46:00Z" w:initials="H">
    <w:p w:rsidR="00E01DA8" w:rsidRDefault="00E01DA8">
      <w:pPr>
        <w:pStyle w:val="CommentText"/>
      </w:pPr>
      <w:r>
        <w:rPr>
          <w:rStyle w:val="CommentReference"/>
        </w:rPr>
        <w:annotationRef/>
      </w:r>
      <w:r>
        <w:t>“On</w:t>
      </w:r>
    </w:p>
  </w:comment>
  <w:comment w:id="19" w:author="HP" w:date="2025-04-19T22:46:00Z" w:initials="H">
    <w:p w:rsidR="006308ED" w:rsidRDefault="006308ED">
      <w:pPr>
        <w:pStyle w:val="CommentText"/>
      </w:pPr>
      <w:r>
        <w:rPr>
          <w:rStyle w:val="CommentReference"/>
        </w:rPr>
        <w:annotationRef/>
      </w:r>
      <w:r w:rsidR="00E01DA8">
        <w:t xml:space="preserve"> universities</w:t>
      </w:r>
      <w:r>
        <w:t>“</w:t>
      </w:r>
    </w:p>
  </w:comment>
  <w:comment w:id="20" w:author="HP" w:date="2025-04-19T22:15:00Z" w:initials="H">
    <w:p w:rsidR="00663DE7" w:rsidRDefault="00663DE7">
      <w:pPr>
        <w:pStyle w:val="CommentText"/>
      </w:pPr>
      <w:r>
        <w:rPr>
          <w:rStyle w:val="CommentReference"/>
        </w:rPr>
        <w:annotationRef/>
      </w:r>
      <w:r>
        <w:t>In this chapter at this point, it is pertinent to</w:t>
      </w:r>
    </w:p>
  </w:comment>
  <w:comment w:id="21" w:author="HP" w:date="2025-04-19T22:42:00Z" w:initials="H">
    <w:p w:rsidR="003C6901" w:rsidRDefault="003C6901">
      <w:pPr>
        <w:pStyle w:val="CommentText"/>
      </w:pPr>
      <w:r>
        <w:rPr>
          <w:rStyle w:val="CommentReference"/>
        </w:rPr>
        <w:annotationRef/>
      </w:r>
      <w:r>
        <w:t>The understanding of</w:t>
      </w:r>
    </w:p>
  </w:comment>
  <w:comment w:id="22" w:author="HP" w:date="2025-04-19T21:38:00Z" w:initials="H">
    <w:p w:rsidR="006308ED" w:rsidRDefault="006308ED">
      <w:pPr>
        <w:pStyle w:val="CommentText"/>
      </w:pPr>
      <w:r>
        <w:rPr>
          <w:rStyle w:val="CommentReference"/>
        </w:rPr>
        <w:annotationRef/>
      </w:r>
      <w:r>
        <w:t>the</w:t>
      </w:r>
    </w:p>
  </w:comment>
  <w:comment w:id="23" w:author="HP" w:date="2025-04-19T21:39:00Z" w:initials="H">
    <w:p w:rsidR="006308ED" w:rsidRDefault="006308ED">
      <w:pPr>
        <w:pStyle w:val="CommentText"/>
      </w:pPr>
      <w:r>
        <w:rPr>
          <w:rStyle w:val="CommentReference"/>
        </w:rPr>
        <w:annotationRef/>
      </w:r>
      <w:r>
        <w:t>s</w:t>
      </w:r>
    </w:p>
  </w:comment>
  <w:comment w:id="24" w:author="HP" w:date="2025-04-19T22:44:00Z" w:initials="H">
    <w:p w:rsidR="00E01DA8" w:rsidRDefault="00E01DA8">
      <w:pPr>
        <w:pStyle w:val="CommentText"/>
      </w:pPr>
      <w:r>
        <w:rPr>
          <w:rStyle w:val="CommentReference"/>
        </w:rPr>
        <w:annotationRef/>
      </w:r>
      <w:r>
        <w:t>the context of</w:t>
      </w:r>
    </w:p>
  </w:comment>
  <w:comment w:id="26" w:author="HP" w:date="2025-04-19T21:41:00Z" w:initials="H">
    <w:p w:rsidR="006308ED" w:rsidRDefault="006308ED">
      <w:pPr>
        <w:pStyle w:val="CommentText"/>
      </w:pPr>
      <w:r>
        <w:rPr>
          <w:rStyle w:val="CommentReference"/>
        </w:rPr>
        <w:annotationRef/>
      </w:r>
      <w:r>
        <w:t>ersity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B78" w:rsidRDefault="003C3B78" w:rsidP="00224EB8">
      <w:r>
        <w:separator/>
      </w:r>
    </w:p>
  </w:endnote>
  <w:endnote w:type="continuationSeparator" w:id="1">
    <w:p w:rsidR="003C3B78" w:rsidRDefault="003C3B78" w:rsidP="00224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E2" w:rsidRDefault="00A846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E2" w:rsidRDefault="00A846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E2" w:rsidRDefault="00A846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B78" w:rsidRDefault="003C3B78" w:rsidP="00224EB8">
      <w:r>
        <w:separator/>
      </w:r>
    </w:p>
  </w:footnote>
  <w:footnote w:type="continuationSeparator" w:id="1">
    <w:p w:rsidR="003C3B78" w:rsidRDefault="003C3B78" w:rsidP="00224EB8">
      <w:r>
        <w:continuationSeparator/>
      </w:r>
    </w:p>
  </w:footnote>
  <w:footnote w:id="2">
    <w:p w:rsidR="00A846E2" w:rsidRPr="006229A8" w:rsidRDefault="00A846E2" w:rsidP="00606751">
      <w:pPr>
        <w:pStyle w:val="ListParagraph"/>
        <w:spacing w:after="160" w:line="360" w:lineRule="auto"/>
        <w:ind w:left="0"/>
        <w:jc w:val="both"/>
        <w:rPr>
          <w:rFonts w:ascii="Arial" w:hAnsi="Arial" w:cs="Arial"/>
          <w:sz w:val="20"/>
          <w:szCs w:val="20"/>
        </w:rPr>
      </w:pPr>
      <w:r w:rsidRPr="00C947DD">
        <w:rPr>
          <w:rStyle w:val="FootnoteReference"/>
          <w:rFonts w:ascii="Arial" w:hAnsi="Arial" w:cs="Arial"/>
          <w:sz w:val="20"/>
          <w:szCs w:val="20"/>
        </w:rPr>
        <w:footnoteRef/>
      </w:r>
      <w:r w:rsidRPr="00606751">
        <w:rPr>
          <w:rFonts w:ascii="Arial" w:hAnsi="Arial" w:cs="Arial"/>
          <w:sz w:val="20"/>
          <w:szCs w:val="20"/>
        </w:rPr>
        <w:t xml:space="preserve"> </w:t>
      </w:r>
      <w:r>
        <w:rPr>
          <w:rFonts w:ascii="Arial" w:hAnsi="Arial" w:cs="Arial"/>
          <w:sz w:val="20"/>
          <w:szCs w:val="20"/>
        </w:rPr>
        <w:t>For a more extended overview on the</w:t>
      </w:r>
      <w:r w:rsidRPr="00B54200">
        <w:rPr>
          <w:rFonts w:ascii="Arial" w:hAnsi="Arial" w:cs="Arial"/>
          <w:sz w:val="20"/>
          <w:szCs w:val="20"/>
        </w:rPr>
        <w:t xml:space="preserve"> 1964-1967 </w:t>
      </w:r>
      <w:r>
        <w:rPr>
          <w:rFonts w:ascii="Arial" w:hAnsi="Arial" w:cs="Arial"/>
          <w:sz w:val="20"/>
          <w:szCs w:val="20"/>
        </w:rPr>
        <w:t>educational reforms see</w:t>
      </w:r>
      <w:r w:rsidRPr="00B54200">
        <w:rPr>
          <w:rFonts w:ascii="Arial" w:hAnsi="Arial" w:cs="Arial"/>
          <w:sz w:val="20"/>
          <w:szCs w:val="20"/>
        </w:rPr>
        <w:t xml:space="preserve">: </w:t>
      </w:r>
      <w:r w:rsidR="00DA08A0" w:rsidRPr="00DA08A0">
        <w:rPr>
          <w:rFonts w:ascii="Arial" w:hAnsi="Arial" w:cs="Arial"/>
          <w:sz w:val="20"/>
          <w:szCs w:val="20"/>
          <w:lang w:val="el-GR"/>
        </w:rPr>
        <w:t>Bouzakis, S. (1995). Educational reforms in Greece, Primary and Secondary General and Technical and Vocational Education. (vol. 2). Athens</w:t>
      </w:r>
      <w:r w:rsidRPr="00CC2C78">
        <w:rPr>
          <w:rFonts w:ascii="Arial" w:hAnsi="Arial" w:cs="Arial"/>
          <w:sz w:val="20"/>
          <w:szCs w:val="20"/>
        </w:rPr>
        <w:t xml:space="preserve">: </w:t>
      </w:r>
      <w:r w:rsidRPr="00C947DD">
        <w:rPr>
          <w:rFonts w:ascii="Arial" w:hAnsi="Arial" w:cs="Arial"/>
          <w:sz w:val="20"/>
          <w:szCs w:val="20"/>
        </w:rPr>
        <w:t>Gutenberg</w:t>
      </w:r>
      <w:r w:rsidRPr="00CC2C78">
        <w:rPr>
          <w:rFonts w:ascii="Arial" w:hAnsi="Arial" w:cs="Arial"/>
          <w:sz w:val="20"/>
          <w:szCs w:val="20"/>
        </w:rPr>
        <w:t xml:space="preserve">, </w:t>
      </w:r>
      <w:r>
        <w:rPr>
          <w:rFonts w:ascii="Arial" w:hAnsi="Arial" w:cs="Arial"/>
          <w:sz w:val="20"/>
          <w:szCs w:val="20"/>
        </w:rPr>
        <w:t>p</w:t>
      </w:r>
      <w:r w:rsidRPr="00CC2C78">
        <w:rPr>
          <w:rFonts w:ascii="Arial" w:hAnsi="Arial" w:cs="Arial"/>
          <w:sz w:val="20"/>
          <w:szCs w:val="20"/>
        </w:rPr>
        <w:t xml:space="preserve">. 116-164, </w:t>
      </w:r>
      <w:r>
        <w:rPr>
          <w:rFonts w:ascii="Arial" w:eastAsia="Times New Roman" w:hAnsi="Arial" w:cs="Arial"/>
          <w:sz w:val="20"/>
          <w:szCs w:val="20"/>
        </w:rPr>
        <w:t>On the reforms</w:t>
      </w:r>
      <w:r w:rsidRPr="00A62B43">
        <w:rPr>
          <w:rFonts w:ascii="Arial" w:eastAsia="Times New Roman" w:hAnsi="Arial" w:cs="Arial"/>
          <w:sz w:val="20"/>
          <w:szCs w:val="20"/>
        </w:rPr>
        <w:t xml:space="preserve">’ </w:t>
      </w:r>
      <w:r>
        <w:rPr>
          <w:rFonts w:ascii="Arial" w:eastAsia="Times New Roman" w:hAnsi="Arial" w:cs="Arial"/>
          <w:sz w:val="20"/>
          <w:szCs w:val="20"/>
        </w:rPr>
        <w:t>experience by its protagonists</w:t>
      </w:r>
      <w:r w:rsidRPr="00A62B43">
        <w:rPr>
          <w:rFonts w:ascii="Arial" w:eastAsia="Times New Roman" w:hAnsi="Arial" w:cs="Arial"/>
          <w:sz w:val="20"/>
          <w:szCs w:val="20"/>
        </w:rPr>
        <w:t xml:space="preserve">, </w:t>
      </w:r>
      <w:r>
        <w:rPr>
          <w:rFonts w:ascii="Arial" w:eastAsia="Times New Roman" w:hAnsi="Arial" w:cs="Arial"/>
          <w:sz w:val="20"/>
          <w:szCs w:val="20"/>
        </w:rPr>
        <w:t xml:space="preserve">see </w:t>
      </w:r>
      <w:r w:rsidR="00866891" w:rsidRPr="00866891">
        <w:rPr>
          <w:rFonts w:ascii="Arial" w:eastAsia="Times New Roman" w:hAnsi="Arial" w:cs="Arial"/>
          <w:sz w:val="20"/>
          <w:szCs w:val="20"/>
          <w:lang w:val="el-GR"/>
        </w:rPr>
        <w:t>Papanoutsos</w:t>
      </w:r>
      <w:r w:rsidRPr="00A62B43">
        <w:rPr>
          <w:rFonts w:ascii="Arial" w:eastAsia="Times New Roman" w:hAnsi="Arial" w:cs="Arial"/>
          <w:sz w:val="20"/>
          <w:szCs w:val="20"/>
        </w:rPr>
        <w:t xml:space="preserve"> </w:t>
      </w:r>
      <w:r>
        <w:rPr>
          <w:rFonts w:ascii="Arial" w:eastAsia="Times New Roman" w:hAnsi="Arial" w:cs="Arial"/>
          <w:sz w:val="20"/>
          <w:szCs w:val="20"/>
        </w:rPr>
        <w:t>E</w:t>
      </w:r>
      <w:r w:rsidRPr="00A62B43">
        <w:rPr>
          <w:rFonts w:ascii="Arial" w:eastAsia="Times New Roman" w:hAnsi="Arial" w:cs="Arial"/>
          <w:sz w:val="20"/>
          <w:szCs w:val="20"/>
        </w:rPr>
        <w:t xml:space="preserve">. </w:t>
      </w:r>
      <w:r w:rsidRPr="00A62B43">
        <w:rPr>
          <w:rFonts w:ascii="Arial" w:hAnsi="Arial" w:cs="Arial"/>
          <w:sz w:val="20"/>
          <w:szCs w:val="20"/>
        </w:rPr>
        <w:t xml:space="preserve">(1996). </w:t>
      </w:r>
      <w:r w:rsidR="00256884" w:rsidRPr="00256884">
        <w:rPr>
          <w:rFonts w:ascii="Arial" w:hAnsi="Arial" w:cs="Arial"/>
          <w:i/>
          <w:sz w:val="20"/>
          <w:szCs w:val="20"/>
          <w:lang w:val="el-GR"/>
        </w:rPr>
        <w:t>Struggles and anxiety for education. 2nd ed.). Athens: Philippotis</w:t>
      </w:r>
      <w:r w:rsidRPr="006229A8">
        <w:rPr>
          <w:rFonts w:ascii="Arial" w:hAnsi="Arial" w:cs="Arial"/>
          <w:sz w:val="20"/>
          <w:szCs w:val="20"/>
        </w:rPr>
        <w:t xml:space="preserve">, </w:t>
      </w:r>
      <w:r>
        <w:rPr>
          <w:rFonts w:ascii="Arial" w:hAnsi="Arial" w:cs="Arial"/>
          <w:sz w:val="20"/>
          <w:szCs w:val="20"/>
        </w:rPr>
        <w:t>p</w:t>
      </w:r>
      <w:r w:rsidRPr="006229A8">
        <w:rPr>
          <w:rFonts w:ascii="Arial" w:hAnsi="Arial" w:cs="Arial"/>
          <w:sz w:val="20"/>
          <w:szCs w:val="20"/>
        </w:rPr>
        <w:t xml:space="preserve"> 319- 348. </w:t>
      </w:r>
    </w:p>
    <w:p w:rsidR="00A846E2" w:rsidRPr="002171C7" w:rsidRDefault="00A846E2" w:rsidP="006608DA">
      <w:pPr>
        <w:pStyle w:val="ListParagraph"/>
        <w:spacing w:after="160" w:line="360" w:lineRule="auto"/>
        <w:ind w:left="0"/>
        <w:jc w:val="both"/>
        <w:rPr>
          <w:rFonts w:ascii="Arial" w:hAnsi="Arial" w:cs="Arial"/>
          <w:sz w:val="20"/>
          <w:szCs w:val="20"/>
        </w:rPr>
      </w:pPr>
    </w:p>
    <w:p w:rsidR="00A846E2" w:rsidRPr="002171C7" w:rsidRDefault="00A846E2" w:rsidP="006608DA">
      <w:pPr>
        <w:pStyle w:val="ListParagraph"/>
        <w:spacing w:after="160" w:line="360" w:lineRule="auto"/>
        <w:ind w:left="0"/>
        <w:jc w:val="both"/>
        <w:rPr>
          <w:rFonts w:ascii="Times New Roman" w:hAnsi="Times New Roman"/>
        </w:rPr>
      </w:pPr>
    </w:p>
    <w:p w:rsidR="00A846E2" w:rsidRPr="002171C7" w:rsidRDefault="00A846E2" w:rsidP="006608DA">
      <w:pPr>
        <w:pStyle w:val="Normal3"/>
        <w:spacing w:line="240" w:lineRule="auto"/>
        <w:jc w:val="both"/>
        <w:rPr>
          <w:sz w:val="20"/>
          <w:szCs w:val="20"/>
          <w:lang w:val="en-US"/>
        </w:rPr>
      </w:pPr>
    </w:p>
    <w:p w:rsidR="00A846E2" w:rsidRPr="002171C7" w:rsidRDefault="00A846E2" w:rsidP="006608DA">
      <w:pPr>
        <w:pStyle w:val="FootnoteText"/>
        <w:jc w:val="both"/>
        <w:rPr>
          <w:lang w:val="en-US"/>
        </w:rPr>
      </w:pPr>
    </w:p>
  </w:footnote>
  <w:footnote w:id="3">
    <w:p w:rsidR="00A846E2" w:rsidRPr="00E27205" w:rsidRDefault="00A846E2" w:rsidP="006608DA">
      <w:pPr>
        <w:pStyle w:val="ListParagraph"/>
        <w:spacing w:after="160" w:line="360" w:lineRule="auto"/>
        <w:ind w:left="0"/>
        <w:jc w:val="both"/>
        <w:rPr>
          <w:rFonts w:ascii="Arial" w:hAnsi="Arial" w:cs="Arial"/>
          <w:sz w:val="20"/>
          <w:szCs w:val="20"/>
        </w:rPr>
      </w:pPr>
      <w:r w:rsidRPr="00E27205">
        <w:rPr>
          <w:rStyle w:val="FootnoteReference"/>
          <w:rFonts w:ascii="Arial" w:hAnsi="Arial" w:cs="Arial"/>
          <w:sz w:val="20"/>
          <w:szCs w:val="20"/>
        </w:rPr>
        <w:footnoteRef/>
      </w:r>
      <w:r w:rsidRPr="00E27205">
        <w:rPr>
          <w:rFonts w:ascii="Arial" w:hAnsi="Arial" w:cs="Arial"/>
          <w:sz w:val="20"/>
          <w:szCs w:val="20"/>
        </w:rPr>
        <w:t xml:space="preserve">For more on the concept of educational situations see Mïalaret, G. (1975). Situation éducative, faits éducatifs, sciences de l'éducation. </w:t>
      </w:r>
      <w:hyperlink r:id="rId1" w:history="1">
        <w:r w:rsidRPr="00E27205">
          <w:rPr>
            <w:rFonts w:ascii="Arial" w:hAnsi="Arial" w:cs="Arial"/>
            <w:i/>
            <w:sz w:val="20"/>
            <w:szCs w:val="20"/>
          </w:rPr>
          <w:t>Paideia</w:t>
        </w:r>
      </w:hyperlink>
      <w:r w:rsidRPr="00E27205">
        <w:rPr>
          <w:rFonts w:ascii="Arial" w:hAnsi="Arial" w:cs="Arial"/>
          <w:sz w:val="20"/>
          <w:szCs w:val="20"/>
        </w:rPr>
        <w:t> 4:91</w:t>
      </w:r>
    </w:p>
    <w:p w:rsidR="00A846E2" w:rsidRPr="00E31A9D" w:rsidRDefault="00A846E2" w:rsidP="006608DA">
      <w:pPr>
        <w:pStyle w:val="FootnoteText"/>
        <w:rPr>
          <w:lang w:val="en-US"/>
        </w:rPr>
      </w:pPr>
    </w:p>
  </w:footnote>
  <w:footnote w:id="4">
    <w:p w:rsidR="00A846E2" w:rsidRPr="00A62B43" w:rsidRDefault="00A846E2" w:rsidP="006608DA">
      <w:pPr>
        <w:spacing w:after="160" w:line="360" w:lineRule="auto"/>
        <w:rPr>
          <w:rFonts w:ascii="Times New Roman" w:hAnsi="Times New Roman"/>
        </w:rPr>
      </w:pPr>
      <w:r>
        <w:rPr>
          <w:rStyle w:val="FootnoteReference"/>
        </w:rPr>
        <w:footnoteRef/>
      </w:r>
      <w:r>
        <w:rPr>
          <w:rFonts w:ascii="Arial" w:eastAsia="Arial" w:hAnsi="Arial" w:cs="Arial"/>
          <w:sz w:val="20"/>
          <w:szCs w:val="20"/>
          <w:lang w:eastAsia="el-GR"/>
        </w:rPr>
        <w:t>For</w:t>
      </w:r>
      <w:r w:rsidRPr="00CC4898">
        <w:rPr>
          <w:rFonts w:ascii="Arial" w:eastAsia="Arial" w:hAnsi="Arial" w:cs="Arial"/>
          <w:sz w:val="20"/>
          <w:szCs w:val="20"/>
          <w:lang w:val="el-GR" w:eastAsia="el-GR"/>
        </w:rPr>
        <w:t xml:space="preserve"> </w:t>
      </w:r>
      <w:r>
        <w:rPr>
          <w:rFonts w:ascii="Arial" w:eastAsia="Arial" w:hAnsi="Arial" w:cs="Arial"/>
          <w:sz w:val="20"/>
          <w:szCs w:val="20"/>
          <w:lang w:eastAsia="el-GR"/>
        </w:rPr>
        <w:t>more</w:t>
      </w:r>
      <w:r w:rsidRPr="00CC4898">
        <w:rPr>
          <w:rFonts w:ascii="Arial" w:eastAsia="Arial" w:hAnsi="Arial" w:cs="Arial"/>
          <w:sz w:val="20"/>
          <w:szCs w:val="20"/>
          <w:lang w:val="el-GR" w:eastAsia="el-GR"/>
        </w:rPr>
        <w:t xml:space="preserve"> </w:t>
      </w:r>
      <w:r>
        <w:rPr>
          <w:rFonts w:ascii="Arial" w:eastAsia="Arial" w:hAnsi="Arial" w:cs="Arial"/>
          <w:sz w:val="20"/>
          <w:szCs w:val="20"/>
          <w:lang w:eastAsia="el-GR"/>
        </w:rPr>
        <w:t>on</w:t>
      </w:r>
      <w:r w:rsidRPr="00CC4898">
        <w:rPr>
          <w:rFonts w:ascii="Arial" w:eastAsia="Arial" w:hAnsi="Arial" w:cs="Arial"/>
          <w:sz w:val="20"/>
          <w:szCs w:val="20"/>
          <w:lang w:val="el-GR" w:eastAsia="el-GR"/>
        </w:rPr>
        <w:t xml:space="preserve"> </w:t>
      </w:r>
      <w:r>
        <w:rPr>
          <w:rFonts w:ascii="Arial" w:eastAsia="Arial" w:hAnsi="Arial" w:cs="Arial"/>
          <w:sz w:val="20"/>
          <w:szCs w:val="20"/>
          <w:lang w:eastAsia="el-GR"/>
        </w:rPr>
        <w:t>this</w:t>
      </w:r>
      <w:r w:rsidRPr="00CC4898">
        <w:rPr>
          <w:rFonts w:ascii="Arial" w:eastAsia="Arial" w:hAnsi="Arial" w:cs="Arial"/>
          <w:sz w:val="20"/>
          <w:szCs w:val="20"/>
          <w:lang w:val="el-GR" w:eastAsia="el-GR"/>
        </w:rPr>
        <w:t xml:space="preserve"> </w:t>
      </w:r>
      <w:r>
        <w:rPr>
          <w:rFonts w:ascii="Arial" w:eastAsia="Arial" w:hAnsi="Arial" w:cs="Arial"/>
          <w:sz w:val="20"/>
          <w:szCs w:val="20"/>
          <w:lang w:eastAsia="el-GR"/>
        </w:rPr>
        <w:t>see</w:t>
      </w:r>
      <w:r w:rsidRPr="00CC4898">
        <w:rPr>
          <w:rFonts w:ascii="Arial" w:eastAsia="Arial" w:hAnsi="Arial" w:cs="Arial"/>
          <w:sz w:val="20"/>
          <w:szCs w:val="20"/>
          <w:lang w:val="el-GR" w:eastAsia="el-GR"/>
        </w:rPr>
        <w:t xml:space="preserve"> </w:t>
      </w:r>
      <w:r w:rsidR="00CC4898">
        <w:rPr>
          <w:rFonts w:ascii="Arial" w:eastAsia="Arial" w:hAnsi="Arial" w:cs="Arial"/>
          <w:sz w:val="20"/>
          <w:szCs w:val="20"/>
          <w:lang w:val="el-GR" w:eastAsia="el-GR"/>
        </w:rPr>
        <w:t>Παπανούτσος</w:t>
      </w:r>
      <w:r w:rsidRPr="00CC4898">
        <w:rPr>
          <w:rFonts w:ascii="Arial" w:eastAsia="Arial" w:hAnsi="Arial" w:cs="Arial"/>
          <w:sz w:val="20"/>
          <w:szCs w:val="20"/>
          <w:lang w:val="el-GR" w:eastAsia="el-GR"/>
        </w:rPr>
        <w:t xml:space="preserve">, </w:t>
      </w:r>
      <w:r>
        <w:rPr>
          <w:rFonts w:ascii="Arial" w:eastAsia="Arial" w:hAnsi="Arial" w:cs="Arial"/>
          <w:sz w:val="20"/>
          <w:szCs w:val="20"/>
          <w:lang w:eastAsia="el-GR"/>
        </w:rPr>
        <w:t>E</w:t>
      </w:r>
      <w:r w:rsidRPr="00CC4898">
        <w:rPr>
          <w:rFonts w:ascii="Arial" w:eastAsia="Arial" w:hAnsi="Arial" w:cs="Arial"/>
          <w:sz w:val="20"/>
          <w:szCs w:val="20"/>
          <w:lang w:val="el-GR" w:eastAsia="el-GR"/>
        </w:rPr>
        <w:t>. (1996).</w:t>
      </w:r>
      <w:r w:rsidR="0035134E" w:rsidRPr="0035134E">
        <w:t xml:space="preserve"> </w:t>
      </w:r>
      <w:r w:rsidR="0035134E" w:rsidRPr="0035134E">
        <w:rPr>
          <w:rFonts w:ascii="Arial" w:eastAsia="Arial" w:hAnsi="Arial" w:cs="Arial"/>
          <w:i/>
          <w:sz w:val="20"/>
          <w:szCs w:val="20"/>
          <w:lang w:val="el-GR" w:eastAsia="el-GR"/>
        </w:rPr>
        <w:t>Struggles and anxiety for education. (2nd ed.). Athens: Philippotis</w:t>
      </w:r>
      <w:r w:rsidRPr="008E0543">
        <w:rPr>
          <w:rFonts w:ascii="Arial" w:eastAsia="Arial" w:hAnsi="Arial" w:cs="Arial"/>
          <w:sz w:val="20"/>
          <w:szCs w:val="20"/>
          <w:lang w:eastAsia="el-GR"/>
        </w:rPr>
        <w:t xml:space="preserve">, </w:t>
      </w:r>
      <w:r>
        <w:rPr>
          <w:rFonts w:ascii="Arial" w:eastAsia="Arial" w:hAnsi="Arial" w:cs="Arial"/>
          <w:sz w:val="20"/>
          <w:szCs w:val="20"/>
          <w:lang w:eastAsia="el-GR"/>
        </w:rPr>
        <w:t>p</w:t>
      </w:r>
      <w:r w:rsidRPr="008E0543">
        <w:rPr>
          <w:rFonts w:ascii="Arial" w:eastAsia="Arial" w:hAnsi="Arial" w:cs="Arial"/>
          <w:sz w:val="20"/>
          <w:szCs w:val="20"/>
          <w:lang w:eastAsia="el-GR"/>
        </w:rPr>
        <w:t xml:space="preserve"> 319- 348.</w:t>
      </w:r>
    </w:p>
  </w:footnote>
  <w:footnote w:id="5">
    <w:p w:rsidR="00A846E2" w:rsidRPr="002171C7" w:rsidRDefault="00A846E2" w:rsidP="006608DA">
      <w:pPr>
        <w:pStyle w:val="ListParagraph"/>
        <w:spacing w:after="160" w:line="360" w:lineRule="auto"/>
        <w:ind w:left="0"/>
        <w:jc w:val="both"/>
        <w:rPr>
          <w:rFonts w:ascii="Times New Roman" w:hAnsi="Times New Roman"/>
        </w:rPr>
      </w:pPr>
      <w:r w:rsidRPr="00AD1932">
        <w:rPr>
          <w:sz w:val="20"/>
          <w:szCs w:val="20"/>
          <w:vertAlign w:val="superscript"/>
        </w:rPr>
        <w:footnoteRef/>
      </w:r>
      <w:r w:rsidRPr="00C149FC">
        <w:rPr>
          <w:rFonts w:ascii="Arial" w:hAnsi="Arial" w:cs="Arial"/>
          <w:sz w:val="20"/>
          <w:szCs w:val="20"/>
        </w:rPr>
        <w:t xml:space="preserve">The distancing of the Greek educational system from areas of sciences is linked to the emergence and nature of the Greek middle class which was based on resale and its interests did not allow a turn to the sciences </w:t>
      </w:r>
      <w:r w:rsidRPr="00C149FC">
        <w:rPr>
          <w:rFonts w:ascii="Arial" w:eastAsia="Arial" w:hAnsi="Arial" w:cs="Arial"/>
          <w:sz w:val="20"/>
          <w:szCs w:val="20"/>
          <w:lang w:eastAsia="el-GR"/>
        </w:rPr>
        <w:t xml:space="preserve">. For more on the Greek middle class and its emergence see </w:t>
      </w:r>
      <w:r w:rsidR="008674E9" w:rsidRPr="008674E9">
        <w:rPr>
          <w:rFonts w:ascii="Arial" w:eastAsia="Arial" w:hAnsi="Arial" w:cs="Arial"/>
          <w:sz w:val="20"/>
          <w:szCs w:val="20"/>
          <w:lang w:val="el-GR" w:eastAsia="el-GR"/>
        </w:rPr>
        <w:t>Kondylis, P. (1991). The causes of the decline of modern Greece. Athens: Themelio, p 11-21 and on the influence of its resale character see Tsoukalas, K. (1992). Dependence and reproduction, the social role of educational mechanisms in Greece (1830-1922). (6th ed.). Athens: Themelio, p 483-495</w:t>
      </w:r>
      <w:r w:rsidRPr="00C149FC">
        <w:rPr>
          <w:rFonts w:ascii="Arial" w:eastAsia="Arial" w:hAnsi="Arial" w:cs="Arial"/>
          <w:sz w:val="20"/>
          <w:szCs w:val="20"/>
          <w:lang w:eastAsia="el-GR"/>
        </w:rPr>
        <w:t>.</w:t>
      </w:r>
    </w:p>
  </w:footnote>
  <w:footnote w:id="6">
    <w:p w:rsidR="00A846E2" w:rsidRPr="002171C7" w:rsidRDefault="00A846E2" w:rsidP="009E5E78">
      <w:pPr>
        <w:pStyle w:val="Normal3"/>
        <w:spacing w:line="360" w:lineRule="auto"/>
        <w:jc w:val="both"/>
        <w:rPr>
          <w:sz w:val="20"/>
          <w:szCs w:val="20"/>
          <w:lang w:val="en-US"/>
        </w:rPr>
      </w:pPr>
      <w:r>
        <w:rPr>
          <w:vertAlign w:val="superscript"/>
        </w:rPr>
        <w:footnoteRef/>
      </w:r>
      <w:r w:rsidRPr="002171C7">
        <w:rPr>
          <w:sz w:val="20"/>
          <w:szCs w:val="20"/>
          <w:lang w:val="en-US"/>
        </w:rPr>
        <w:t xml:space="preserve"> </w:t>
      </w:r>
      <w:r w:rsidR="00F85597">
        <w:rPr>
          <w:sz w:val="20"/>
          <w:szCs w:val="20"/>
          <w:lang w:val="en-US"/>
        </w:rPr>
        <w:t xml:space="preserve">K. </w:t>
      </w:r>
      <w:r w:rsidR="00F85597">
        <w:rPr>
          <w:sz w:val="20"/>
          <w:szCs w:val="20"/>
        </w:rPr>
        <w:t>Χάρης</w:t>
      </w:r>
      <w:r w:rsidRPr="00C149FC">
        <w:rPr>
          <w:sz w:val="20"/>
          <w:szCs w:val="20"/>
          <w:lang w:val="en-US"/>
        </w:rPr>
        <w:t xml:space="preserve">, who was a consultant of the Pedagogical Institute at that time, </w:t>
      </w:r>
      <w:r>
        <w:rPr>
          <w:sz w:val="20"/>
          <w:szCs w:val="20"/>
          <w:lang w:val="en-US"/>
        </w:rPr>
        <w:t>believes</w:t>
      </w:r>
      <w:r w:rsidRPr="00C149FC">
        <w:rPr>
          <w:sz w:val="20"/>
          <w:szCs w:val="20"/>
          <w:lang w:val="en-US"/>
        </w:rPr>
        <w:t xml:space="preserve"> </w:t>
      </w:r>
      <w:r w:rsidRPr="002171C7">
        <w:rPr>
          <w:sz w:val="20"/>
          <w:szCs w:val="20"/>
          <w:lang w:val="en-US"/>
        </w:rPr>
        <w:t xml:space="preserve">(1966:4-7) </w:t>
      </w:r>
      <w:r>
        <w:rPr>
          <w:sz w:val="20"/>
          <w:szCs w:val="20"/>
          <w:lang w:val="en-US"/>
        </w:rPr>
        <w:t xml:space="preserve">that </w:t>
      </w:r>
      <w:r w:rsidRPr="00C149FC">
        <w:rPr>
          <w:sz w:val="20"/>
          <w:szCs w:val="20"/>
          <w:lang w:val="en-US"/>
        </w:rPr>
        <w:t xml:space="preserve"> teacher training  should move away from ‘narrow didacticism’. By that term we refer to the adherence to a formalistic teaching methodology that ignores the import of other parameters in teaching and training. In fact teaching methodology should be seen as the applied branch of the sciences of education, meaning that teachers should add it to its proper place along other s</w:t>
      </w:r>
      <w:r>
        <w:rPr>
          <w:sz w:val="20"/>
          <w:szCs w:val="20"/>
          <w:lang w:val="en-US"/>
        </w:rPr>
        <w:t>ciences like philosophy,</w:t>
      </w:r>
      <w:r w:rsidRPr="00C149FC">
        <w:rPr>
          <w:sz w:val="20"/>
          <w:szCs w:val="20"/>
          <w:lang w:val="en-US"/>
        </w:rPr>
        <w:t xml:space="preserve"> sciences that are the source of our education commodities (mathematics, physics, history, religious studies and literature) and the solid psychological awareness of the human individual personality.</w:t>
      </w:r>
    </w:p>
  </w:footnote>
  <w:footnote w:id="7">
    <w:p w:rsidR="00A846E2" w:rsidRPr="00641F91" w:rsidRDefault="00A846E2" w:rsidP="00224EB8">
      <w:pPr>
        <w:pStyle w:val="Normal2"/>
        <w:spacing w:line="240" w:lineRule="auto"/>
        <w:jc w:val="both"/>
        <w:rPr>
          <w:sz w:val="20"/>
          <w:szCs w:val="20"/>
          <w:lang w:val="en-US"/>
        </w:rPr>
      </w:pPr>
      <w:r>
        <w:rPr>
          <w:vertAlign w:val="superscript"/>
        </w:rPr>
        <w:footnoteRef/>
      </w:r>
      <w:r>
        <w:rPr>
          <w:sz w:val="20"/>
          <w:szCs w:val="20"/>
          <w:lang w:val="en-US"/>
        </w:rPr>
        <w:t xml:space="preserve"> For more see </w:t>
      </w:r>
      <w:r w:rsidR="00DA7A03" w:rsidRPr="00DA7A03">
        <w:rPr>
          <w:sz w:val="20"/>
          <w:szCs w:val="20"/>
        </w:rPr>
        <w:t>Bouzakis, S. et al.</w:t>
      </w:r>
      <w:r w:rsidR="00E35780" w:rsidRPr="00E35780">
        <w:rPr>
          <w:sz w:val="20"/>
          <w:szCs w:val="20"/>
          <w:lang w:val="en-US"/>
        </w:rPr>
        <w:t>.</w:t>
      </w:r>
      <w:r w:rsidRPr="00642E29">
        <w:rPr>
          <w:sz w:val="20"/>
          <w:szCs w:val="20"/>
          <w:lang w:val="en-US"/>
        </w:rPr>
        <w:t xml:space="preserve">. </w:t>
      </w:r>
      <w:r w:rsidRPr="00921799">
        <w:rPr>
          <w:sz w:val="20"/>
          <w:szCs w:val="20"/>
        </w:rPr>
        <w:t xml:space="preserve">(1998). </w:t>
      </w:r>
      <w:r w:rsidR="001C5908" w:rsidRPr="001C5908">
        <w:rPr>
          <w:i/>
          <w:sz w:val="20"/>
          <w:szCs w:val="20"/>
        </w:rPr>
        <w:t>The training of teachers and kindergarten teachers in Greece, volume B, The period of Pedagogical Academies and Kindergarten Schools. Athens: Gutenberg, p 246.</w:t>
      </w:r>
    </w:p>
  </w:footnote>
  <w:footnote w:id="8">
    <w:p w:rsidR="00641F91" w:rsidRPr="002F02F1" w:rsidRDefault="00641F91" w:rsidP="00641F91">
      <w:pPr>
        <w:pStyle w:val="FootnoteText"/>
        <w:jc w:val="both"/>
        <w:rPr>
          <w:lang w:val="en-US"/>
        </w:rPr>
      </w:pPr>
      <w:r>
        <w:rPr>
          <w:rStyle w:val="FootnoteReference"/>
        </w:rPr>
        <w:footnoteRef/>
      </w:r>
      <w:r w:rsidRPr="002F02F1">
        <w:rPr>
          <w:lang w:val="en-US"/>
        </w:rPr>
        <w:t xml:space="preserve"> We prefer at this point to treat the original German term of this concept, as its English translation presents several points that could make its perception more difficult at this point in our work. In fact, this is one of the most important achievements of the reform movement in pedagogical science at the beginning of the 20th century. Its main creators were G. Kerschensteiner and H. Gaudig, and in essence they made the request for the return of the school to the child's natural environment, giving special value to the concept of work, which concerns physical </w:t>
      </w:r>
      <w:r>
        <w:rPr>
          <w:lang w:val="en-US"/>
        </w:rPr>
        <w:t xml:space="preserve">and mental </w:t>
      </w:r>
      <w:r w:rsidRPr="002F02F1">
        <w:rPr>
          <w:lang w:val="en-US"/>
        </w:rPr>
        <w:t>work</w:t>
      </w:r>
      <w:r>
        <w:rPr>
          <w:lang w:val="en-US"/>
        </w:rPr>
        <w:t>.</w:t>
      </w:r>
      <w:r w:rsidRPr="002F02F1">
        <w:rPr>
          <w:lang w:val="en-US"/>
        </w:rPr>
        <w:t xml:space="preserve"> For more information see Kerschensteiner, G. (1922). </w:t>
      </w:r>
      <w:r w:rsidRPr="002F02F1">
        <w:rPr>
          <w:i/>
          <w:lang w:val="en-US"/>
        </w:rPr>
        <w:t>Begriff der Arbeitsschule. (1911)</w:t>
      </w:r>
      <w:r w:rsidRPr="002F02F1">
        <w:rPr>
          <w:lang w:val="en-US"/>
        </w:rPr>
        <w:t>. Leibzig: Teubner.</w:t>
      </w:r>
    </w:p>
  </w:footnote>
  <w:footnote w:id="9">
    <w:p w:rsidR="00A846E2" w:rsidRPr="00642E29" w:rsidRDefault="00A846E2" w:rsidP="00787173">
      <w:pPr>
        <w:pStyle w:val="FootnoteText"/>
        <w:jc w:val="both"/>
        <w:rPr>
          <w:lang w:val="en-US"/>
        </w:rPr>
      </w:pPr>
      <w:r>
        <w:rPr>
          <w:rStyle w:val="FootnoteReference"/>
        </w:rPr>
        <w:footnoteRef/>
      </w:r>
      <w:r>
        <w:rPr>
          <w:lang w:val="en-US"/>
        </w:rPr>
        <w:t>What we need to note here is that this research showed how the implementation of the law on</w:t>
      </w:r>
      <w:r w:rsidRPr="00642E29">
        <w:rPr>
          <w:lang w:val="en-US"/>
        </w:rPr>
        <w:t xml:space="preserve"> 3 </w:t>
      </w:r>
      <w:r>
        <w:rPr>
          <w:lang w:val="en-US"/>
        </w:rPr>
        <w:t>years of academic studies in P</w:t>
      </w:r>
      <w:r w:rsidR="00B14B2D">
        <w:t>Α</w:t>
      </w:r>
      <w:r>
        <w:rPr>
          <w:lang w:val="en-US"/>
        </w:rPr>
        <w:t>s was only put in practice for one year</w:t>
      </w:r>
      <w:r w:rsidRPr="00642E29">
        <w:rPr>
          <w:lang w:val="en-US"/>
        </w:rPr>
        <w:t xml:space="preserve">, </w:t>
      </w:r>
      <w:r>
        <w:rPr>
          <w:lang w:val="en-US"/>
        </w:rPr>
        <w:t>in</w:t>
      </w:r>
      <w:r w:rsidRPr="00642E29">
        <w:rPr>
          <w:lang w:val="en-US"/>
        </w:rPr>
        <w:t xml:space="preserve"> 1967-1968, </w:t>
      </w:r>
      <w:r>
        <w:rPr>
          <w:lang w:val="en-US"/>
        </w:rPr>
        <w:t>which was not part of the time period examined here</w:t>
      </w:r>
      <w:r w:rsidRPr="00642E29">
        <w:rPr>
          <w:lang w:val="en-US"/>
        </w:rPr>
        <w:t>.</w:t>
      </w:r>
    </w:p>
  </w:footnote>
  <w:footnote w:id="10">
    <w:p w:rsidR="00795A30" w:rsidRPr="00DC575E" w:rsidRDefault="00795A30" w:rsidP="00B63745">
      <w:pPr>
        <w:pStyle w:val="FootnoteText"/>
        <w:jc w:val="both"/>
        <w:rPr>
          <w:lang w:val="en-US"/>
        </w:rPr>
      </w:pPr>
      <w:r>
        <w:rPr>
          <w:rStyle w:val="FootnoteReference"/>
        </w:rPr>
        <w:footnoteRef/>
      </w:r>
      <w:r w:rsidRPr="00B63745">
        <w:rPr>
          <w:lang w:val="en-US"/>
        </w:rPr>
        <w:t xml:space="preserve"> </w:t>
      </w:r>
      <w:r w:rsidR="00D61363">
        <w:rPr>
          <w:rStyle w:val="FootnoteReference"/>
        </w:rPr>
        <w:footnoteRef/>
      </w:r>
      <w:r w:rsidR="00D61363" w:rsidRPr="002F02F1">
        <w:rPr>
          <w:lang w:val="en-US"/>
        </w:rPr>
        <w:t xml:space="preserve"> We prefer at this point to treat the original German term of this concept, as its English translation presents several points that could make its perception more difficult at this point in our work. </w:t>
      </w:r>
      <w:r w:rsidR="00DC575E" w:rsidRPr="00DC575E">
        <w:rPr>
          <w:lang w:val="en-US"/>
        </w:rPr>
        <w:t xml:space="preserve">The creator of the term is considered to be Berthold Otto. </w:t>
      </w:r>
      <w:r w:rsidR="00B63745" w:rsidRPr="00B63745">
        <w:rPr>
          <w:lang w:val="en-US"/>
        </w:rPr>
        <w:t xml:space="preserve">The term </w:t>
      </w:r>
      <w:r w:rsidR="00B63745" w:rsidRPr="00DC575E">
        <w:rPr>
          <w:i/>
          <w:lang w:val="en-US"/>
        </w:rPr>
        <w:t>Gesamtunterricht</w:t>
      </w:r>
      <w:r w:rsidR="00B63745" w:rsidRPr="00B63745">
        <w:rPr>
          <w:lang w:val="en-US"/>
        </w:rPr>
        <w:t xml:space="preserve"> originated from the educational changes that took place at the epistemological level in the early 20th century around pedagogical science. In essence, this is a didactic approach that organizes the teaching material into unified categories based on the interests of the students, as they arise from the principles of evolutionary psychology, and in addition the aspects of a subject are not taught in separate lessons, but are grouped in one unity.</w:t>
      </w:r>
      <w:r w:rsidR="00DC575E">
        <w:rPr>
          <w:lang w:val="en-US"/>
        </w:rPr>
        <w:t xml:space="preserve"> For more details see </w:t>
      </w:r>
      <w:r w:rsidR="00DC575E" w:rsidRPr="00DC575E">
        <w:rPr>
          <w:color w:val="222222"/>
          <w:shd w:val="clear" w:color="auto" w:fill="FFFFFF"/>
          <w:lang w:val="en-US"/>
        </w:rPr>
        <w:t>Otto, B. (1963). Gesamtunterricht (1913). </w:t>
      </w:r>
      <w:r w:rsidR="00DC575E" w:rsidRPr="00DC575E">
        <w:rPr>
          <w:i/>
          <w:iCs/>
          <w:color w:val="222222"/>
          <w:shd w:val="clear" w:color="auto" w:fill="FFFFFF"/>
          <w:lang w:val="en-US"/>
        </w:rPr>
        <w:t>Ausgewahlte padagogische Schriften (besorgt von Karl Kreitmar), Paderborn</w:t>
      </w:r>
      <w:r w:rsidR="00DC575E" w:rsidRPr="00DC575E">
        <w:rPr>
          <w:color w:val="222222"/>
          <w:shd w:val="clear" w:color="auto" w:fill="FFFFFF"/>
          <w:lang w:val="en-US"/>
        </w:rPr>
        <w:t>, 120-132.</w:t>
      </w:r>
    </w:p>
  </w:footnote>
  <w:footnote w:id="11">
    <w:p w:rsidR="00DC575E" w:rsidRPr="00E54264" w:rsidRDefault="00DC575E" w:rsidP="00136EC5">
      <w:pPr>
        <w:pStyle w:val="FootnoteText"/>
        <w:jc w:val="both"/>
        <w:rPr>
          <w:lang w:val="en-US"/>
        </w:rPr>
      </w:pPr>
      <w:r w:rsidRPr="002B34A1">
        <w:rPr>
          <w:rStyle w:val="FootnoteReference"/>
        </w:rPr>
        <w:footnoteRef/>
      </w:r>
      <w:r w:rsidRPr="002B34A1">
        <w:rPr>
          <w:lang w:val="en-US"/>
        </w:rPr>
        <w:t xml:space="preserve"> </w:t>
      </w:r>
      <w:r w:rsidR="002B34A1" w:rsidRPr="002B34A1">
        <w:rPr>
          <w:lang w:val="en-US"/>
        </w:rPr>
        <w:t xml:space="preserve">In Greece, the five-stages teaching approach, which emerged from Otto Scheibner, based on his perception in the </w:t>
      </w:r>
      <w:r w:rsidR="00D61363" w:rsidRPr="002F02F1">
        <w:rPr>
          <w:i/>
          <w:lang w:val="en-US"/>
        </w:rPr>
        <w:t>Arbeitsschule</w:t>
      </w:r>
      <w:r w:rsidR="00D61363">
        <w:rPr>
          <w:lang w:val="en-US"/>
        </w:rPr>
        <w:t xml:space="preserve"> </w:t>
      </w:r>
      <w:r w:rsidR="002B34A1">
        <w:rPr>
          <w:lang w:val="en-US"/>
        </w:rPr>
        <w:t>movement</w:t>
      </w:r>
      <w:r w:rsidR="002B34A1" w:rsidRPr="002B34A1">
        <w:rPr>
          <w:lang w:val="en-US"/>
        </w:rPr>
        <w:t xml:space="preserve">, was transformed into a three-stage approach. N. Exarchopoulos was intensely active in this context. For more details see </w:t>
      </w:r>
      <w:r w:rsidR="002B34A1" w:rsidRPr="002B34A1">
        <w:rPr>
          <w:rFonts w:eastAsia="Times New Roman"/>
        </w:rPr>
        <w:t>Εξαρχόπουλος</w:t>
      </w:r>
      <w:r w:rsidR="002B34A1" w:rsidRPr="002B34A1">
        <w:rPr>
          <w:rFonts w:eastAsia="Times New Roman"/>
          <w:lang w:val="en-US"/>
        </w:rPr>
        <w:t xml:space="preserve">, </w:t>
      </w:r>
      <w:r w:rsidR="002B34A1" w:rsidRPr="002B34A1">
        <w:rPr>
          <w:rFonts w:eastAsia="Times New Roman"/>
        </w:rPr>
        <w:t>Ν</w:t>
      </w:r>
      <w:r w:rsidR="002B34A1" w:rsidRPr="002B34A1">
        <w:rPr>
          <w:rFonts w:eastAsia="Times New Roman"/>
          <w:lang w:val="en-US"/>
        </w:rPr>
        <w:t xml:space="preserve">. (1946). </w:t>
      </w:r>
      <w:r w:rsidR="002B34A1" w:rsidRPr="002B34A1">
        <w:rPr>
          <w:rFonts w:eastAsia="Times New Roman"/>
          <w:i/>
        </w:rPr>
        <w:t>Γενική Διδακτική</w:t>
      </w:r>
      <w:r w:rsidR="002B34A1" w:rsidRPr="002B34A1">
        <w:rPr>
          <w:rFonts w:eastAsia="Times New Roman"/>
        </w:rPr>
        <w:t>. Αθήνα</w:t>
      </w:r>
      <w:r w:rsidR="002B34A1" w:rsidRPr="00E54264">
        <w:rPr>
          <w:rFonts w:eastAsia="Times New Roman"/>
          <w:lang w:val="en-US"/>
        </w:rPr>
        <w:t xml:space="preserve">: </w:t>
      </w:r>
      <w:r w:rsidR="002B34A1" w:rsidRPr="002B34A1">
        <w:rPr>
          <w:rFonts w:eastAsia="Times New Roman"/>
        </w:rPr>
        <w:t>Δημητράκος</w:t>
      </w:r>
    </w:p>
  </w:footnote>
  <w:footnote w:id="12">
    <w:p w:rsidR="00E54264" w:rsidRDefault="00A846E2" w:rsidP="009E2792">
      <w:pPr>
        <w:pStyle w:val="ListParagraph"/>
        <w:spacing w:after="160" w:line="360" w:lineRule="auto"/>
        <w:ind w:left="0"/>
        <w:jc w:val="both"/>
        <w:rPr>
          <w:rFonts w:ascii="Arial" w:hAnsi="Arial" w:cs="Arial"/>
          <w:sz w:val="20"/>
          <w:szCs w:val="20"/>
          <w:lang w:val="el-GR"/>
        </w:rPr>
      </w:pPr>
      <w:r w:rsidRPr="00A17D26">
        <w:rPr>
          <w:rStyle w:val="FootnoteReference"/>
          <w:rFonts w:ascii="Arial" w:hAnsi="Arial" w:cs="Arial"/>
          <w:sz w:val="20"/>
          <w:szCs w:val="20"/>
        </w:rPr>
        <w:footnoteRef/>
      </w:r>
      <w:r>
        <w:rPr>
          <w:rFonts w:ascii="Arial" w:hAnsi="Arial" w:cs="Arial"/>
          <w:sz w:val="20"/>
          <w:szCs w:val="20"/>
        </w:rPr>
        <w:t>For</w:t>
      </w:r>
      <w:r w:rsidRPr="00E54264">
        <w:rPr>
          <w:rFonts w:ascii="Arial" w:hAnsi="Arial" w:cs="Arial"/>
          <w:sz w:val="20"/>
          <w:szCs w:val="20"/>
        </w:rPr>
        <w:t xml:space="preserve"> </w:t>
      </w:r>
      <w:r>
        <w:rPr>
          <w:rFonts w:ascii="Arial" w:hAnsi="Arial" w:cs="Arial"/>
          <w:sz w:val="20"/>
          <w:szCs w:val="20"/>
        </w:rPr>
        <w:t>changes</w:t>
      </w:r>
      <w:r w:rsidRPr="00E54264">
        <w:rPr>
          <w:rFonts w:ascii="Arial" w:hAnsi="Arial" w:cs="Arial"/>
          <w:sz w:val="20"/>
          <w:szCs w:val="20"/>
        </w:rPr>
        <w:t xml:space="preserve"> </w:t>
      </w:r>
      <w:r>
        <w:rPr>
          <w:rFonts w:ascii="Arial" w:hAnsi="Arial" w:cs="Arial"/>
          <w:sz w:val="20"/>
          <w:szCs w:val="20"/>
        </w:rPr>
        <w:t>in</w:t>
      </w:r>
      <w:r w:rsidRPr="00E54264">
        <w:rPr>
          <w:rFonts w:ascii="Arial" w:hAnsi="Arial" w:cs="Arial"/>
          <w:sz w:val="20"/>
          <w:szCs w:val="20"/>
        </w:rPr>
        <w:t xml:space="preserve"> </w:t>
      </w:r>
      <w:r>
        <w:rPr>
          <w:rFonts w:ascii="Arial" w:hAnsi="Arial" w:cs="Arial"/>
          <w:sz w:val="20"/>
          <w:szCs w:val="20"/>
        </w:rPr>
        <w:t>historiography</w:t>
      </w:r>
      <w:r w:rsidRPr="00E54264">
        <w:rPr>
          <w:rFonts w:ascii="Arial" w:hAnsi="Arial" w:cs="Arial"/>
          <w:sz w:val="20"/>
          <w:szCs w:val="20"/>
        </w:rPr>
        <w:t xml:space="preserve"> </w:t>
      </w:r>
      <w:r>
        <w:rPr>
          <w:rFonts w:ascii="Arial" w:hAnsi="Arial" w:cs="Arial"/>
          <w:sz w:val="20"/>
          <w:szCs w:val="20"/>
        </w:rPr>
        <w:t>ideas</w:t>
      </w:r>
      <w:r w:rsidRPr="00E54264">
        <w:rPr>
          <w:rFonts w:ascii="Arial" w:hAnsi="Arial" w:cs="Arial"/>
          <w:sz w:val="20"/>
          <w:szCs w:val="20"/>
        </w:rPr>
        <w:t xml:space="preserve"> </w:t>
      </w:r>
      <w:r>
        <w:rPr>
          <w:rFonts w:ascii="Arial" w:hAnsi="Arial" w:cs="Arial"/>
          <w:sz w:val="20"/>
          <w:szCs w:val="20"/>
        </w:rPr>
        <w:t>see</w:t>
      </w:r>
      <w:r w:rsidRPr="00E54264">
        <w:rPr>
          <w:rFonts w:ascii="Arial" w:hAnsi="Arial" w:cs="Arial"/>
          <w:sz w:val="20"/>
          <w:szCs w:val="20"/>
        </w:rPr>
        <w:t xml:space="preserve"> </w:t>
      </w:r>
      <w:r w:rsidR="00E54264">
        <w:rPr>
          <w:rFonts w:ascii="Arial" w:hAnsi="Arial" w:cs="Arial"/>
          <w:sz w:val="20"/>
          <w:szCs w:val="20"/>
          <w:lang w:val="el-GR"/>
        </w:rPr>
        <w:t>Κόκκινος</w:t>
      </w:r>
      <w:r w:rsidRPr="00E54264">
        <w:rPr>
          <w:rFonts w:ascii="Arial" w:hAnsi="Arial" w:cs="Arial"/>
          <w:sz w:val="20"/>
          <w:szCs w:val="20"/>
        </w:rPr>
        <w:t xml:space="preserve">, </w:t>
      </w:r>
      <w:r w:rsidR="00E54264">
        <w:rPr>
          <w:rFonts w:ascii="Arial" w:hAnsi="Arial" w:cs="Arial"/>
          <w:sz w:val="20"/>
          <w:szCs w:val="20"/>
          <w:lang w:val="el-GR"/>
        </w:rPr>
        <w:t>Γ</w:t>
      </w:r>
      <w:r w:rsidRPr="00E54264">
        <w:rPr>
          <w:rFonts w:ascii="Arial" w:hAnsi="Arial" w:cs="Arial"/>
          <w:sz w:val="20"/>
          <w:szCs w:val="20"/>
        </w:rPr>
        <w:t xml:space="preserve">. (1998). </w:t>
      </w:r>
      <w:r w:rsidRPr="00642E29">
        <w:rPr>
          <w:rFonts w:ascii="Arial" w:hAnsi="Arial" w:cs="Arial"/>
          <w:i/>
          <w:sz w:val="20"/>
          <w:szCs w:val="20"/>
          <w:lang w:val="el-GR"/>
        </w:rPr>
        <w:t>Από</w:t>
      </w:r>
      <w:r w:rsidRPr="002B34A1">
        <w:rPr>
          <w:rFonts w:ascii="Arial" w:hAnsi="Arial" w:cs="Arial"/>
          <w:i/>
          <w:sz w:val="20"/>
          <w:szCs w:val="20"/>
          <w:lang w:val="el-GR"/>
        </w:rPr>
        <w:t xml:space="preserve"> </w:t>
      </w:r>
      <w:r w:rsidRPr="00642E29">
        <w:rPr>
          <w:rFonts w:ascii="Arial" w:hAnsi="Arial" w:cs="Arial"/>
          <w:i/>
          <w:sz w:val="20"/>
          <w:szCs w:val="20"/>
          <w:lang w:val="el-GR"/>
        </w:rPr>
        <w:t>την</w:t>
      </w:r>
      <w:r w:rsidRPr="002B34A1">
        <w:rPr>
          <w:rFonts w:ascii="Arial" w:hAnsi="Arial" w:cs="Arial"/>
          <w:i/>
          <w:sz w:val="20"/>
          <w:szCs w:val="20"/>
          <w:lang w:val="el-GR"/>
        </w:rPr>
        <w:t xml:space="preserve"> </w:t>
      </w:r>
      <w:r w:rsidRPr="00642E29">
        <w:rPr>
          <w:rFonts w:ascii="Arial" w:hAnsi="Arial" w:cs="Arial"/>
          <w:i/>
          <w:sz w:val="20"/>
          <w:szCs w:val="20"/>
          <w:lang w:val="el-GR"/>
        </w:rPr>
        <w:t>ιστορία</w:t>
      </w:r>
      <w:r w:rsidRPr="002B34A1">
        <w:rPr>
          <w:rFonts w:ascii="Arial" w:hAnsi="Arial" w:cs="Arial"/>
          <w:i/>
          <w:sz w:val="20"/>
          <w:szCs w:val="20"/>
          <w:lang w:val="el-GR"/>
        </w:rPr>
        <w:t xml:space="preserve"> </w:t>
      </w:r>
      <w:r w:rsidRPr="00642E29">
        <w:rPr>
          <w:rFonts w:ascii="Arial" w:hAnsi="Arial" w:cs="Arial"/>
          <w:i/>
          <w:sz w:val="20"/>
          <w:szCs w:val="20"/>
          <w:lang w:val="el-GR"/>
        </w:rPr>
        <w:t>στις</w:t>
      </w:r>
      <w:r w:rsidRPr="002B34A1">
        <w:rPr>
          <w:rFonts w:ascii="Arial" w:hAnsi="Arial" w:cs="Arial"/>
          <w:i/>
          <w:sz w:val="20"/>
          <w:szCs w:val="20"/>
          <w:lang w:val="el-GR"/>
        </w:rPr>
        <w:t xml:space="preserve"> </w:t>
      </w:r>
      <w:r w:rsidRPr="00642E29">
        <w:rPr>
          <w:rFonts w:ascii="Arial" w:hAnsi="Arial" w:cs="Arial"/>
          <w:i/>
          <w:sz w:val="20"/>
          <w:szCs w:val="20"/>
          <w:lang w:val="el-GR"/>
        </w:rPr>
        <w:t>ιστορίες</w:t>
      </w:r>
      <w:r w:rsidRPr="002B34A1">
        <w:rPr>
          <w:rFonts w:ascii="Arial" w:hAnsi="Arial" w:cs="Arial"/>
          <w:sz w:val="20"/>
          <w:szCs w:val="20"/>
          <w:lang w:val="el-GR"/>
        </w:rPr>
        <w:t xml:space="preserve">. </w:t>
      </w:r>
    </w:p>
    <w:p w:rsidR="00A846E2" w:rsidRPr="00642E29" w:rsidRDefault="00E54264" w:rsidP="00E54264">
      <w:pPr>
        <w:pStyle w:val="ListParagraph"/>
        <w:spacing w:after="160" w:line="360" w:lineRule="auto"/>
        <w:ind w:left="0"/>
        <w:jc w:val="both"/>
        <w:rPr>
          <w:rFonts w:ascii="Arial" w:hAnsi="Arial" w:cs="Arial"/>
          <w:sz w:val="20"/>
          <w:szCs w:val="20"/>
          <w:lang w:val="el-GR"/>
        </w:rPr>
      </w:pPr>
      <w:r>
        <w:rPr>
          <w:rFonts w:ascii="Arial" w:hAnsi="Arial" w:cs="Arial"/>
          <w:sz w:val="20"/>
          <w:szCs w:val="20"/>
          <w:lang w:val="el-GR"/>
        </w:rPr>
        <w:t>Αθήνα</w:t>
      </w:r>
      <w:r w:rsidR="00A846E2" w:rsidRPr="00642E29">
        <w:rPr>
          <w:rFonts w:ascii="Arial" w:hAnsi="Arial" w:cs="Arial"/>
          <w:sz w:val="20"/>
          <w:szCs w:val="20"/>
          <w:lang w:val="el-GR"/>
        </w:rPr>
        <w:t xml:space="preserve">: </w:t>
      </w:r>
      <w:r>
        <w:rPr>
          <w:rFonts w:ascii="Arial" w:hAnsi="Arial" w:cs="Arial"/>
          <w:sz w:val="20"/>
          <w:szCs w:val="20"/>
          <w:lang w:val="el-GR"/>
        </w:rPr>
        <w:t>Ελληνικά Γράμματα</w:t>
      </w:r>
    </w:p>
    <w:p w:rsidR="00A846E2" w:rsidRDefault="00A846E2" w:rsidP="009E279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E2" w:rsidRDefault="00E60B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1188" o:spid="_x0000_s2050" type="#_x0000_t136" style="position:absolute;margin-left:0;margin-top:0;width:535.4pt;height:100.3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E2" w:rsidRDefault="00E60B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1189" o:spid="_x0000_s2051" type="#_x0000_t136" style="position:absolute;margin-left:0;margin-top:0;width:535.4pt;height:100.3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E2" w:rsidRDefault="00E60B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1187" o:spid="_x0000_s2049" type="#_x0000_t136" style="position:absolute;margin-left:0;margin-top:0;width:535.4pt;height:100.3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2102A"/>
    <w:multiLevelType w:val="hybridMultilevel"/>
    <w:tmpl w:val="03F882AC"/>
    <w:lvl w:ilvl="0" w:tplc="1B0E59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D1A35"/>
    <w:multiLevelType w:val="hybridMultilevel"/>
    <w:tmpl w:val="5216B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1733C41"/>
    <w:multiLevelType w:val="hybridMultilevel"/>
    <w:tmpl w:val="A9688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1C73044"/>
    <w:multiLevelType w:val="hybridMultilevel"/>
    <w:tmpl w:val="BAA001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3914F09"/>
    <w:multiLevelType w:val="hybridMultilevel"/>
    <w:tmpl w:val="A5286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E0D10"/>
    <w:rsid w:val="00002659"/>
    <w:rsid w:val="00011422"/>
    <w:rsid w:val="00015AA7"/>
    <w:rsid w:val="00023D26"/>
    <w:rsid w:val="0003351A"/>
    <w:rsid w:val="00053D21"/>
    <w:rsid w:val="00064946"/>
    <w:rsid w:val="00065DBD"/>
    <w:rsid w:val="00067FF9"/>
    <w:rsid w:val="00076C8D"/>
    <w:rsid w:val="00083A13"/>
    <w:rsid w:val="000923F7"/>
    <w:rsid w:val="00095A1D"/>
    <w:rsid w:val="000B64BD"/>
    <w:rsid w:val="000C68C9"/>
    <w:rsid w:val="000D02B9"/>
    <w:rsid w:val="000E06D6"/>
    <w:rsid w:val="000F09DA"/>
    <w:rsid w:val="000F4E91"/>
    <w:rsid w:val="000F747E"/>
    <w:rsid w:val="001163E8"/>
    <w:rsid w:val="001315AA"/>
    <w:rsid w:val="00135938"/>
    <w:rsid w:val="00136EC5"/>
    <w:rsid w:val="00145A3F"/>
    <w:rsid w:val="00146F3F"/>
    <w:rsid w:val="001477D3"/>
    <w:rsid w:val="00175334"/>
    <w:rsid w:val="00190597"/>
    <w:rsid w:val="00193BD5"/>
    <w:rsid w:val="001A0F73"/>
    <w:rsid w:val="001B5776"/>
    <w:rsid w:val="001C5908"/>
    <w:rsid w:val="001D03AA"/>
    <w:rsid w:val="001D0AF8"/>
    <w:rsid w:val="001D15B2"/>
    <w:rsid w:val="001F6360"/>
    <w:rsid w:val="002004D8"/>
    <w:rsid w:val="00206E02"/>
    <w:rsid w:val="002138B2"/>
    <w:rsid w:val="002171C7"/>
    <w:rsid w:val="00224074"/>
    <w:rsid w:val="00224EB8"/>
    <w:rsid w:val="002271FA"/>
    <w:rsid w:val="00235A48"/>
    <w:rsid w:val="00243E88"/>
    <w:rsid w:val="0025002C"/>
    <w:rsid w:val="00256884"/>
    <w:rsid w:val="00260244"/>
    <w:rsid w:val="00263D11"/>
    <w:rsid w:val="00277156"/>
    <w:rsid w:val="00283D4B"/>
    <w:rsid w:val="00294C60"/>
    <w:rsid w:val="002A0602"/>
    <w:rsid w:val="002A229A"/>
    <w:rsid w:val="002A498E"/>
    <w:rsid w:val="002B34A1"/>
    <w:rsid w:val="002B4C06"/>
    <w:rsid w:val="002C3745"/>
    <w:rsid w:val="002C3839"/>
    <w:rsid w:val="002D0BCA"/>
    <w:rsid w:val="002E04F1"/>
    <w:rsid w:val="002E1605"/>
    <w:rsid w:val="002F02F1"/>
    <w:rsid w:val="002F3341"/>
    <w:rsid w:val="002F49E3"/>
    <w:rsid w:val="002F7BC9"/>
    <w:rsid w:val="0030532B"/>
    <w:rsid w:val="0030571F"/>
    <w:rsid w:val="00313B10"/>
    <w:rsid w:val="00326B6C"/>
    <w:rsid w:val="00344443"/>
    <w:rsid w:val="00347894"/>
    <w:rsid w:val="0035134E"/>
    <w:rsid w:val="00362F14"/>
    <w:rsid w:val="003721C6"/>
    <w:rsid w:val="003853CB"/>
    <w:rsid w:val="003867EB"/>
    <w:rsid w:val="003C3B78"/>
    <w:rsid w:val="003C6901"/>
    <w:rsid w:val="003C76C6"/>
    <w:rsid w:val="003E0D10"/>
    <w:rsid w:val="00405902"/>
    <w:rsid w:val="00423B42"/>
    <w:rsid w:val="0046406E"/>
    <w:rsid w:val="004734E5"/>
    <w:rsid w:val="004768EE"/>
    <w:rsid w:val="004852D1"/>
    <w:rsid w:val="004928D1"/>
    <w:rsid w:val="004A27ED"/>
    <w:rsid w:val="004A3393"/>
    <w:rsid w:val="0050217F"/>
    <w:rsid w:val="005035D2"/>
    <w:rsid w:val="00503970"/>
    <w:rsid w:val="00530211"/>
    <w:rsid w:val="00533774"/>
    <w:rsid w:val="005343D2"/>
    <w:rsid w:val="005354FA"/>
    <w:rsid w:val="005501B5"/>
    <w:rsid w:val="00550FF2"/>
    <w:rsid w:val="005524EB"/>
    <w:rsid w:val="00552730"/>
    <w:rsid w:val="00581102"/>
    <w:rsid w:val="00581954"/>
    <w:rsid w:val="00583279"/>
    <w:rsid w:val="00586547"/>
    <w:rsid w:val="005A1668"/>
    <w:rsid w:val="005A4833"/>
    <w:rsid w:val="005B10A4"/>
    <w:rsid w:val="005C7A34"/>
    <w:rsid w:val="00606751"/>
    <w:rsid w:val="006112B2"/>
    <w:rsid w:val="00613316"/>
    <w:rsid w:val="006139BA"/>
    <w:rsid w:val="00622817"/>
    <w:rsid w:val="006244DC"/>
    <w:rsid w:val="006308ED"/>
    <w:rsid w:val="00633692"/>
    <w:rsid w:val="00640376"/>
    <w:rsid w:val="00641F91"/>
    <w:rsid w:val="00642E29"/>
    <w:rsid w:val="006602A4"/>
    <w:rsid w:val="006608DA"/>
    <w:rsid w:val="006633E1"/>
    <w:rsid w:val="00663597"/>
    <w:rsid w:val="00663DE7"/>
    <w:rsid w:val="00664E64"/>
    <w:rsid w:val="006704C6"/>
    <w:rsid w:val="006810AA"/>
    <w:rsid w:val="0068332F"/>
    <w:rsid w:val="00683484"/>
    <w:rsid w:val="00684597"/>
    <w:rsid w:val="00684FDC"/>
    <w:rsid w:val="006A25F4"/>
    <w:rsid w:val="006A61E8"/>
    <w:rsid w:val="006B060D"/>
    <w:rsid w:val="006B3ACD"/>
    <w:rsid w:val="006B49D1"/>
    <w:rsid w:val="006B7C48"/>
    <w:rsid w:val="006D045E"/>
    <w:rsid w:val="006D4856"/>
    <w:rsid w:val="006D6FCD"/>
    <w:rsid w:val="006E3E89"/>
    <w:rsid w:val="006F31BA"/>
    <w:rsid w:val="006F6D31"/>
    <w:rsid w:val="007002C3"/>
    <w:rsid w:val="00717056"/>
    <w:rsid w:val="00721059"/>
    <w:rsid w:val="00737352"/>
    <w:rsid w:val="007511A1"/>
    <w:rsid w:val="00764F53"/>
    <w:rsid w:val="0078262E"/>
    <w:rsid w:val="007852DB"/>
    <w:rsid w:val="00787173"/>
    <w:rsid w:val="00795A30"/>
    <w:rsid w:val="007A6BAD"/>
    <w:rsid w:val="007C3811"/>
    <w:rsid w:val="007D20E1"/>
    <w:rsid w:val="007E77B8"/>
    <w:rsid w:val="007F1458"/>
    <w:rsid w:val="007F1A2A"/>
    <w:rsid w:val="007F2A96"/>
    <w:rsid w:val="007F5030"/>
    <w:rsid w:val="007F7884"/>
    <w:rsid w:val="0081012F"/>
    <w:rsid w:val="0081533C"/>
    <w:rsid w:val="008235A7"/>
    <w:rsid w:val="008248AB"/>
    <w:rsid w:val="00845C96"/>
    <w:rsid w:val="0086430C"/>
    <w:rsid w:val="00866891"/>
    <w:rsid w:val="008673D5"/>
    <w:rsid w:val="008674E9"/>
    <w:rsid w:val="00871011"/>
    <w:rsid w:val="00875178"/>
    <w:rsid w:val="00887C85"/>
    <w:rsid w:val="008916E3"/>
    <w:rsid w:val="00892CAC"/>
    <w:rsid w:val="00892E33"/>
    <w:rsid w:val="00897EB5"/>
    <w:rsid w:val="008B0ADC"/>
    <w:rsid w:val="008B4D5A"/>
    <w:rsid w:val="008B5AB0"/>
    <w:rsid w:val="008C3513"/>
    <w:rsid w:val="008D4C0E"/>
    <w:rsid w:val="008D5BDB"/>
    <w:rsid w:val="008D69C2"/>
    <w:rsid w:val="008E733A"/>
    <w:rsid w:val="009166B3"/>
    <w:rsid w:val="009205FC"/>
    <w:rsid w:val="00921799"/>
    <w:rsid w:val="00922C8C"/>
    <w:rsid w:val="009355A1"/>
    <w:rsid w:val="00941225"/>
    <w:rsid w:val="0094752B"/>
    <w:rsid w:val="00947B01"/>
    <w:rsid w:val="009516B6"/>
    <w:rsid w:val="00954CD4"/>
    <w:rsid w:val="00957E04"/>
    <w:rsid w:val="00960ADB"/>
    <w:rsid w:val="00967141"/>
    <w:rsid w:val="00981EF5"/>
    <w:rsid w:val="00986200"/>
    <w:rsid w:val="00990173"/>
    <w:rsid w:val="00992177"/>
    <w:rsid w:val="009A10E6"/>
    <w:rsid w:val="009A226B"/>
    <w:rsid w:val="009A4D73"/>
    <w:rsid w:val="009B6047"/>
    <w:rsid w:val="009C2CD8"/>
    <w:rsid w:val="009C6E96"/>
    <w:rsid w:val="009E1E3E"/>
    <w:rsid w:val="009E2792"/>
    <w:rsid w:val="009E5E78"/>
    <w:rsid w:val="009E779B"/>
    <w:rsid w:val="009F10C0"/>
    <w:rsid w:val="009F2FF2"/>
    <w:rsid w:val="00A01F2A"/>
    <w:rsid w:val="00A044CC"/>
    <w:rsid w:val="00A11AE9"/>
    <w:rsid w:val="00A155F7"/>
    <w:rsid w:val="00A1593A"/>
    <w:rsid w:val="00A31559"/>
    <w:rsid w:val="00A31FE6"/>
    <w:rsid w:val="00A43CBA"/>
    <w:rsid w:val="00A441DB"/>
    <w:rsid w:val="00A477A1"/>
    <w:rsid w:val="00A62B43"/>
    <w:rsid w:val="00A65FDD"/>
    <w:rsid w:val="00A846E2"/>
    <w:rsid w:val="00A86AF9"/>
    <w:rsid w:val="00AA1C0A"/>
    <w:rsid w:val="00AB558F"/>
    <w:rsid w:val="00AB5C67"/>
    <w:rsid w:val="00AC1EAA"/>
    <w:rsid w:val="00AC214C"/>
    <w:rsid w:val="00AC30DD"/>
    <w:rsid w:val="00AC4C10"/>
    <w:rsid w:val="00AF46F7"/>
    <w:rsid w:val="00B072E5"/>
    <w:rsid w:val="00B14B2D"/>
    <w:rsid w:val="00B31D6D"/>
    <w:rsid w:val="00B32D43"/>
    <w:rsid w:val="00B45256"/>
    <w:rsid w:val="00B51D50"/>
    <w:rsid w:val="00B551DB"/>
    <w:rsid w:val="00B63745"/>
    <w:rsid w:val="00B658B6"/>
    <w:rsid w:val="00B7433E"/>
    <w:rsid w:val="00BB1FD9"/>
    <w:rsid w:val="00BB5C1B"/>
    <w:rsid w:val="00BC0BA0"/>
    <w:rsid w:val="00BC42F9"/>
    <w:rsid w:val="00BD03FA"/>
    <w:rsid w:val="00BE4330"/>
    <w:rsid w:val="00C015F1"/>
    <w:rsid w:val="00C162D8"/>
    <w:rsid w:val="00C3502A"/>
    <w:rsid w:val="00C43FFF"/>
    <w:rsid w:val="00C442FB"/>
    <w:rsid w:val="00C469CB"/>
    <w:rsid w:val="00C57681"/>
    <w:rsid w:val="00C66781"/>
    <w:rsid w:val="00C720F0"/>
    <w:rsid w:val="00C75A58"/>
    <w:rsid w:val="00C76A72"/>
    <w:rsid w:val="00C802A4"/>
    <w:rsid w:val="00C8103D"/>
    <w:rsid w:val="00C8685A"/>
    <w:rsid w:val="00C91789"/>
    <w:rsid w:val="00C92197"/>
    <w:rsid w:val="00CA73EE"/>
    <w:rsid w:val="00CA7A9E"/>
    <w:rsid w:val="00CC2C78"/>
    <w:rsid w:val="00CC4898"/>
    <w:rsid w:val="00CD6165"/>
    <w:rsid w:val="00D1066D"/>
    <w:rsid w:val="00D1237A"/>
    <w:rsid w:val="00D169BB"/>
    <w:rsid w:val="00D57DA4"/>
    <w:rsid w:val="00D61363"/>
    <w:rsid w:val="00D70BB1"/>
    <w:rsid w:val="00D77176"/>
    <w:rsid w:val="00D91FBA"/>
    <w:rsid w:val="00DA08A0"/>
    <w:rsid w:val="00DA6C60"/>
    <w:rsid w:val="00DA7A03"/>
    <w:rsid w:val="00DC515C"/>
    <w:rsid w:val="00DC53D2"/>
    <w:rsid w:val="00DC575E"/>
    <w:rsid w:val="00DD68F5"/>
    <w:rsid w:val="00DE7791"/>
    <w:rsid w:val="00E016D7"/>
    <w:rsid w:val="00E01DA8"/>
    <w:rsid w:val="00E220C6"/>
    <w:rsid w:val="00E27205"/>
    <w:rsid w:val="00E312B8"/>
    <w:rsid w:val="00E31A9D"/>
    <w:rsid w:val="00E35553"/>
    <w:rsid w:val="00E35780"/>
    <w:rsid w:val="00E36995"/>
    <w:rsid w:val="00E379F7"/>
    <w:rsid w:val="00E40E25"/>
    <w:rsid w:val="00E42C2D"/>
    <w:rsid w:val="00E43CD7"/>
    <w:rsid w:val="00E4401A"/>
    <w:rsid w:val="00E46E77"/>
    <w:rsid w:val="00E54264"/>
    <w:rsid w:val="00E6060F"/>
    <w:rsid w:val="00E60809"/>
    <w:rsid w:val="00E60B62"/>
    <w:rsid w:val="00E62333"/>
    <w:rsid w:val="00E80351"/>
    <w:rsid w:val="00EA75EB"/>
    <w:rsid w:val="00EB6341"/>
    <w:rsid w:val="00EC12CC"/>
    <w:rsid w:val="00EC5D5A"/>
    <w:rsid w:val="00F0269A"/>
    <w:rsid w:val="00F07F8F"/>
    <w:rsid w:val="00F14E38"/>
    <w:rsid w:val="00F21585"/>
    <w:rsid w:val="00F324A5"/>
    <w:rsid w:val="00F77E58"/>
    <w:rsid w:val="00F80FF6"/>
    <w:rsid w:val="00F85597"/>
    <w:rsid w:val="00F9252D"/>
    <w:rsid w:val="00FB5F6A"/>
    <w:rsid w:val="00FB74AC"/>
    <w:rsid w:val="00FD1352"/>
    <w:rsid w:val="00FD234B"/>
    <w:rsid w:val="00FD59FF"/>
    <w:rsid w:val="00FE654C"/>
    <w:rsid w:val="00FE7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91"/>
    <w:rPr>
      <w:sz w:val="24"/>
      <w:szCs w:val="24"/>
    </w:rPr>
  </w:style>
  <w:style w:type="paragraph" w:styleId="Heading1">
    <w:name w:val="heading 1"/>
    <w:basedOn w:val="Normal"/>
    <w:next w:val="Normal"/>
    <w:link w:val="Heading1Char"/>
    <w:qFormat/>
    <w:rsid w:val="008B5AB0"/>
    <w:pPr>
      <w:keepNext/>
      <w:keepLines/>
      <w:spacing w:before="480" w:line="276" w:lineRule="auto"/>
      <w:outlineLvl w:val="0"/>
    </w:pPr>
    <w:rPr>
      <w:rFonts w:ascii="Cambria" w:eastAsia="Times New Roman" w:hAnsi="Cambria"/>
      <w:b/>
      <w:bCs/>
      <w:color w:val="365F91"/>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B3ACD"/>
    <w:pPr>
      <w:spacing w:line="276" w:lineRule="auto"/>
    </w:pPr>
    <w:rPr>
      <w:rFonts w:ascii="Arial" w:eastAsia="Arial" w:hAnsi="Arial" w:cs="Arial"/>
      <w:sz w:val="22"/>
      <w:szCs w:val="22"/>
      <w:lang w:val="el-GR" w:eastAsia="el-GR"/>
    </w:rPr>
  </w:style>
  <w:style w:type="paragraph" w:styleId="ListParagraph">
    <w:name w:val="List Paragraph"/>
    <w:basedOn w:val="Normal"/>
    <w:uiPriority w:val="34"/>
    <w:qFormat/>
    <w:rsid w:val="00190597"/>
    <w:pPr>
      <w:ind w:left="720"/>
      <w:contextualSpacing/>
    </w:pPr>
  </w:style>
  <w:style w:type="paragraph" w:customStyle="1" w:styleId="Normal2">
    <w:name w:val="Normal2"/>
    <w:rsid w:val="00224EB8"/>
    <w:pPr>
      <w:spacing w:line="276" w:lineRule="auto"/>
    </w:pPr>
    <w:rPr>
      <w:rFonts w:ascii="Arial" w:eastAsia="Arial" w:hAnsi="Arial" w:cs="Arial"/>
      <w:sz w:val="22"/>
      <w:szCs w:val="22"/>
      <w:lang w:val="el-GR" w:eastAsia="el-GR"/>
    </w:rPr>
  </w:style>
  <w:style w:type="paragraph" w:styleId="Header">
    <w:name w:val="header"/>
    <w:basedOn w:val="Normal"/>
    <w:link w:val="HeaderChar"/>
    <w:uiPriority w:val="99"/>
    <w:unhideWhenUsed/>
    <w:rsid w:val="007511A1"/>
    <w:pPr>
      <w:tabs>
        <w:tab w:val="center" w:pos="4680"/>
        <w:tab w:val="right" w:pos="9360"/>
      </w:tabs>
    </w:pPr>
  </w:style>
  <w:style w:type="character" w:customStyle="1" w:styleId="HeaderChar">
    <w:name w:val="Header Char"/>
    <w:basedOn w:val="DefaultParagraphFont"/>
    <w:link w:val="Header"/>
    <w:uiPriority w:val="99"/>
    <w:rsid w:val="007511A1"/>
  </w:style>
  <w:style w:type="paragraph" w:styleId="Footer">
    <w:name w:val="footer"/>
    <w:basedOn w:val="Normal"/>
    <w:link w:val="FooterChar"/>
    <w:uiPriority w:val="99"/>
    <w:unhideWhenUsed/>
    <w:rsid w:val="007511A1"/>
    <w:pPr>
      <w:tabs>
        <w:tab w:val="center" w:pos="4680"/>
        <w:tab w:val="right" w:pos="9360"/>
      </w:tabs>
    </w:pPr>
  </w:style>
  <w:style w:type="character" w:customStyle="1" w:styleId="FooterChar">
    <w:name w:val="Footer Char"/>
    <w:basedOn w:val="DefaultParagraphFont"/>
    <w:link w:val="Footer"/>
    <w:uiPriority w:val="99"/>
    <w:rsid w:val="007511A1"/>
  </w:style>
  <w:style w:type="paragraph" w:styleId="FootnoteText">
    <w:name w:val="footnote text"/>
    <w:basedOn w:val="Normal"/>
    <w:link w:val="FootnoteTextChar"/>
    <w:uiPriority w:val="99"/>
    <w:semiHidden/>
    <w:unhideWhenUsed/>
    <w:rsid w:val="006608DA"/>
    <w:rPr>
      <w:rFonts w:ascii="Arial" w:eastAsia="Arial" w:hAnsi="Arial"/>
      <w:sz w:val="20"/>
      <w:szCs w:val="20"/>
      <w:lang w:val="el-GR" w:eastAsia="el-GR"/>
    </w:rPr>
  </w:style>
  <w:style w:type="character" w:customStyle="1" w:styleId="FootnoteTextChar">
    <w:name w:val="Footnote Text Char"/>
    <w:link w:val="FootnoteText"/>
    <w:uiPriority w:val="99"/>
    <w:semiHidden/>
    <w:rsid w:val="006608DA"/>
    <w:rPr>
      <w:rFonts w:ascii="Arial" w:eastAsia="Arial" w:hAnsi="Arial" w:cs="Arial"/>
      <w:sz w:val="20"/>
      <w:szCs w:val="20"/>
      <w:lang w:val="el-GR" w:eastAsia="el-GR"/>
    </w:rPr>
  </w:style>
  <w:style w:type="character" w:styleId="FootnoteReference">
    <w:name w:val="footnote reference"/>
    <w:uiPriority w:val="99"/>
    <w:semiHidden/>
    <w:unhideWhenUsed/>
    <w:rsid w:val="006608DA"/>
    <w:rPr>
      <w:vertAlign w:val="superscript"/>
    </w:rPr>
  </w:style>
  <w:style w:type="paragraph" w:customStyle="1" w:styleId="Normal3">
    <w:name w:val="Normal3"/>
    <w:rsid w:val="006608DA"/>
    <w:pPr>
      <w:spacing w:line="276" w:lineRule="auto"/>
    </w:pPr>
    <w:rPr>
      <w:rFonts w:ascii="Arial" w:eastAsia="Arial" w:hAnsi="Arial" w:cs="Arial"/>
      <w:sz w:val="22"/>
      <w:szCs w:val="22"/>
      <w:lang w:val="el-GR" w:eastAsia="el-GR"/>
    </w:rPr>
  </w:style>
  <w:style w:type="character" w:styleId="Emphasis">
    <w:name w:val="Emphasis"/>
    <w:uiPriority w:val="20"/>
    <w:qFormat/>
    <w:rsid w:val="00E27205"/>
    <w:rPr>
      <w:i/>
      <w:iCs/>
    </w:rPr>
  </w:style>
  <w:style w:type="character" w:styleId="Hyperlink">
    <w:name w:val="Hyperlink"/>
    <w:uiPriority w:val="99"/>
    <w:unhideWhenUsed/>
    <w:rsid w:val="00E27205"/>
    <w:rPr>
      <w:color w:val="0000FF"/>
      <w:u w:val="single"/>
    </w:rPr>
  </w:style>
  <w:style w:type="character" w:styleId="CommentReference">
    <w:name w:val="annotation reference"/>
    <w:uiPriority w:val="99"/>
    <w:semiHidden/>
    <w:unhideWhenUsed/>
    <w:rsid w:val="00E27205"/>
    <w:rPr>
      <w:sz w:val="16"/>
      <w:szCs w:val="16"/>
    </w:rPr>
  </w:style>
  <w:style w:type="paragraph" w:styleId="CommentText">
    <w:name w:val="annotation text"/>
    <w:basedOn w:val="Normal"/>
    <w:link w:val="CommentTextChar"/>
    <w:uiPriority w:val="99"/>
    <w:unhideWhenUsed/>
    <w:rsid w:val="00E27205"/>
    <w:rPr>
      <w:sz w:val="20"/>
      <w:szCs w:val="20"/>
    </w:rPr>
  </w:style>
  <w:style w:type="character" w:customStyle="1" w:styleId="CommentTextChar">
    <w:name w:val="Comment Text Char"/>
    <w:link w:val="CommentText"/>
    <w:uiPriority w:val="99"/>
    <w:rsid w:val="00E27205"/>
    <w:rPr>
      <w:lang w:val="en-US" w:eastAsia="en-US"/>
    </w:rPr>
  </w:style>
  <w:style w:type="paragraph" w:styleId="CommentSubject">
    <w:name w:val="annotation subject"/>
    <w:basedOn w:val="CommentText"/>
    <w:next w:val="CommentText"/>
    <w:link w:val="CommentSubjectChar"/>
    <w:uiPriority w:val="99"/>
    <w:semiHidden/>
    <w:unhideWhenUsed/>
    <w:rsid w:val="00E27205"/>
    <w:rPr>
      <w:b/>
      <w:bCs/>
    </w:rPr>
  </w:style>
  <w:style w:type="character" w:customStyle="1" w:styleId="CommentSubjectChar">
    <w:name w:val="Comment Subject Char"/>
    <w:link w:val="CommentSubject"/>
    <w:uiPriority w:val="99"/>
    <w:semiHidden/>
    <w:rsid w:val="00E27205"/>
    <w:rPr>
      <w:b/>
      <w:bCs/>
      <w:lang w:val="en-US" w:eastAsia="en-US"/>
    </w:rPr>
  </w:style>
  <w:style w:type="paragraph" w:styleId="BalloonText">
    <w:name w:val="Balloon Text"/>
    <w:basedOn w:val="Normal"/>
    <w:link w:val="BalloonTextChar"/>
    <w:uiPriority w:val="99"/>
    <w:semiHidden/>
    <w:unhideWhenUsed/>
    <w:rsid w:val="00E27205"/>
    <w:rPr>
      <w:rFonts w:ascii="Tahoma" w:hAnsi="Tahoma"/>
      <w:sz w:val="16"/>
      <w:szCs w:val="16"/>
    </w:rPr>
  </w:style>
  <w:style w:type="character" w:customStyle="1" w:styleId="BalloonTextChar">
    <w:name w:val="Balloon Text Char"/>
    <w:link w:val="BalloonText"/>
    <w:uiPriority w:val="99"/>
    <w:semiHidden/>
    <w:rsid w:val="00E27205"/>
    <w:rPr>
      <w:rFonts w:ascii="Tahoma" w:hAnsi="Tahoma" w:cs="Tahoma"/>
      <w:sz w:val="16"/>
      <w:szCs w:val="16"/>
      <w:lang w:val="en-US" w:eastAsia="en-US"/>
    </w:rPr>
  </w:style>
  <w:style w:type="character" w:customStyle="1" w:styleId="Heading1Char">
    <w:name w:val="Heading 1 Char"/>
    <w:link w:val="Heading1"/>
    <w:rsid w:val="008B5AB0"/>
    <w:rPr>
      <w:rFonts w:ascii="Cambria" w:eastAsia="Times New Roman" w:hAnsi="Cambria"/>
      <w:b/>
      <w:bCs/>
      <w:color w:val="365F91"/>
      <w:sz w:val="28"/>
      <w:szCs w:val="28"/>
    </w:rPr>
  </w:style>
  <w:style w:type="paragraph" w:customStyle="1" w:styleId="normal0">
    <w:name w:val="normal"/>
    <w:rsid w:val="008B5AB0"/>
    <w:pPr>
      <w:spacing w:line="276" w:lineRule="auto"/>
    </w:pPr>
    <w:rPr>
      <w:rFonts w:ascii="Arial" w:eastAsia="Arial" w:hAnsi="Arial" w:cs="Arial"/>
      <w:sz w:val="22"/>
      <w:szCs w:val="22"/>
      <w:lang w:val="el-GR" w:eastAsia="el-GR"/>
    </w:rPr>
  </w:style>
  <w:style w:type="paragraph" w:styleId="NormalWeb">
    <w:name w:val="Normal (Web)"/>
    <w:basedOn w:val="Normal"/>
    <w:uiPriority w:val="99"/>
    <w:semiHidden/>
    <w:unhideWhenUsed/>
    <w:rsid w:val="00BC42F9"/>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r="http://schemas.openxmlformats.org/officeDocument/2006/relationships" xmlns:w="http://schemas.openxmlformats.org/wordprocessingml/2006/main">
  <w:divs>
    <w:div w:id="23021638">
      <w:bodyDiv w:val="1"/>
      <w:marLeft w:val="0"/>
      <w:marRight w:val="0"/>
      <w:marTop w:val="0"/>
      <w:marBottom w:val="0"/>
      <w:divBdr>
        <w:top w:val="none" w:sz="0" w:space="0" w:color="auto"/>
        <w:left w:val="none" w:sz="0" w:space="0" w:color="auto"/>
        <w:bottom w:val="none" w:sz="0" w:space="0" w:color="auto"/>
        <w:right w:val="none" w:sz="0" w:space="0" w:color="auto"/>
      </w:divBdr>
    </w:div>
    <w:div w:id="288366437">
      <w:bodyDiv w:val="1"/>
      <w:marLeft w:val="0"/>
      <w:marRight w:val="0"/>
      <w:marTop w:val="0"/>
      <w:marBottom w:val="0"/>
      <w:divBdr>
        <w:top w:val="none" w:sz="0" w:space="0" w:color="auto"/>
        <w:left w:val="none" w:sz="0" w:space="0" w:color="auto"/>
        <w:bottom w:val="none" w:sz="0" w:space="0" w:color="auto"/>
        <w:right w:val="none" w:sz="0" w:space="0" w:color="auto"/>
      </w:divBdr>
    </w:div>
    <w:div w:id="661398362">
      <w:bodyDiv w:val="1"/>
      <w:marLeft w:val="0"/>
      <w:marRight w:val="0"/>
      <w:marTop w:val="0"/>
      <w:marBottom w:val="0"/>
      <w:divBdr>
        <w:top w:val="none" w:sz="0" w:space="0" w:color="auto"/>
        <w:left w:val="none" w:sz="0" w:space="0" w:color="auto"/>
        <w:bottom w:val="none" w:sz="0" w:space="0" w:color="auto"/>
        <w:right w:val="none" w:sz="0" w:space="0" w:color="auto"/>
      </w:divBdr>
    </w:div>
    <w:div w:id="715011251">
      <w:bodyDiv w:val="1"/>
      <w:marLeft w:val="0"/>
      <w:marRight w:val="0"/>
      <w:marTop w:val="0"/>
      <w:marBottom w:val="0"/>
      <w:divBdr>
        <w:top w:val="none" w:sz="0" w:space="0" w:color="auto"/>
        <w:left w:val="none" w:sz="0" w:space="0" w:color="auto"/>
        <w:bottom w:val="none" w:sz="0" w:space="0" w:color="auto"/>
        <w:right w:val="none" w:sz="0" w:space="0" w:color="auto"/>
      </w:divBdr>
    </w:div>
    <w:div w:id="853033976">
      <w:bodyDiv w:val="1"/>
      <w:marLeft w:val="0"/>
      <w:marRight w:val="0"/>
      <w:marTop w:val="0"/>
      <w:marBottom w:val="0"/>
      <w:divBdr>
        <w:top w:val="none" w:sz="0" w:space="0" w:color="auto"/>
        <w:left w:val="none" w:sz="0" w:space="0" w:color="auto"/>
        <w:bottom w:val="none" w:sz="0" w:space="0" w:color="auto"/>
        <w:right w:val="none" w:sz="0" w:space="0" w:color="auto"/>
      </w:divBdr>
    </w:div>
    <w:div w:id="855651143">
      <w:bodyDiv w:val="1"/>
      <w:marLeft w:val="0"/>
      <w:marRight w:val="0"/>
      <w:marTop w:val="0"/>
      <w:marBottom w:val="0"/>
      <w:divBdr>
        <w:top w:val="none" w:sz="0" w:space="0" w:color="auto"/>
        <w:left w:val="none" w:sz="0" w:space="0" w:color="auto"/>
        <w:bottom w:val="none" w:sz="0" w:space="0" w:color="auto"/>
        <w:right w:val="none" w:sz="0" w:space="0" w:color="auto"/>
      </w:divBdr>
    </w:div>
    <w:div w:id="888616377">
      <w:bodyDiv w:val="1"/>
      <w:marLeft w:val="0"/>
      <w:marRight w:val="0"/>
      <w:marTop w:val="0"/>
      <w:marBottom w:val="0"/>
      <w:divBdr>
        <w:top w:val="none" w:sz="0" w:space="0" w:color="auto"/>
        <w:left w:val="none" w:sz="0" w:space="0" w:color="auto"/>
        <w:bottom w:val="none" w:sz="0" w:space="0" w:color="auto"/>
        <w:right w:val="none" w:sz="0" w:space="0" w:color="auto"/>
      </w:divBdr>
    </w:div>
    <w:div w:id="969626761">
      <w:bodyDiv w:val="1"/>
      <w:marLeft w:val="0"/>
      <w:marRight w:val="0"/>
      <w:marTop w:val="0"/>
      <w:marBottom w:val="0"/>
      <w:divBdr>
        <w:top w:val="none" w:sz="0" w:space="0" w:color="auto"/>
        <w:left w:val="none" w:sz="0" w:space="0" w:color="auto"/>
        <w:bottom w:val="none" w:sz="0" w:space="0" w:color="auto"/>
        <w:right w:val="none" w:sz="0" w:space="0" w:color="auto"/>
      </w:divBdr>
    </w:div>
    <w:div w:id="1058939461">
      <w:bodyDiv w:val="1"/>
      <w:marLeft w:val="0"/>
      <w:marRight w:val="0"/>
      <w:marTop w:val="0"/>
      <w:marBottom w:val="0"/>
      <w:divBdr>
        <w:top w:val="none" w:sz="0" w:space="0" w:color="auto"/>
        <w:left w:val="none" w:sz="0" w:space="0" w:color="auto"/>
        <w:bottom w:val="none" w:sz="0" w:space="0" w:color="auto"/>
        <w:right w:val="none" w:sz="0" w:space="0" w:color="auto"/>
      </w:divBdr>
    </w:div>
    <w:div w:id="1069309800">
      <w:bodyDiv w:val="1"/>
      <w:marLeft w:val="0"/>
      <w:marRight w:val="0"/>
      <w:marTop w:val="0"/>
      <w:marBottom w:val="0"/>
      <w:divBdr>
        <w:top w:val="none" w:sz="0" w:space="0" w:color="auto"/>
        <w:left w:val="none" w:sz="0" w:space="0" w:color="auto"/>
        <w:bottom w:val="none" w:sz="0" w:space="0" w:color="auto"/>
        <w:right w:val="none" w:sz="0" w:space="0" w:color="auto"/>
      </w:divBdr>
    </w:div>
    <w:div w:id="1086421676">
      <w:bodyDiv w:val="1"/>
      <w:marLeft w:val="0"/>
      <w:marRight w:val="0"/>
      <w:marTop w:val="0"/>
      <w:marBottom w:val="0"/>
      <w:divBdr>
        <w:top w:val="none" w:sz="0" w:space="0" w:color="auto"/>
        <w:left w:val="none" w:sz="0" w:space="0" w:color="auto"/>
        <w:bottom w:val="none" w:sz="0" w:space="0" w:color="auto"/>
        <w:right w:val="none" w:sz="0" w:space="0" w:color="auto"/>
      </w:divBdr>
    </w:div>
    <w:div w:id="1131093864">
      <w:bodyDiv w:val="1"/>
      <w:marLeft w:val="0"/>
      <w:marRight w:val="0"/>
      <w:marTop w:val="0"/>
      <w:marBottom w:val="0"/>
      <w:divBdr>
        <w:top w:val="none" w:sz="0" w:space="0" w:color="auto"/>
        <w:left w:val="none" w:sz="0" w:space="0" w:color="auto"/>
        <w:bottom w:val="none" w:sz="0" w:space="0" w:color="auto"/>
        <w:right w:val="none" w:sz="0" w:space="0" w:color="auto"/>
      </w:divBdr>
    </w:div>
    <w:div w:id="1367220161">
      <w:bodyDiv w:val="1"/>
      <w:marLeft w:val="0"/>
      <w:marRight w:val="0"/>
      <w:marTop w:val="0"/>
      <w:marBottom w:val="0"/>
      <w:divBdr>
        <w:top w:val="none" w:sz="0" w:space="0" w:color="auto"/>
        <w:left w:val="none" w:sz="0" w:space="0" w:color="auto"/>
        <w:bottom w:val="none" w:sz="0" w:space="0" w:color="auto"/>
        <w:right w:val="none" w:sz="0" w:space="0" w:color="auto"/>
      </w:divBdr>
    </w:div>
    <w:div w:id="1373118673">
      <w:bodyDiv w:val="1"/>
      <w:marLeft w:val="0"/>
      <w:marRight w:val="0"/>
      <w:marTop w:val="0"/>
      <w:marBottom w:val="0"/>
      <w:divBdr>
        <w:top w:val="none" w:sz="0" w:space="0" w:color="auto"/>
        <w:left w:val="none" w:sz="0" w:space="0" w:color="auto"/>
        <w:bottom w:val="none" w:sz="0" w:space="0" w:color="auto"/>
        <w:right w:val="none" w:sz="0" w:space="0" w:color="auto"/>
      </w:divBdr>
    </w:div>
    <w:div w:id="1653023140">
      <w:bodyDiv w:val="1"/>
      <w:marLeft w:val="0"/>
      <w:marRight w:val="0"/>
      <w:marTop w:val="0"/>
      <w:marBottom w:val="0"/>
      <w:divBdr>
        <w:top w:val="none" w:sz="0" w:space="0" w:color="auto"/>
        <w:left w:val="none" w:sz="0" w:space="0" w:color="auto"/>
        <w:bottom w:val="none" w:sz="0" w:space="0" w:color="auto"/>
        <w:right w:val="none" w:sz="0" w:space="0" w:color="auto"/>
      </w:divBdr>
    </w:div>
    <w:div w:id="1670256462">
      <w:bodyDiv w:val="1"/>
      <w:marLeft w:val="0"/>
      <w:marRight w:val="0"/>
      <w:marTop w:val="0"/>
      <w:marBottom w:val="0"/>
      <w:divBdr>
        <w:top w:val="none" w:sz="0" w:space="0" w:color="auto"/>
        <w:left w:val="none" w:sz="0" w:space="0" w:color="auto"/>
        <w:bottom w:val="none" w:sz="0" w:space="0" w:color="auto"/>
        <w:right w:val="none" w:sz="0" w:space="0" w:color="auto"/>
      </w:divBdr>
    </w:div>
    <w:div w:id="1772316096">
      <w:bodyDiv w:val="1"/>
      <w:marLeft w:val="0"/>
      <w:marRight w:val="0"/>
      <w:marTop w:val="0"/>
      <w:marBottom w:val="0"/>
      <w:divBdr>
        <w:top w:val="none" w:sz="0" w:space="0" w:color="auto"/>
        <w:left w:val="none" w:sz="0" w:space="0" w:color="auto"/>
        <w:bottom w:val="none" w:sz="0" w:space="0" w:color="auto"/>
        <w:right w:val="none" w:sz="0" w:space="0" w:color="auto"/>
      </w:divBdr>
    </w:div>
    <w:div w:id="1799571486">
      <w:bodyDiv w:val="1"/>
      <w:marLeft w:val="0"/>
      <w:marRight w:val="0"/>
      <w:marTop w:val="0"/>
      <w:marBottom w:val="0"/>
      <w:divBdr>
        <w:top w:val="none" w:sz="0" w:space="0" w:color="auto"/>
        <w:left w:val="none" w:sz="0" w:space="0" w:color="auto"/>
        <w:bottom w:val="none" w:sz="0" w:space="0" w:color="auto"/>
        <w:right w:val="none" w:sz="0" w:space="0" w:color="auto"/>
      </w:divBdr>
    </w:div>
    <w:div w:id="1812136572">
      <w:bodyDiv w:val="1"/>
      <w:marLeft w:val="0"/>
      <w:marRight w:val="0"/>
      <w:marTop w:val="0"/>
      <w:marBottom w:val="0"/>
      <w:divBdr>
        <w:top w:val="none" w:sz="0" w:space="0" w:color="auto"/>
        <w:left w:val="none" w:sz="0" w:space="0" w:color="auto"/>
        <w:bottom w:val="none" w:sz="0" w:space="0" w:color="auto"/>
        <w:right w:val="none" w:sz="0" w:space="0" w:color="auto"/>
      </w:divBdr>
    </w:div>
    <w:div w:id="1869637764">
      <w:bodyDiv w:val="1"/>
      <w:marLeft w:val="0"/>
      <w:marRight w:val="0"/>
      <w:marTop w:val="0"/>
      <w:marBottom w:val="0"/>
      <w:divBdr>
        <w:top w:val="none" w:sz="0" w:space="0" w:color="auto"/>
        <w:left w:val="none" w:sz="0" w:space="0" w:color="auto"/>
        <w:bottom w:val="none" w:sz="0" w:space="0" w:color="auto"/>
        <w:right w:val="none" w:sz="0" w:space="0" w:color="auto"/>
      </w:divBdr>
    </w:div>
    <w:div w:id="1949006186">
      <w:bodyDiv w:val="1"/>
      <w:marLeft w:val="0"/>
      <w:marRight w:val="0"/>
      <w:marTop w:val="0"/>
      <w:marBottom w:val="0"/>
      <w:divBdr>
        <w:top w:val="none" w:sz="0" w:space="0" w:color="auto"/>
        <w:left w:val="none" w:sz="0" w:space="0" w:color="auto"/>
        <w:bottom w:val="none" w:sz="0" w:space="0" w:color="auto"/>
        <w:right w:val="none" w:sz="0" w:space="0" w:color="auto"/>
      </w:divBdr>
    </w:div>
    <w:div w:id="1986472446">
      <w:bodyDiv w:val="1"/>
      <w:marLeft w:val="0"/>
      <w:marRight w:val="0"/>
      <w:marTop w:val="0"/>
      <w:marBottom w:val="0"/>
      <w:divBdr>
        <w:top w:val="none" w:sz="0" w:space="0" w:color="auto"/>
        <w:left w:val="none" w:sz="0" w:space="0" w:color="auto"/>
        <w:bottom w:val="none" w:sz="0" w:space="0" w:color="auto"/>
        <w:right w:val="none" w:sz="0" w:space="0" w:color="auto"/>
      </w:divBdr>
    </w:div>
    <w:div w:id="21152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kemeiede.edc.uoc.gr/the-cent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hilpapers.org/asearch.pl?pub=5202"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Σειρά 1</c:v>
                </c:pt>
              </c:strCache>
            </c:strRef>
          </c:tx>
          <c:dLbls>
            <c:txPr>
              <a:bodyPr/>
              <a:lstStyle/>
              <a:p>
                <a:pPr>
                  <a:defRPr sz="998" b="0" i="0" u="none" strike="noStrike" baseline="0">
                    <a:solidFill>
                      <a:srgbClr val="000000"/>
                    </a:solidFill>
                    <a:latin typeface="Calibri"/>
                    <a:ea typeface="Calibri"/>
                    <a:cs typeface="Calibri"/>
                  </a:defRPr>
                </a:pPr>
                <a:endParaRPr lang="en-US"/>
              </a:p>
            </c:txPr>
            <c:showVal val="1"/>
          </c:dLbls>
          <c:cat>
            <c:strRef>
              <c:f>Φύλλο1!$A$2:$A$6</c:f>
              <c:strCache>
                <c:ptCount val="5"/>
                <c:pt idx="0">
                  <c:v>Special didactics</c:v>
                </c:pt>
                <c:pt idx="1">
                  <c:v>General didactics</c:v>
                </c:pt>
                <c:pt idx="2">
                  <c:v>Intoductory knowledge</c:v>
                </c:pt>
                <c:pt idx="3">
                  <c:v>Literacy and training</c:v>
                </c:pt>
                <c:pt idx="4">
                  <c:v>Arbeitschule</c:v>
                </c:pt>
              </c:strCache>
            </c:strRef>
          </c:cat>
          <c:val>
            <c:numRef>
              <c:f>Φύλλο1!$B$2:$B$6</c:f>
              <c:numCache>
                <c:formatCode>General</c:formatCode>
                <c:ptCount val="5"/>
                <c:pt idx="0">
                  <c:v>28.2</c:v>
                </c:pt>
                <c:pt idx="1">
                  <c:v>26.1</c:v>
                </c:pt>
                <c:pt idx="2">
                  <c:v>18.7</c:v>
                </c:pt>
                <c:pt idx="3">
                  <c:v>14.1</c:v>
                </c:pt>
                <c:pt idx="4">
                  <c:v>12.9</c:v>
                </c:pt>
              </c:numCache>
            </c:numRef>
          </c:val>
        </c:ser>
        <c:shape val="cylinder"/>
        <c:axId val="128204800"/>
        <c:axId val="128206336"/>
        <c:axId val="0"/>
      </c:bar3DChart>
      <c:catAx>
        <c:axId val="128204800"/>
        <c:scaling>
          <c:orientation val="minMax"/>
        </c:scaling>
        <c:axPos val="b"/>
        <c:numFmt formatCode="General" sourceLinked="1"/>
        <c:tickLblPos val="nextTo"/>
        <c:txPr>
          <a:bodyPr rot="0" vert="horz"/>
          <a:lstStyle/>
          <a:p>
            <a:pPr>
              <a:defRPr sz="998" b="0" i="0" u="none" strike="noStrike" baseline="0">
                <a:solidFill>
                  <a:srgbClr val="000000"/>
                </a:solidFill>
                <a:latin typeface="Calibri"/>
                <a:ea typeface="Calibri"/>
                <a:cs typeface="Calibri"/>
              </a:defRPr>
            </a:pPr>
            <a:endParaRPr lang="en-US"/>
          </a:p>
        </c:txPr>
        <c:crossAx val="128206336"/>
        <c:crosses val="autoZero"/>
        <c:auto val="1"/>
        <c:lblAlgn val="ctr"/>
        <c:lblOffset val="100"/>
      </c:catAx>
      <c:valAx>
        <c:axId val="128206336"/>
        <c:scaling>
          <c:orientation val="minMax"/>
        </c:scaling>
        <c:axPos val="l"/>
        <c:majorGridlines/>
        <c:numFmt formatCode="General" sourceLinked="1"/>
        <c:tickLblPos val="nextTo"/>
        <c:txPr>
          <a:bodyPr rot="0" vert="horz"/>
          <a:lstStyle/>
          <a:p>
            <a:pPr>
              <a:defRPr sz="998" b="0" i="0" u="none" strike="noStrike" baseline="0">
                <a:solidFill>
                  <a:srgbClr val="000000"/>
                </a:solidFill>
                <a:latin typeface="Calibri"/>
                <a:ea typeface="Calibri"/>
                <a:cs typeface="Calibri"/>
              </a:defRPr>
            </a:pPr>
            <a:endParaRPr lang="en-US"/>
          </a:p>
        </c:txPr>
        <c:crossAx val="128204800"/>
        <c:crosses val="autoZero"/>
        <c:crossBetween val="between"/>
      </c:valAx>
      <c:spPr>
        <a:noFill/>
        <a:ln w="25339">
          <a:noFill/>
        </a:ln>
      </c:spPr>
    </c:plotArea>
    <c:plotVisOnly val="1"/>
    <c:dispBlanksAs val="gap"/>
  </c:chart>
  <c:txPr>
    <a:bodyPr/>
    <a:lstStyle/>
    <a:p>
      <a:pPr>
        <a:defRPr sz="998" b="0" i="0" u="none" strike="noStrike" baseline="0">
          <a:solidFill>
            <a:srgbClr val="000000"/>
          </a:solidFill>
          <a:latin typeface="Calibri"/>
          <a:ea typeface="Calibri"/>
          <a:cs typeface="Calibri"/>
        </a:defRPr>
      </a:pPr>
      <a:endParaRPr lang="en-US"/>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Physical Education, course 1964-1967</c:v>
                </c:pt>
              </c:strCache>
            </c:strRef>
          </c:tx>
          <c:dLbls>
            <c:spPr>
              <a:noFill/>
              <a:ln w="25380">
                <a:noFill/>
              </a:ln>
            </c:spPr>
            <c:txPr>
              <a:bodyPr/>
              <a:lstStyle/>
              <a:p>
                <a:pPr>
                  <a:defRPr sz="999" b="0" i="0" u="none" strike="noStrike" baseline="0">
                    <a:solidFill>
                      <a:srgbClr val="000000"/>
                    </a:solidFill>
                    <a:latin typeface="Calibri"/>
                    <a:ea typeface="Calibri"/>
                    <a:cs typeface="Calibri"/>
                  </a:defRPr>
                </a:pPr>
                <a:endParaRPr lang="en-US"/>
              </a:p>
            </c:txPr>
            <c:showVal val="1"/>
          </c:dLbls>
          <c:cat>
            <c:strRef>
              <c:f>Φύλλο1!$A$2:$A$7</c:f>
              <c:strCache>
                <c:ptCount val="6"/>
                <c:pt idx="0">
                  <c:v>Body</c:v>
                </c:pt>
                <c:pt idx="1">
                  <c:v>Bodily teaching technique</c:v>
                </c:pt>
                <c:pt idx="2">
                  <c:v>Physical education theory</c:v>
                </c:pt>
                <c:pt idx="3">
                  <c:v>Sports</c:v>
                </c:pt>
                <c:pt idx="4">
                  <c:v>Dance</c:v>
                </c:pt>
                <c:pt idx="5">
                  <c:v>Physical education History</c:v>
                </c:pt>
              </c:strCache>
            </c:strRef>
          </c:cat>
          <c:val>
            <c:numRef>
              <c:f>Φύλλο1!$B$2:$B$7</c:f>
              <c:numCache>
                <c:formatCode>General</c:formatCode>
                <c:ptCount val="6"/>
                <c:pt idx="0">
                  <c:v>35.200000000000003</c:v>
                </c:pt>
                <c:pt idx="1">
                  <c:v>23.5</c:v>
                </c:pt>
                <c:pt idx="2">
                  <c:v>15.7</c:v>
                </c:pt>
                <c:pt idx="3">
                  <c:v>7.8</c:v>
                </c:pt>
                <c:pt idx="4">
                  <c:v>5.9</c:v>
                </c:pt>
                <c:pt idx="5">
                  <c:v>3.9</c:v>
                </c:pt>
              </c:numCache>
            </c:numRef>
          </c:val>
        </c:ser>
        <c:shape val="cylinder"/>
        <c:axId val="129538688"/>
        <c:axId val="129540480"/>
        <c:axId val="0"/>
      </c:bar3DChart>
      <c:catAx>
        <c:axId val="129538688"/>
        <c:scaling>
          <c:orientation val="minMax"/>
        </c:scaling>
        <c:axPos val="b"/>
        <c:numFmt formatCode="General" sourceLinked="1"/>
        <c:tickLblPos val="nextTo"/>
        <c:txPr>
          <a:bodyPr rot="0" vert="horz"/>
          <a:lstStyle/>
          <a:p>
            <a:pPr>
              <a:defRPr sz="999" b="0" i="0" u="none" strike="noStrike" baseline="0">
                <a:solidFill>
                  <a:srgbClr val="000000"/>
                </a:solidFill>
                <a:latin typeface="Calibri"/>
                <a:ea typeface="Calibri"/>
                <a:cs typeface="Calibri"/>
              </a:defRPr>
            </a:pPr>
            <a:endParaRPr lang="en-US"/>
          </a:p>
        </c:txPr>
        <c:crossAx val="129540480"/>
        <c:crosses val="autoZero"/>
        <c:auto val="1"/>
        <c:lblAlgn val="ctr"/>
        <c:lblOffset val="100"/>
      </c:catAx>
      <c:valAx>
        <c:axId val="129540480"/>
        <c:scaling>
          <c:orientation val="minMax"/>
        </c:scaling>
        <c:axPos val="l"/>
        <c:majorGridlines/>
        <c:numFmt formatCode="General" sourceLinked="1"/>
        <c:tickLblPos val="nextTo"/>
        <c:txPr>
          <a:bodyPr rot="0" vert="horz"/>
          <a:lstStyle/>
          <a:p>
            <a:pPr>
              <a:defRPr sz="999" b="0" i="0" u="none" strike="noStrike" baseline="0">
                <a:solidFill>
                  <a:srgbClr val="000000"/>
                </a:solidFill>
                <a:latin typeface="Calibri"/>
                <a:ea typeface="Calibri"/>
                <a:cs typeface="Calibri"/>
              </a:defRPr>
            </a:pPr>
            <a:endParaRPr lang="en-US"/>
          </a:p>
        </c:txPr>
        <c:crossAx val="129538688"/>
        <c:crosses val="autoZero"/>
        <c:crossBetween val="between"/>
      </c:valAx>
      <c:spPr>
        <a:noFill/>
        <a:ln w="25380">
          <a:noFill/>
        </a:ln>
      </c:spPr>
    </c:plotArea>
    <c:plotVisOnly val="1"/>
    <c:dispBlanksAs val="gap"/>
  </c:chart>
  <c:txPr>
    <a:bodyPr/>
    <a:lstStyle/>
    <a:p>
      <a:pPr>
        <a:defRPr sz="999" b="0" i="0" u="none" strike="noStrike" baseline="0">
          <a:solidFill>
            <a:srgbClr val="000000"/>
          </a:solidFill>
          <a:latin typeface="Calibri"/>
          <a:ea typeface="Calibri"/>
          <a:cs typeface="Calibri"/>
        </a:defRPr>
      </a:pPr>
      <a:endParaRPr lang="en-US"/>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Gymnastics, Hygiene, Scouting</c:v>
                </c:pt>
              </c:strCache>
            </c:strRef>
          </c:tx>
          <c:dLbls>
            <c:spPr>
              <a:noFill/>
              <a:ln w="25407">
                <a:noFill/>
              </a:ln>
            </c:spPr>
            <c:txPr>
              <a:bodyPr/>
              <a:lstStyle/>
              <a:p>
                <a:pPr>
                  <a:defRPr lang="en-US"/>
                </a:pPr>
                <a:endParaRPr lang="en-US"/>
              </a:p>
            </c:txPr>
            <c:showVal val="1"/>
          </c:dLbls>
          <c:cat>
            <c:strRef>
              <c:f>Φύλλο1!$A$2:$A$6</c:f>
              <c:strCache>
                <c:ptCount val="5"/>
                <c:pt idx="0">
                  <c:v>Scouting</c:v>
                </c:pt>
                <c:pt idx="1">
                  <c:v>Hygiene</c:v>
                </c:pt>
                <c:pt idx="2">
                  <c:v>Gymnastics</c:v>
                </c:pt>
                <c:pt idx="3">
                  <c:v>Gymnastics for children</c:v>
                </c:pt>
                <c:pt idx="4">
                  <c:v>Military training</c:v>
                </c:pt>
              </c:strCache>
            </c:strRef>
          </c:cat>
          <c:val>
            <c:numRef>
              <c:f>Φύλλο1!$B$2:$B$6</c:f>
              <c:numCache>
                <c:formatCode>General</c:formatCode>
                <c:ptCount val="5"/>
                <c:pt idx="0">
                  <c:v>45.7</c:v>
                </c:pt>
                <c:pt idx="1">
                  <c:v>28.7</c:v>
                </c:pt>
                <c:pt idx="2">
                  <c:v>7.4</c:v>
                </c:pt>
                <c:pt idx="3">
                  <c:v>7.4</c:v>
                </c:pt>
                <c:pt idx="4">
                  <c:v>3.2</c:v>
                </c:pt>
              </c:numCache>
            </c:numRef>
          </c:val>
        </c:ser>
        <c:shape val="cylinder"/>
        <c:axId val="129040384"/>
        <c:axId val="129041920"/>
        <c:axId val="0"/>
      </c:bar3DChart>
      <c:catAx>
        <c:axId val="129040384"/>
        <c:scaling>
          <c:orientation val="minMax"/>
        </c:scaling>
        <c:axPos val="b"/>
        <c:numFmt formatCode="General" sourceLinked="1"/>
        <c:tickLblPos val="nextTo"/>
        <c:txPr>
          <a:bodyPr/>
          <a:lstStyle/>
          <a:p>
            <a:pPr>
              <a:defRPr lang="en-US"/>
            </a:pPr>
            <a:endParaRPr lang="en-US"/>
          </a:p>
        </c:txPr>
        <c:crossAx val="129041920"/>
        <c:crosses val="autoZero"/>
        <c:auto val="1"/>
        <c:lblAlgn val="ctr"/>
        <c:lblOffset val="100"/>
      </c:catAx>
      <c:valAx>
        <c:axId val="129041920"/>
        <c:scaling>
          <c:orientation val="minMax"/>
        </c:scaling>
        <c:axPos val="l"/>
        <c:majorGridlines/>
        <c:numFmt formatCode="General" sourceLinked="1"/>
        <c:tickLblPos val="nextTo"/>
        <c:txPr>
          <a:bodyPr/>
          <a:lstStyle/>
          <a:p>
            <a:pPr>
              <a:defRPr lang="en-US"/>
            </a:pPr>
            <a:endParaRPr lang="en-US"/>
          </a:p>
        </c:txPr>
        <c:crossAx val="129040384"/>
        <c:crosses val="autoZero"/>
        <c:crossBetween val="between"/>
      </c:valAx>
      <c:spPr>
        <a:noFill/>
        <a:ln w="25407">
          <a:noFill/>
        </a:ln>
      </c:spPr>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Στήλη1</c:v>
                </c:pt>
              </c:strCache>
            </c:strRef>
          </c:tx>
          <c:dLbls>
            <c:spPr>
              <a:noFill/>
              <a:ln w="25405">
                <a:noFill/>
              </a:ln>
            </c:spPr>
            <c:txPr>
              <a:bodyPr/>
              <a:lstStyle/>
              <a:p>
                <a:pPr>
                  <a:defRPr sz="1000" b="0" i="0" u="none" strike="noStrike" baseline="0">
                    <a:solidFill>
                      <a:srgbClr val="000000"/>
                    </a:solidFill>
                    <a:latin typeface="Calibri"/>
                    <a:ea typeface="Calibri"/>
                    <a:cs typeface="Calibri"/>
                  </a:defRPr>
                </a:pPr>
                <a:endParaRPr lang="en-US"/>
              </a:p>
            </c:txPr>
            <c:showVal val="1"/>
          </c:dLbls>
          <c:cat>
            <c:strRef>
              <c:f>Φύλλο1!$A$2:$A$6</c:f>
              <c:strCache>
                <c:ptCount val="5"/>
                <c:pt idx="0">
                  <c:v>Discipline</c:v>
                </c:pt>
                <c:pt idx="1">
                  <c:v>Herbart</c:v>
                </c:pt>
                <c:pt idx="2">
                  <c:v>Arbeitschule </c:v>
                </c:pt>
                <c:pt idx="3">
                  <c:v>Aspects of Religion</c:v>
                </c:pt>
                <c:pt idx="4">
                  <c:v>Ideals</c:v>
                </c:pt>
              </c:strCache>
            </c:strRef>
          </c:cat>
          <c:val>
            <c:numRef>
              <c:f>Φύλλο1!$B$2:$B$6</c:f>
              <c:numCache>
                <c:formatCode>General</c:formatCode>
                <c:ptCount val="5"/>
                <c:pt idx="0">
                  <c:v>25</c:v>
                </c:pt>
                <c:pt idx="1">
                  <c:v>20</c:v>
                </c:pt>
                <c:pt idx="2">
                  <c:v>20</c:v>
                </c:pt>
                <c:pt idx="3">
                  <c:v>20</c:v>
                </c:pt>
                <c:pt idx="4">
                  <c:v>15</c:v>
                </c:pt>
              </c:numCache>
            </c:numRef>
          </c:val>
        </c:ser>
        <c:shape val="cylinder"/>
        <c:axId val="126747776"/>
        <c:axId val="126749312"/>
        <c:axId val="0"/>
      </c:bar3DChart>
      <c:catAx>
        <c:axId val="12674777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6749312"/>
        <c:crosses val="autoZero"/>
        <c:auto val="1"/>
        <c:lblAlgn val="ctr"/>
        <c:lblOffset val="100"/>
      </c:catAx>
      <c:valAx>
        <c:axId val="126749312"/>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6747776"/>
        <c:crosses val="autoZero"/>
        <c:crossBetween val="between"/>
      </c:valAx>
      <c:spPr>
        <a:noFill/>
        <a:ln w="25405">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Στήλη1</c:v>
                </c:pt>
              </c:strCache>
            </c:strRef>
          </c:tx>
          <c:dLbls>
            <c:spPr>
              <a:noFill/>
              <a:ln w="25387">
                <a:noFill/>
              </a:ln>
            </c:spPr>
            <c:txPr>
              <a:bodyPr/>
              <a:lstStyle/>
              <a:p>
                <a:pPr>
                  <a:defRPr sz="999" b="0" i="0" u="none" strike="noStrike" baseline="0">
                    <a:solidFill>
                      <a:srgbClr val="000000"/>
                    </a:solidFill>
                    <a:latin typeface="Calibri"/>
                    <a:ea typeface="Calibri"/>
                    <a:cs typeface="Calibri"/>
                  </a:defRPr>
                </a:pPr>
                <a:endParaRPr lang="en-US"/>
              </a:p>
            </c:txPr>
            <c:showVal val="1"/>
          </c:dLbls>
          <c:cat>
            <c:strRef>
              <c:f>Φύλλο1!$A$2:$A$4</c:f>
              <c:strCache>
                <c:ptCount val="3"/>
                <c:pt idx="0">
                  <c:v>Decroly method</c:v>
                </c:pt>
                <c:pt idx="1">
                  <c:v>Individual Interest</c:v>
                </c:pt>
                <c:pt idx="2">
                  <c:v>Time Schedules</c:v>
                </c:pt>
              </c:strCache>
            </c:strRef>
          </c:cat>
          <c:val>
            <c:numRef>
              <c:f>Φύλλο1!$B$2:$B$4</c:f>
              <c:numCache>
                <c:formatCode>General</c:formatCode>
                <c:ptCount val="3"/>
                <c:pt idx="0">
                  <c:v>4.3</c:v>
                </c:pt>
                <c:pt idx="1">
                  <c:v>25</c:v>
                </c:pt>
                <c:pt idx="2">
                  <c:v>25</c:v>
                </c:pt>
              </c:numCache>
            </c:numRef>
          </c:val>
        </c:ser>
        <c:shape val="cylinder"/>
        <c:axId val="126806272"/>
        <c:axId val="126808064"/>
        <c:axId val="0"/>
      </c:bar3DChart>
      <c:catAx>
        <c:axId val="126806272"/>
        <c:scaling>
          <c:orientation val="minMax"/>
        </c:scaling>
        <c:axPos val="b"/>
        <c:numFmt formatCode="General" sourceLinked="1"/>
        <c:tickLblPos val="nextTo"/>
        <c:txPr>
          <a:bodyPr rot="0" vert="horz"/>
          <a:lstStyle/>
          <a:p>
            <a:pPr>
              <a:defRPr sz="999" b="0" i="0" u="none" strike="noStrike" baseline="0">
                <a:solidFill>
                  <a:srgbClr val="000000"/>
                </a:solidFill>
                <a:latin typeface="Calibri"/>
                <a:ea typeface="Calibri"/>
                <a:cs typeface="Calibri"/>
              </a:defRPr>
            </a:pPr>
            <a:endParaRPr lang="en-US"/>
          </a:p>
        </c:txPr>
        <c:crossAx val="126808064"/>
        <c:crosses val="autoZero"/>
        <c:auto val="1"/>
        <c:lblAlgn val="ctr"/>
        <c:lblOffset val="100"/>
      </c:catAx>
      <c:valAx>
        <c:axId val="126808064"/>
        <c:scaling>
          <c:orientation val="minMax"/>
        </c:scaling>
        <c:axPos val="l"/>
        <c:majorGridlines/>
        <c:numFmt formatCode="General" sourceLinked="1"/>
        <c:tickLblPos val="nextTo"/>
        <c:txPr>
          <a:bodyPr rot="0" vert="horz"/>
          <a:lstStyle/>
          <a:p>
            <a:pPr>
              <a:defRPr sz="999" b="0" i="0" u="none" strike="noStrike" baseline="0">
                <a:solidFill>
                  <a:srgbClr val="000000"/>
                </a:solidFill>
                <a:latin typeface="Calibri"/>
                <a:ea typeface="Calibri"/>
                <a:cs typeface="Calibri"/>
              </a:defRPr>
            </a:pPr>
            <a:endParaRPr lang="en-US"/>
          </a:p>
        </c:txPr>
        <c:crossAx val="126806272"/>
        <c:crosses val="autoZero"/>
        <c:crossBetween val="between"/>
      </c:valAx>
      <c:spPr>
        <a:noFill/>
        <a:ln w="25387">
          <a:noFill/>
        </a:ln>
      </c:spPr>
    </c:plotArea>
    <c:plotVisOnly val="1"/>
    <c:dispBlanksAs val="gap"/>
  </c:chart>
  <c:txPr>
    <a:bodyPr/>
    <a:lstStyle/>
    <a:p>
      <a:pPr>
        <a:defRPr sz="999" b="0" i="0" u="none" strike="noStrike" baseline="0">
          <a:solidFill>
            <a:srgbClr val="000000"/>
          </a:solidFill>
          <a:latin typeface="Calibri"/>
          <a:ea typeface="Calibri"/>
          <a:cs typeface="Calibri"/>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Στήλη1</c:v>
                </c:pt>
              </c:strCache>
            </c:strRef>
          </c:tx>
          <c:dLbls>
            <c:spPr>
              <a:noFill/>
              <a:ln w="25387">
                <a:noFill/>
              </a:ln>
            </c:spPr>
            <c:txPr>
              <a:bodyPr/>
              <a:lstStyle/>
              <a:p>
                <a:pPr>
                  <a:defRPr sz="999" b="0" i="0" u="none" strike="noStrike" baseline="0">
                    <a:solidFill>
                      <a:srgbClr val="000000"/>
                    </a:solidFill>
                    <a:latin typeface="Calibri"/>
                    <a:ea typeface="Calibri"/>
                    <a:cs typeface="Calibri"/>
                  </a:defRPr>
                </a:pPr>
                <a:endParaRPr lang="en-US"/>
              </a:p>
            </c:txPr>
            <c:showVal val="1"/>
          </c:dLbls>
          <c:cat>
            <c:strRef>
              <c:f>Φύλλο1!$A$2:$A$7</c:f>
              <c:strCache>
                <c:ptCount val="6"/>
                <c:pt idx="0">
                  <c:v>Audiovisual</c:v>
                </c:pt>
                <c:pt idx="1">
                  <c:v>Reading/Writing</c:v>
                </c:pt>
                <c:pt idx="2">
                  <c:v>Types of teaching</c:v>
                </c:pt>
                <c:pt idx="3">
                  <c:v>Teaching methods</c:v>
                </c:pt>
                <c:pt idx="4">
                  <c:v>Curriculum</c:v>
                </c:pt>
                <c:pt idx="5">
                  <c:v>Three stages teaching</c:v>
                </c:pt>
              </c:strCache>
            </c:strRef>
          </c:cat>
          <c:val>
            <c:numRef>
              <c:f>Φύλλο1!$B$2:$B$7</c:f>
              <c:numCache>
                <c:formatCode>General</c:formatCode>
                <c:ptCount val="6"/>
                <c:pt idx="0">
                  <c:v>36.800000000000004</c:v>
                </c:pt>
                <c:pt idx="1">
                  <c:v>21.1</c:v>
                </c:pt>
                <c:pt idx="2">
                  <c:v>10.5</c:v>
                </c:pt>
                <c:pt idx="3">
                  <c:v>10.5</c:v>
                </c:pt>
                <c:pt idx="4">
                  <c:v>10.5</c:v>
                </c:pt>
                <c:pt idx="5">
                  <c:v>10.5</c:v>
                </c:pt>
              </c:numCache>
            </c:numRef>
          </c:val>
        </c:ser>
        <c:shape val="cylinder"/>
        <c:axId val="128204160"/>
        <c:axId val="126862464"/>
        <c:axId val="0"/>
      </c:bar3DChart>
      <c:catAx>
        <c:axId val="128204160"/>
        <c:scaling>
          <c:orientation val="minMax"/>
        </c:scaling>
        <c:axPos val="b"/>
        <c:numFmt formatCode="General" sourceLinked="1"/>
        <c:tickLblPos val="nextTo"/>
        <c:txPr>
          <a:bodyPr rot="-2700000" vert="horz"/>
          <a:lstStyle/>
          <a:p>
            <a:pPr>
              <a:defRPr sz="999" b="0" i="0" u="none" strike="noStrike" baseline="0">
                <a:solidFill>
                  <a:srgbClr val="000000"/>
                </a:solidFill>
                <a:latin typeface="Calibri"/>
                <a:ea typeface="Calibri"/>
                <a:cs typeface="Calibri"/>
              </a:defRPr>
            </a:pPr>
            <a:endParaRPr lang="en-US"/>
          </a:p>
        </c:txPr>
        <c:crossAx val="126862464"/>
        <c:crosses val="autoZero"/>
        <c:auto val="1"/>
        <c:lblAlgn val="ctr"/>
        <c:lblOffset val="100"/>
      </c:catAx>
      <c:valAx>
        <c:axId val="126862464"/>
        <c:scaling>
          <c:orientation val="minMax"/>
        </c:scaling>
        <c:axPos val="l"/>
        <c:majorGridlines/>
        <c:numFmt formatCode="General" sourceLinked="1"/>
        <c:tickLblPos val="nextTo"/>
        <c:txPr>
          <a:bodyPr rot="0" vert="horz"/>
          <a:lstStyle/>
          <a:p>
            <a:pPr>
              <a:defRPr sz="999" b="0" i="0" u="none" strike="noStrike" baseline="0">
                <a:solidFill>
                  <a:srgbClr val="000000"/>
                </a:solidFill>
                <a:latin typeface="Calibri"/>
                <a:ea typeface="Calibri"/>
                <a:cs typeface="Calibri"/>
              </a:defRPr>
            </a:pPr>
            <a:endParaRPr lang="en-US"/>
          </a:p>
        </c:txPr>
        <c:crossAx val="128204160"/>
        <c:crosses val="autoZero"/>
        <c:crossBetween val="between"/>
      </c:valAx>
      <c:spPr>
        <a:noFill/>
        <a:ln w="25387">
          <a:noFill/>
        </a:ln>
      </c:spPr>
    </c:plotArea>
    <c:plotVisOnly val="1"/>
    <c:dispBlanksAs val="gap"/>
  </c:chart>
  <c:txPr>
    <a:bodyPr/>
    <a:lstStyle/>
    <a:p>
      <a:pPr>
        <a:defRPr sz="999" b="0" i="0" u="none" strike="noStrike" baseline="0">
          <a:solidFill>
            <a:srgbClr val="000000"/>
          </a:solidFill>
          <a:latin typeface="Calibri"/>
          <a:ea typeface="Calibri"/>
          <a:cs typeface="Calibri"/>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manualLayout>
          <c:layoutTarget val="inner"/>
          <c:xMode val="edge"/>
          <c:yMode val="edge"/>
          <c:x val="0.15511551155115524"/>
          <c:y val="0.21966527196652721"/>
          <c:w val="0.64246424642464262"/>
          <c:h val="0.26987447698744893"/>
        </c:manualLayout>
      </c:layout>
      <c:bar3DChart>
        <c:barDir val="col"/>
        <c:grouping val="clustered"/>
        <c:ser>
          <c:idx val="0"/>
          <c:order val="0"/>
          <c:tx>
            <c:strRef>
              <c:f>Φύλλο1!$B$1</c:f>
              <c:strCache>
                <c:ptCount val="1"/>
                <c:pt idx="0">
                  <c:v>General Teaching, B, 1964-1967</c:v>
                </c:pt>
              </c:strCache>
            </c:strRef>
          </c:tx>
          <c:dLbls>
            <c:spPr>
              <a:noFill/>
              <a:ln w="25405">
                <a:noFill/>
              </a:ln>
            </c:spPr>
            <c:txPr>
              <a:bodyPr/>
              <a:lstStyle/>
              <a:p>
                <a:pPr>
                  <a:defRPr sz="1000" b="0" i="0" u="none" strike="noStrike" baseline="0">
                    <a:solidFill>
                      <a:srgbClr val="000000"/>
                    </a:solidFill>
                    <a:latin typeface="Calibri"/>
                    <a:ea typeface="Calibri"/>
                    <a:cs typeface="Calibri"/>
                  </a:defRPr>
                </a:pPr>
                <a:endParaRPr lang="en-US"/>
              </a:p>
            </c:txPr>
            <c:showVal val="1"/>
          </c:dLbls>
          <c:cat>
            <c:strRef>
              <c:f>Φύλλο1!$A$2:$A$7</c:f>
              <c:strCache>
                <c:ptCount val="6"/>
                <c:pt idx="0">
                  <c:v>Audiovisual</c:v>
                </c:pt>
                <c:pt idx="1">
                  <c:v>Reading/Writing</c:v>
                </c:pt>
                <c:pt idx="2">
                  <c:v>Schedule</c:v>
                </c:pt>
                <c:pt idx="3">
                  <c:v>Teaching methods</c:v>
                </c:pt>
                <c:pt idx="4">
                  <c:v>Types of teaching</c:v>
                </c:pt>
                <c:pt idx="5">
                  <c:v>Three  stages teaching</c:v>
                </c:pt>
              </c:strCache>
            </c:strRef>
          </c:cat>
          <c:val>
            <c:numRef>
              <c:f>Φύλλο1!$B$2:$B$7</c:f>
              <c:numCache>
                <c:formatCode>General</c:formatCode>
                <c:ptCount val="6"/>
                <c:pt idx="0">
                  <c:v>36.800000000000004</c:v>
                </c:pt>
                <c:pt idx="1">
                  <c:v>21.1</c:v>
                </c:pt>
                <c:pt idx="2">
                  <c:v>10.5</c:v>
                </c:pt>
                <c:pt idx="3">
                  <c:v>10.5</c:v>
                </c:pt>
                <c:pt idx="4">
                  <c:v>10.5</c:v>
                </c:pt>
                <c:pt idx="5">
                  <c:v>10.5</c:v>
                </c:pt>
              </c:numCache>
            </c:numRef>
          </c:val>
        </c:ser>
        <c:shape val="cylinder"/>
        <c:axId val="128869120"/>
        <c:axId val="128870656"/>
        <c:axId val="0"/>
      </c:bar3DChart>
      <c:catAx>
        <c:axId val="128869120"/>
        <c:scaling>
          <c:orientation val="minMax"/>
        </c:scaling>
        <c:axPos val="b"/>
        <c:numFmt formatCode="General" sourceLinked="1"/>
        <c:tickLblPos val="nextTo"/>
        <c:txPr>
          <a:bodyPr rot="-2700000" vert="horz"/>
          <a:lstStyle/>
          <a:p>
            <a:pPr>
              <a:defRPr sz="1000" b="0" i="0" u="none" strike="noStrike" baseline="0">
                <a:solidFill>
                  <a:srgbClr val="000000"/>
                </a:solidFill>
                <a:latin typeface="Calibri"/>
                <a:ea typeface="Calibri"/>
                <a:cs typeface="Calibri"/>
              </a:defRPr>
            </a:pPr>
            <a:endParaRPr lang="en-US"/>
          </a:p>
        </c:txPr>
        <c:crossAx val="128870656"/>
        <c:crosses val="autoZero"/>
        <c:auto val="1"/>
        <c:lblAlgn val="ctr"/>
        <c:lblOffset val="100"/>
      </c:catAx>
      <c:valAx>
        <c:axId val="128870656"/>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8869120"/>
        <c:crosses val="autoZero"/>
        <c:crossBetween val="between"/>
      </c:valAx>
      <c:spPr>
        <a:noFill/>
        <a:ln w="25405">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Psychology, library 1964-1967</c:v>
                </c:pt>
              </c:strCache>
            </c:strRef>
          </c:tx>
          <c:dLbls>
            <c:spPr>
              <a:noFill/>
              <a:ln w="25387">
                <a:noFill/>
              </a:ln>
            </c:spPr>
            <c:txPr>
              <a:bodyPr/>
              <a:lstStyle/>
              <a:p>
                <a:pPr>
                  <a:defRPr lang="en-US"/>
                </a:pPr>
                <a:endParaRPr lang="en-US"/>
              </a:p>
            </c:txPr>
            <c:showVal val="1"/>
          </c:dLbls>
          <c:cat>
            <c:strRef>
              <c:f>Φύλλο1!$A$2:$A$9</c:f>
              <c:strCache>
                <c:ptCount val="8"/>
                <c:pt idx="0">
                  <c:v>Vocational guidance</c:v>
                </c:pt>
                <c:pt idx="1">
                  <c:v>Child psychology</c:v>
                </c:pt>
                <c:pt idx="2">
                  <c:v>Psychoanalysis-Freud</c:v>
                </c:pt>
                <c:pt idx="3">
                  <c:v>Evolutionary psychology</c:v>
                </c:pt>
                <c:pt idx="4">
                  <c:v>Individual Differences psych.</c:v>
                </c:pt>
                <c:pt idx="5">
                  <c:v>General psychology</c:v>
                </c:pt>
                <c:pt idx="6">
                  <c:v>Analytical psychology</c:v>
                </c:pt>
                <c:pt idx="7">
                  <c:v>Psychology of the individual</c:v>
                </c:pt>
              </c:strCache>
            </c:strRef>
          </c:cat>
          <c:val>
            <c:numRef>
              <c:f>Φύλλο1!$B$2:$B$9</c:f>
              <c:numCache>
                <c:formatCode>General</c:formatCode>
                <c:ptCount val="8"/>
                <c:pt idx="0">
                  <c:v>26.4</c:v>
                </c:pt>
                <c:pt idx="1">
                  <c:v>14.7</c:v>
                </c:pt>
                <c:pt idx="2">
                  <c:v>14</c:v>
                </c:pt>
                <c:pt idx="3">
                  <c:v>13.2</c:v>
                </c:pt>
                <c:pt idx="4">
                  <c:v>13.2</c:v>
                </c:pt>
                <c:pt idx="5">
                  <c:v>7.8</c:v>
                </c:pt>
                <c:pt idx="6">
                  <c:v>7</c:v>
                </c:pt>
                <c:pt idx="7">
                  <c:v>3.9</c:v>
                </c:pt>
              </c:numCache>
            </c:numRef>
          </c:val>
        </c:ser>
        <c:shape val="cylinder"/>
        <c:axId val="126830464"/>
        <c:axId val="126832000"/>
        <c:axId val="0"/>
      </c:bar3DChart>
      <c:catAx>
        <c:axId val="126830464"/>
        <c:scaling>
          <c:orientation val="minMax"/>
        </c:scaling>
        <c:axPos val="b"/>
        <c:numFmt formatCode="General" sourceLinked="1"/>
        <c:tickLblPos val="nextTo"/>
        <c:txPr>
          <a:bodyPr/>
          <a:lstStyle/>
          <a:p>
            <a:pPr>
              <a:defRPr lang="en-US"/>
            </a:pPr>
            <a:endParaRPr lang="en-US"/>
          </a:p>
        </c:txPr>
        <c:crossAx val="126832000"/>
        <c:crosses val="autoZero"/>
        <c:auto val="1"/>
        <c:lblAlgn val="ctr"/>
        <c:lblOffset val="100"/>
      </c:catAx>
      <c:valAx>
        <c:axId val="126832000"/>
        <c:scaling>
          <c:orientation val="minMax"/>
        </c:scaling>
        <c:axPos val="l"/>
        <c:majorGridlines/>
        <c:numFmt formatCode="General" sourceLinked="1"/>
        <c:tickLblPos val="nextTo"/>
        <c:txPr>
          <a:bodyPr/>
          <a:lstStyle/>
          <a:p>
            <a:pPr>
              <a:defRPr lang="en-US"/>
            </a:pPr>
            <a:endParaRPr lang="en-US"/>
          </a:p>
        </c:txPr>
        <c:crossAx val="126830464"/>
        <c:crosses val="autoZero"/>
        <c:crossBetween val="between"/>
      </c:valAx>
      <c:spPr>
        <a:noFill/>
        <a:ln w="25387">
          <a:noFill/>
        </a:ln>
      </c:spPr>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History, library 1964-1967</c:v>
                </c:pt>
              </c:strCache>
            </c:strRef>
          </c:tx>
          <c:dLbls>
            <c:spPr>
              <a:noFill/>
              <a:ln w="25380">
                <a:noFill/>
              </a:ln>
            </c:spPr>
            <c:txPr>
              <a:bodyPr/>
              <a:lstStyle/>
              <a:p>
                <a:pPr>
                  <a:defRPr sz="999" b="0" i="0" u="none" strike="noStrike" baseline="0">
                    <a:solidFill>
                      <a:srgbClr val="000000"/>
                    </a:solidFill>
                    <a:latin typeface="Calibri"/>
                    <a:ea typeface="Calibri"/>
                    <a:cs typeface="Calibri"/>
                  </a:defRPr>
                </a:pPr>
                <a:endParaRPr lang="en-US"/>
              </a:p>
            </c:txPr>
            <c:showVal val="1"/>
          </c:dLbls>
          <c:cat>
            <c:strRef>
              <c:f>Φύλλο1!$A$2:$A$6</c:f>
              <c:strCache>
                <c:ptCount val="5"/>
                <c:pt idx="0">
                  <c:v>Macedonia</c:v>
                </c:pt>
                <c:pt idx="1">
                  <c:v>Crete</c:v>
                </c:pt>
                <c:pt idx="2">
                  <c:v>Cretan chronicles</c:v>
                </c:pt>
                <c:pt idx="3">
                  <c:v>Greek revolution</c:v>
                </c:pt>
                <c:pt idx="4">
                  <c:v>Folklore</c:v>
                </c:pt>
              </c:strCache>
            </c:strRef>
          </c:cat>
          <c:val>
            <c:numRef>
              <c:f>Φύλλο1!$B$2:$B$6</c:f>
              <c:numCache>
                <c:formatCode>General</c:formatCode>
                <c:ptCount val="5"/>
                <c:pt idx="0">
                  <c:v>24.9</c:v>
                </c:pt>
                <c:pt idx="1">
                  <c:v>34.700000000000003</c:v>
                </c:pt>
                <c:pt idx="2">
                  <c:v>18.2</c:v>
                </c:pt>
                <c:pt idx="3">
                  <c:v>11.1</c:v>
                </c:pt>
                <c:pt idx="4">
                  <c:v>11.1</c:v>
                </c:pt>
              </c:numCache>
            </c:numRef>
          </c:val>
        </c:ser>
        <c:shape val="cylinder"/>
        <c:axId val="129149952"/>
        <c:axId val="129049344"/>
        <c:axId val="0"/>
      </c:bar3DChart>
      <c:catAx>
        <c:axId val="129149952"/>
        <c:scaling>
          <c:orientation val="minMax"/>
        </c:scaling>
        <c:axPos val="b"/>
        <c:numFmt formatCode="General" sourceLinked="1"/>
        <c:tickLblPos val="nextTo"/>
        <c:txPr>
          <a:bodyPr rot="0" vert="horz"/>
          <a:lstStyle/>
          <a:p>
            <a:pPr>
              <a:defRPr sz="999" b="0" i="0" u="none" strike="noStrike" baseline="0">
                <a:solidFill>
                  <a:srgbClr val="000000"/>
                </a:solidFill>
                <a:latin typeface="Calibri"/>
                <a:ea typeface="Calibri"/>
                <a:cs typeface="Calibri"/>
              </a:defRPr>
            </a:pPr>
            <a:endParaRPr lang="en-US"/>
          </a:p>
        </c:txPr>
        <c:crossAx val="129049344"/>
        <c:crosses val="autoZero"/>
        <c:auto val="1"/>
        <c:lblAlgn val="ctr"/>
        <c:lblOffset val="100"/>
      </c:catAx>
      <c:valAx>
        <c:axId val="129049344"/>
        <c:scaling>
          <c:orientation val="minMax"/>
        </c:scaling>
        <c:axPos val="l"/>
        <c:majorGridlines/>
        <c:numFmt formatCode="General" sourceLinked="1"/>
        <c:tickLblPos val="nextTo"/>
        <c:txPr>
          <a:bodyPr rot="0" vert="horz"/>
          <a:lstStyle/>
          <a:p>
            <a:pPr>
              <a:defRPr sz="999" b="0" i="0" u="none" strike="noStrike" baseline="0">
                <a:solidFill>
                  <a:srgbClr val="000000"/>
                </a:solidFill>
                <a:latin typeface="Calibri"/>
                <a:ea typeface="Calibri"/>
                <a:cs typeface="Calibri"/>
              </a:defRPr>
            </a:pPr>
            <a:endParaRPr lang="en-US"/>
          </a:p>
        </c:txPr>
        <c:crossAx val="129149952"/>
        <c:crosses val="autoZero"/>
        <c:crossBetween val="between"/>
      </c:valAx>
      <c:spPr>
        <a:noFill/>
        <a:ln w="25380">
          <a:noFill/>
        </a:ln>
      </c:spPr>
    </c:plotArea>
    <c:plotVisOnly val="1"/>
    <c:dispBlanksAs val="gap"/>
  </c:chart>
  <c:txPr>
    <a:bodyPr/>
    <a:lstStyle/>
    <a:p>
      <a:pPr>
        <a:defRPr sz="999" b="0" i="0" u="none" strike="noStrike" baseline="0">
          <a:solidFill>
            <a:srgbClr val="000000"/>
          </a:solidFill>
          <a:latin typeface="Calibri"/>
          <a:ea typeface="Calibri"/>
          <a:cs typeface="Calibri"/>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History, course, 1964-1967</c:v>
                </c:pt>
              </c:strCache>
            </c:strRef>
          </c:tx>
          <c:dLbls>
            <c:spPr>
              <a:noFill/>
              <a:ln w="25380">
                <a:noFill/>
              </a:ln>
            </c:spPr>
            <c:txPr>
              <a:bodyPr/>
              <a:lstStyle/>
              <a:p>
                <a:pPr>
                  <a:defRPr sz="999" b="0" i="0" u="none" strike="noStrike" baseline="0">
                    <a:solidFill>
                      <a:srgbClr val="000000"/>
                    </a:solidFill>
                    <a:latin typeface="Calibri"/>
                    <a:ea typeface="Calibri"/>
                    <a:cs typeface="Calibri"/>
                  </a:defRPr>
                </a:pPr>
                <a:endParaRPr lang="en-US"/>
              </a:p>
            </c:txPr>
            <c:showVal val="1"/>
          </c:dLbls>
          <c:cat>
            <c:strRef>
              <c:f>Φύλλο1!$A$2:$A$4</c:f>
              <c:strCache>
                <c:ptCount val="3"/>
                <c:pt idx="0">
                  <c:v>Hellenistic period</c:v>
                </c:pt>
                <c:pt idx="1">
                  <c:v>Persian wars</c:v>
                </c:pt>
                <c:pt idx="2">
                  <c:v>Prehistoric times</c:v>
                </c:pt>
              </c:strCache>
            </c:strRef>
          </c:cat>
          <c:val>
            <c:numRef>
              <c:f>Φύλλο1!$B$2:$B$4</c:f>
              <c:numCache>
                <c:formatCode>General</c:formatCode>
                <c:ptCount val="3"/>
                <c:pt idx="0">
                  <c:v>46.2</c:v>
                </c:pt>
                <c:pt idx="1">
                  <c:v>38.5</c:v>
                </c:pt>
                <c:pt idx="2">
                  <c:v>15.4</c:v>
                </c:pt>
              </c:numCache>
            </c:numRef>
          </c:val>
        </c:ser>
        <c:shape val="cylinder"/>
        <c:axId val="129073536"/>
        <c:axId val="129075072"/>
        <c:axId val="0"/>
      </c:bar3DChart>
      <c:catAx>
        <c:axId val="129073536"/>
        <c:scaling>
          <c:orientation val="minMax"/>
        </c:scaling>
        <c:axPos val="b"/>
        <c:numFmt formatCode="General" sourceLinked="1"/>
        <c:tickLblPos val="nextTo"/>
        <c:txPr>
          <a:bodyPr rot="0" vert="horz"/>
          <a:lstStyle/>
          <a:p>
            <a:pPr>
              <a:defRPr sz="999" b="0" i="0" u="none" strike="noStrike" baseline="0">
                <a:solidFill>
                  <a:srgbClr val="000000"/>
                </a:solidFill>
                <a:latin typeface="Calibri"/>
                <a:ea typeface="Calibri"/>
                <a:cs typeface="Calibri"/>
              </a:defRPr>
            </a:pPr>
            <a:endParaRPr lang="en-US"/>
          </a:p>
        </c:txPr>
        <c:crossAx val="129075072"/>
        <c:crosses val="autoZero"/>
        <c:auto val="1"/>
        <c:lblAlgn val="ctr"/>
        <c:lblOffset val="100"/>
      </c:catAx>
      <c:valAx>
        <c:axId val="129075072"/>
        <c:scaling>
          <c:orientation val="minMax"/>
        </c:scaling>
        <c:axPos val="l"/>
        <c:majorGridlines/>
        <c:numFmt formatCode="General" sourceLinked="1"/>
        <c:tickLblPos val="nextTo"/>
        <c:txPr>
          <a:bodyPr rot="0" vert="horz"/>
          <a:lstStyle/>
          <a:p>
            <a:pPr>
              <a:defRPr sz="999" b="0" i="0" u="none" strike="noStrike" baseline="0">
                <a:solidFill>
                  <a:srgbClr val="000000"/>
                </a:solidFill>
                <a:latin typeface="Calibri"/>
                <a:ea typeface="Calibri"/>
                <a:cs typeface="Calibri"/>
              </a:defRPr>
            </a:pPr>
            <a:endParaRPr lang="en-US"/>
          </a:p>
        </c:txPr>
        <c:crossAx val="129073536"/>
        <c:crosses val="autoZero"/>
        <c:crossBetween val="between"/>
      </c:valAx>
      <c:spPr>
        <a:noFill/>
        <a:ln w="25380">
          <a:noFill/>
        </a:ln>
      </c:spPr>
    </c:plotArea>
    <c:plotVisOnly val="1"/>
    <c:dispBlanksAs val="gap"/>
  </c:chart>
  <c:txPr>
    <a:bodyPr/>
    <a:lstStyle/>
    <a:p>
      <a:pPr>
        <a:defRPr sz="999" b="0" i="0" u="none" strike="noStrike" baseline="0">
          <a:solidFill>
            <a:srgbClr val="000000"/>
          </a:solidFill>
          <a:latin typeface="Calibri"/>
          <a:ea typeface="Calibri"/>
          <a:cs typeface="Calibri"/>
        </a:defRPr>
      </a:pPr>
      <a:endParaRPr lang="en-US"/>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depthPercent val="100"/>
      <c:rAngAx val="1"/>
    </c:view3D>
    <c:plotArea>
      <c:layout/>
      <c:bar3DChart>
        <c:barDir val="col"/>
        <c:grouping val="clustered"/>
        <c:ser>
          <c:idx val="0"/>
          <c:order val="0"/>
          <c:tx>
            <c:strRef>
              <c:f>Φύλλο1!$B$1</c:f>
              <c:strCache>
                <c:ptCount val="1"/>
                <c:pt idx="0">
                  <c:v>Formal Scienes, Agriculture, library 1964-1967</c:v>
                </c:pt>
              </c:strCache>
            </c:strRef>
          </c:tx>
          <c:dLbls>
            <c:spPr>
              <a:noFill/>
              <a:ln w="25358">
                <a:noFill/>
              </a:ln>
            </c:spPr>
            <c:txPr>
              <a:bodyPr/>
              <a:lstStyle/>
              <a:p>
                <a:pPr>
                  <a:defRPr sz="998" b="0" i="0" u="none" strike="noStrike" baseline="0">
                    <a:solidFill>
                      <a:srgbClr val="000000"/>
                    </a:solidFill>
                    <a:latin typeface="Calibri"/>
                    <a:ea typeface="Calibri"/>
                    <a:cs typeface="Calibri"/>
                  </a:defRPr>
                </a:pPr>
                <a:endParaRPr lang="en-US"/>
              </a:p>
            </c:txPr>
            <c:showVal val="1"/>
          </c:dLbls>
          <c:cat>
            <c:strRef>
              <c:f>Φύλλο1!$A$2:$A$4</c:f>
              <c:strCache>
                <c:ptCount val="3"/>
                <c:pt idx="0">
                  <c:v>Agriculture</c:v>
                </c:pt>
                <c:pt idx="1">
                  <c:v>Geography</c:v>
                </c:pt>
                <c:pt idx="2">
                  <c:v> Sciences</c:v>
                </c:pt>
              </c:strCache>
            </c:strRef>
          </c:cat>
          <c:val>
            <c:numRef>
              <c:f>Φύλλο1!$B$2:$B$4</c:f>
              <c:numCache>
                <c:formatCode>General</c:formatCode>
                <c:ptCount val="3"/>
                <c:pt idx="0">
                  <c:v>65.3</c:v>
                </c:pt>
                <c:pt idx="1">
                  <c:v>21.2</c:v>
                </c:pt>
                <c:pt idx="2">
                  <c:v>13.6</c:v>
                </c:pt>
              </c:numCache>
            </c:numRef>
          </c:val>
        </c:ser>
        <c:shape val="cylinder"/>
        <c:axId val="128951808"/>
        <c:axId val="128953344"/>
        <c:axId val="0"/>
      </c:bar3DChart>
      <c:catAx>
        <c:axId val="128951808"/>
        <c:scaling>
          <c:orientation val="minMax"/>
        </c:scaling>
        <c:axPos val="b"/>
        <c:numFmt formatCode="General" sourceLinked="1"/>
        <c:tickLblPos val="nextTo"/>
        <c:txPr>
          <a:bodyPr rot="0" vert="horz"/>
          <a:lstStyle/>
          <a:p>
            <a:pPr>
              <a:defRPr sz="998" b="0" i="0" u="none" strike="noStrike" baseline="0">
                <a:solidFill>
                  <a:srgbClr val="000000"/>
                </a:solidFill>
                <a:latin typeface="Calibri"/>
                <a:ea typeface="Calibri"/>
                <a:cs typeface="Calibri"/>
              </a:defRPr>
            </a:pPr>
            <a:endParaRPr lang="en-US"/>
          </a:p>
        </c:txPr>
        <c:crossAx val="128953344"/>
        <c:crosses val="autoZero"/>
        <c:auto val="1"/>
        <c:lblAlgn val="ctr"/>
        <c:lblOffset val="100"/>
      </c:catAx>
      <c:valAx>
        <c:axId val="128953344"/>
        <c:scaling>
          <c:orientation val="minMax"/>
        </c:scaling>
        <c:axPos val="l"/>
        <c:majorGridlines/>
        <c:numFmt formatCode="General" sourceLinked="1"/>
        <c:tickLblPos val="nextTo"/>
        <c:txPr>
          <a:bodyPr rot="0" vert="horz"/>
          <a:lstStyle/>
          <a:p>
            <a:pPr>
              <a:defRPr sz="998" b="0" i="0" u="none" strike="noStrike" baseline="0">
                <a:solidFill>
                  <a:srgbClr val="000000"/>
                </a:solidFill>
                <a:latin typeface="Calibri"/>
                <a:ea typeface="Calibri"/>
                <a:cs typeface="Calibri"/>
              </a:defRPr>
            </a:pPr>
            <a:endParaRPr lang="en-US"/>
          </a:p>
        </c:txPr>
        <c:crossAx val="128951808"/>
        <c:crosses val="autoZero"/>
        <c:crossBetween val="between"/>
      </c:valAx>
      <c:spPr>
        <a:noFill/>
        <a:ln w="25358">
          <a:noFill/>
        </a:ln>
      </c:spPr>
    </c:plotArea>
    <c:plotVisOnly val="1"/>
    <c:dispBlanksAs val="gap"/>
  </c:chart>
  <c:txPr>
    <a:bodyPr/>
    <a:lstStyle/>
    <a:p>
      <a:pPr>
        <a:defRPr sz="998" b="0" i="0" u="none" strike="noStrike" baseline="0">
          <a:solidFill>
            <a:srgbClr val="000000"/>
          </a:solidFill>
          <a:latin typeface="Calibri"/>
          <a:ea typeface="Calibri"/>
          <a:cs typeface="Calibri"/>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D4433-0636-44E6-A205-A16B39F8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5946</Words>
  <Characters>33894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39761</CharactersWithSpaces>
  <SharedDoc>false</SharedDoc>
  <HLinks>
    <vt:vector size="12" baseType="variant">
      <vt:variant>
        <vt:i4>7864434</vt:i4>
      </vt:variant>
      <vt:variant>
        <vt:i4>33</vt:i4>
      </vt:variant>
      <vt:variant>
        <vt:i4>0</vt:i4>
      </vt:variant>
      <vt:variant>
        <vt:i4>5</vt:i4>
      </vt:variant>
      <vt:variant>
        <vt:lpwstr>https://kemeiede.edc.uoc.gr/the-centre</vt:lpwstr>
      </vt:variant>
      <vt:variant>
        <vt:lpwstr/>
      </vt:variant>
      <vt:variant>
        <vt:i4>7536764</vt:i4>
      </vt:variant>
      <vt:variant>
        <vt:i4>0</vt:i4>
      </vt:variant>
      <vt:variant>
        <vt:i4>0</vt:i4>
      </vt:variant>
      <vt:variant>
        <vt:i4>5</vt:i4>
      </vt:variant>
      <vt:variant>
        <vt:lpwstr>https://philpapers.org/asearch.pl?pub=5202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2025-04-19T22:44:00Z</dcterms:created>
  <dcterms:modified xsi:type="dcterms:W3CDTF">2025-04-19T22:44:00Z</dcterms:modified>
</cp:coreProperties>
</file>