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095D" w14:textId="77777777" w:rsidR="00141BF1" w:rsidRDefault="00141BF1">
      <w:pPr>
        <w:pStyle w:val="BodyText"/>
        <w:rPr>
          <w:rFonts w:ascii="Times New Roman"/>
          <w:sz w:val="36"/>
        </w:rPr>
      </w:pPr>
    </w:p>
    <w:p w14:paraId="1276F41A" w14:textId="77777777" w:rsidR="00141BF1" w:rsidRDefault="00141BF1">
      <w:pPr>
        <w:pStyle w:val="BodyText"/>
        <w:spacing w:before="48"/>
        <w:rPr>
          <w:rFonts w:ascii="Times New Roman"/>
          <w:sz w:val="36"/>
        </w:rPr>
      </w:pPr>
    </w:p>
    <w:p w14:paraId="471CBB34" w14:textId="77777777" w:rsidR="00141BF1" w:rsidRDefault="00141BF1">
      <w:pPr>
        <w:pStyle w:val="BodyText"/>
        <w:spacing w:before="236"/>
        <w:rPr>
          <w:sz w:val="36"/>
        </w:rPr>
      </w:pPr>
    </w:p>
    <w:p w14:paraId="34469D06" w14:textId="77777777" w:rsidR="00141BF1" w:rsidRDefault="0011027C">
      <w:pPr>
        <w:pStyle w:val="Title"/>
      </w:pPr>
      <w:proofErr w:type="spellStart"/>
      <w:r>
        <w:rPr>
          <w:color w:val="205768"/>
        </w:rPr>
        <w:t>Unrecognised</w:t>
      </w:r>
      <w:proofErr w:type="spellEnd"/>
      <w:r>
        <w:rPr>
          <w:color w:val="205768"/>
          <w:spacing w:val="-5"/>
        </w:rPr>
        <w:t xml:space="preserve"> </w:t>
      </w:r>
      <w:r>
        <w:rPr>
          <w:color w:val="205768"/>
        </w:rPr>
        <w:t>Inflammatory</w:t>
      </w:r>
      <w:r>
        <w:rPr>
          <w:color w:val="205768"/>
          <w:spacing w:val="-12"/>
        </w:rPr>
        <w:t xml:space="preserve"> </w:t>
      </w:r>
      <w:r>
        <w:rPr>
          <w:color w:val="205768"/>
        </w:rPr>
        <w:t>Arthritis</w:t>
      </w:r>
      <w:r>
        <w:rPr>
          <w:color w:val="205768"/>
          <w:spacing w:val="-6"/>
        </w:rPr>
        <w:t xml:space="preserve"> </w:t>
      </w:r>
      <w:r>
        <w:rPr>
          <w:color w:val="205768"/>
        </w:rPr>
        <w:t>with</w:t>
      </w:r>
      <w:r>
        <w:rPr>
          <w:color w:val="205768"/>
          <w:spacing w:val="-7"/>
        </w:rPr>
        <w:t xml:space="preserve"> </w:t>
      </w:r>
      <w:r>
        <w:rPr>
          <w:color w:val="205768"/>
        </w:rPr>
        <w:t>Joint</w:t>
      </w:r>
      <w:r>
        <w:rPr>
          <w:color w:val="205768"/>
          <w:spacing w:val="-5"/>
        </w:rPr>
        <w:t xml:space="preserve"> </w:t>
      </w:r>
      <w:r>
        <w:rPr>
          <w:color w:val="205768"/>
          <w:spacing w:val="-2"/>
        </w:rPr>
        <w:t>Destruction</w:t>
      </w:r>
    </w:p>
    <w:p w14:paraId="1768C337" w14:textId="77777777" w:rsidR="00141BF1" w:rsidRDefault="0011027C">
      <w:pPr>
        <w:pStyle w:val="BodyText"/>
        <w:spacing w:before="9"/>
        <w:rPr>
          <w:sz w:val="10"/>
        </w:rPr>
      </w:pPr>
      <w:r>
        <w:rPr>
          <w:noProof/>
          <w:sz w:val="10"/>
        </w:rPr>
        <mc:AlternateContent>
          <mc:Choice Requires="wpg">
            <w:drawing>
              <wp:anchor distT="0" distB="0" distL="0" distR="0" simplePos="0" relativeHeight="487587840" behindDoc="1" locked="0" layoutInCell="1" allowOverlap="1" wp14:anchorId="46EDA5D7" wp14:editId="26000F89">
                <wp:simplePos x="0" y="0"/>
                <wp:positionH relativeFrom="page">
                  <wp:posOffset>530352</wp:posOffset>
                </wp:positionH>
                <wp:positionV relativeFrom="paragraph">
                  <wp:posOffset>93726</wp:posOffset>
                </wp:positionV>
                <wp:extent cx="6702678" cy="3280410"/>
                <wp:effectExtent l="0" t="0" r="22225" b="1524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2678" cy="3280410"/>
                          <a:chOff x="-9144" y="0"/>
                          <a:chExt cx="6702678" cy="3280410"/>
                        </a:xfrm>
                      </wpg:grpSpPr>
                      <wps:wsp>
                        <wps:cNvPr id="4" name="Graphic 4"/>
                        <wps:cNvSpPr/>
                        <wps:spPr>
                          <a:xfrm>
                            <a:off x="3175" y="3175"/>
                            <a:ext cx="6690359" cy="3274060"/>
                          </a:xfrm>
                          <a:custGeom>
                            <a:avLst/>
                            <a:gdLst/>
                            <a:ahLst/>
                            <a:cxnLst/>
                            <a:rect l="l" t="t" r="r" b="b"/>
                            <a:pathLst>
                              <a:path w="6690359" h="3274060">
                                <a:moveTo>
                                  <a:pt x="6617461" y="0"/>
                                </a:moveTo>
                                <a:lnTo>
                                  <a:pt x="72301" y="0"/>
                                </a:lnTo>
                                <a:lnTo>
                                  <a:pt x="30708" y="507"/>
                                </a:lnTo>
                                <a:lnTo>
                                  <a:pt x="8953" y="7619"/>
                                </a:lnTo>
                                <a:lnTo>
                                  <a:pt x="1282" y="26288"/>
                                </a:lnTo>
                                <a:lnTo>
                                  <a:pt x="0" y="61849"/>
                                </a:lnTo>
                                <a:lnTo>
                                  <a:pt x="0" y="3211702"/>
                                </a:lnTo>
                                <a:lnTo>
                                  <a:pt x="1282" y="3247262"/>
                                </a:lnTo>
                                <a:lnTo>
                                  <a:pt x="8953" y="3265804"/>
                                </a:lnTo>
                                <a:lnTo>
                                  <a:pt x="30708" y="3272916"/>
                                </a:lnTo>
                                <a:lnTo>
                                  <a:pt x="72301" y="3273551"/>
                                </a:lnTo>
                                <a:lnTo>
                                  <a:pt x="6617461" y="3273551"/>
                                </a:lnTo>
                                <a:lnTo>
                                  <a:pt x="6659626" y="3272916"/>
                                </a:lnTo>
                                <a:lnTo>
                                  <a:pt x="6680708" y="3265804"/>
                                </a:lnTo>
                                <a:lnTo>
                                  <a:pt x="6689089" y="3247262"/>
                                </a:lnTo>
                                <a:lnTo>
                                  <a:pt x="6690359" y="3211702"/>
                                </a:lnTo>
                                <a:lnTo>
                                  <a:pt x="6690359" y="61849"/>
                                </a:lnTo>
                                <a:lnTo>
                                  <a:pt x="6689089" y="26288"/>
                                </a:lnTo>
                                <a:lnTo>
                                  <a:pt x="6680708" y="7619"/>
                                </a:lnTo>
                                <a:lnTo>
                                  <a:pt x="6659626" y="507"/>
                                </a:lnTo>
                                <a:lnTo>
                                  <a:pt x="6617461" y="0"/>
                                </a:lnTo>
                                <a:close/>
                              </a:path>
                            </a:pathLst>
                          </a:custGeom>
                          <a:solidFill>
                            <a:srgbClr val="E0F4FC"/>
                          </a:solidFill>
                        </wps:spPr>
                        <wps:bodyPr wrap="square" lIns="0" tIns="0" rIns="0" bIns="0" rtlCol="0">
                          <a:prstTxWarp prst="textNoShape">
                            <a:avLst/>
                          </a:prstTxWarp>
                          <a:noAutofit/>
                        </wps:bodyPr>
                      </wps:wsp>
                      <wps:wsp>
                        <wps:cNvPr id="5" name="Graphic 5"/>
                        <wps:cNvSpPr/>
                        <wps:spPr>
                          <a:xfrm>
                            <a:off x="3175" y="3175"/>
                            <a:ext cx="6690359" cy="3274060"/>
                          </a:xfrm>
                          <a:custGeom>
                            <a:avLst/>
                            <a:gdLst/>
                            <a:ahLst/>
                            <a:cxnLst/>
                            <a:rect l="l" t="t" r="r" b="b"/>
                            <a:pathLst>
                              <a:path w="6690359" h="3274060">
                                <a:moveTo>
                                  <a:pt x="72301" y="0"/>
                                </a:moveTo>
                                <a:lnTo>
                                  <a:pt x="30708" y="507"/>
                                </a:lnTo>
                                <a:lnTo>
                                  <a:pt x="8953" y="7619"/>
                                </a:lnTo>
                                <a:lnTo>
                                  <a:pt x="1282" y="26288"/>
                                </a:lnTo>
                                <a:lnTo>
                                  <a:pt x="0" y="61849"/>
                                </a:lnTo>
                                <a:lnTo>
                                  <a:pt x="0" y="3211702"/>
                                </a:lnTo>
                                <a:lnTo>
                                  <a:pt x="1282" y="3247262"/>
                                </a:lnTo>
                                <a:lnTo>
                                  <a:pt x="8953" y="3265804"/>
                                </a:lnTo>
                                <a:lnTo>
                                  <a:pt x="30708" y="3272916"/>
                                </a:lnTo>
                                <a:lnTo>
                                  <a:pt x="72301" y="3273551"/>
                                </a:lnTo>
                                <a:lnTo>
                                  <a:pt x="6617461" y="3273551"/>
                                </a:lnTo>
                                <a:lnTo>
                                  <a:pt x="6659626" y="3272916"/>
                                </a:lnTo>
                                <a:lnTo>
                                  <a:pt x="6680708" y="3265804"/>
                                </a:lnTo>
                                <a:lnTo>
                                  <a:pt x="6689089" y="3247262"/>
                                </a:lnTo>
                                <a:lnTo>
                                  <a:pt x="6690359" y="3211702"/>
                                </a:lnTo>
                                <a:lnTo>
                                  <a:pt x="6690359" y="61849"/>
                                </a:lnTo>
                                <a:lnTo>
                                  <a:pt x="6689089" y="26288"/>
                                </a:lnTo>
                                <a:lnTo>
                                  <a:pt x="6680708" y="7619"/>
                                </a:lnTo>
                                <a:lnTo>
                                  <a:pt x="6659626" y="507"/>
                                </a:lnTo>
                                <a:lnTo>
                                  <a:pt x="6617461" y="0"/>
                                </a:lnTo>
                                <a:lnTo>
                                  <a:pt x="72301" y="0"/>
                                </a:lnTo>
                                <a:close/>
                              </a:path>
                            </a:pathLst>
                          </a:custGeom>
                          <a:ln w="6350">
                            <a:solidFill>
                              <a:srgbClr val="221F1F"/>
                            </a:solidFill>
                            <a:prstDash val="solid"/>
                          </a:ln>
                        </wps:spPr>
                        <wps:bodyPr wrap="square" lIns="0" tIns="0" rIns="0" bIns="0" rtlCol="0">
                          <a:prstTxWarp prst="textNoShape">
                            <a:avLst/>
                          </a:prstTxWarp>
                          <a:noAutofit/>
                        </wps:bodyPr>
                      </wps:wsp>
                      <wps:wsp>
                        <wps:cNvPr id="6" name="Textbox 6"/>
                        <wps:cNvSpPr txBox="1"/>
                        <wps:spPr>
                          <a:xfrm>
                            <a:off x="-9144" y="0"/>
                            <a:ext cx="6696709" cy="3280410"/>
                          </a:xfrm>
                          <a:prstGeom prst="rect">
                            <a:avLst/>
                          </a:prstGeom>
                        </wps:spPr>
                        <wps:txbx>
                          <w:txbxContent>
                            <w:p w14:paraId="000FBBFD" w14:textId="77777777" w:rsidR="00141BF1" w:rsidRDefault="0011027C" w:rsidP="003A2FEF">
                              <w:pPr>
                                <w:spacing w:before="203"/>
                                <w:ind w:left="450"/>
                                <w:rPr>
                                  <w:b/>
                                  <w:color w:val="C0504D"/>
                                  <w:spacing w:val="-2"/>
                                  <w:sz w:val="24"/>
                                </w:rPr>
                              </w:pPr>
                              <w:r>
                                <w:rPr>
                                  <w:b/>
                                  <w:color w:val="C0504D"/>
                                  <w:spacing w:val="-2"/>
                                  <w:sz w:val="24"/>
                                </w:rPr>
                                <w:t>Abstract</w:t>
                              </w:r>
                            </w:p>
                            <w:p w14:paraId="76AB96DF" w14:textId="77777777" w:rsidR="00391323" w:rsidRPr="00A63F46" w:rsidRDefault="003A2FEF" w:rsidP="00D95BED">
                              <w:pPr>
                                <w:ind w:left="450"/>
                              </w:pPr>
                              <w:r>
                                <w:t>Rheumatoid arthritis i</w:t>
                              </w:r>
                              <w:r w:rsidRPr="003A2FEF">
                                <w:t>s a systemic inflammatory syndrome with autoimmune features with a predominant expression in peripheral synovial joints. </w:t>
                              </w:r>
                              <w:r w:rsidR="002F70D4">
                                <w:t xml:space="preserve"> </w:t>
                              </w:r>
                              <w:r w:rsidR="00083C99">
                                <w:t xml:space="preserve">A clinical evaluation remains the cornerstone for evaluating early arthritis; determining whether arthritis is present or not, differentiating between the inflammatory or non-inflammatory disease, and deciding on the </w:t>
                              </w:r>
                              <w:proofErr w:type="spellStart"/>
                              <w:r w:rsidR="00083C99">
                                <w:t>aetiology</w:t>
                              </w:r>
                              <w:proofErr w:type="spellEnd"/>
                              <w:r w:rsidR="00083C99">
                                <w:t xml:space="preserve"> of the arthropathy. </w:t>
                              </w:r>
                              <w:r w:rsidR="00D95BED">
                                <w:t xml:space="preserve"> Rheuma</w:t>
                              </w:r>
                              <w:r w:rsidR="0011027C">
                                <w:t xml:space="preserve">toid factor (RF) and </w:t>
                              </w:r>
                              <w:r w:rsidR="00D95BED">
                                <w:t xml:space="preserve">antibodies to citrullinated peptide (ACPA) have been detected in patients with RA years before the onset of symptoms- evidence that the disease process begins in the preclinical phase, before the onset of symptoms. </w:t>
                              </w:r>
                              <w:r w:rsidR="00DE3934">
                                <w:t xml:space="preserve">This study presents </w:t>
                              </w:r>
                              <w:r w:rsidR="00A63F46" w:rsidRPr="00A63F46">
                                <w:t>a case of the aggressive rheumatoid arthritis of wrist joints misdiagnosed as infectious arthritis, which has led to the total joint destruc</w:t>
                              </w:r>
                              <w:r w:rsidR="002F70D4">
                                <w:t>tion within a period of 3 years.</w:t>
                              </w:r>
                            </w:p>
                            <w:p w14:paraId="2FC7F189" w14:textId="77777777" w:rsidR="00A63F46" w:rsidRPr="003A2FEF" w:rsidRDefault="00A63F46" w:rsidP="003A2FEF">
                              <w:pPr>
                                <w:ind w:left="450"/>
                              </w:pPr>
                            </w:p>
                            <w:p w14:paraId="2489D416" w14:textId="77777777" w:rsidR="003A2FEF" w:rsidRDefault="003A2FEF" w:rsidP="003A2FEF">
                              <w:pPr>
                                <w:spacing w:before="203"/>
                                <w:ind w:left="450"/>
                                <w:rPr>
                                  <w:b/>
                                  <w:sz w:val="24"/>
                                </w:rPr>
                              </w:pPr>
                            </w:p>
                            <w:p w14:paraId="569A1620" w14:textId="77777777" w:rsidR="00141BF1" w:rsidRDefault="0011027C" w:rsidP="003A2FEF">
                              <w:pPr>
                                <w:spacing w:before="69"/>
                                <w:ind w:left="450"/>
                                <w:jc w:val="both"/>
                                <w:rPr>
                                  <w:sz w:val="20"/>
                                </w:rPr>
                              </w:pPr>
                              <w:r>
                                <w:rPr>
                                  <w:b/>
                                  <w:color w:val="C0504D"/>
                                  <w:sz w:val="24"/>
                                </w:rPr>
                                <w:t>Keywords:</w:t>
                              </w:r>
                              <w:r>
                                <w:rPr>
                                  <w:b/>
                                  <w:color w:val="C0504D"/>
                                  <w:spacing w:val="-14"/>
                                  <w:sz w:val="24"/>
                                </w:rPr>
                                <w:t xml:space="preserve"> </w:t>
                              </w:r>
                              <w:r>
                                <w:rPr>
                                  <w:sz w:val="20"/>
                                </w:rPr>
                                <w:t>Rheumatoid</w:t>
                              </w:r>
                              <w:r>
                                <w:rPr>
                                  <w:spacing w:val="-11"/>
                                  <w:sz w:val="20"/>
                                </w:rPr>
                                <w:t xml:space="preserve"> </w:t>
                              </w:r>
                              <w:r>
                                <w:rPr>
                                  <w:sz w:val="20"/>
                                </w:rPr>
                                <w:t>Arthritis;</w:t>
                              </w:r>
                              <w:r>
                                <w:rPr>
                                  <w:spacing w:val="-10"/>
                                  <w:sz w:val="20"/>
                                </w:rPr>
                                <w:t xml:space="preserve"> </w:t>
                              </w:r>
                              <w:r>
                                <w:rPr>
                                  <w:sz w:val="20"/>
                                </w:rPr>
                                <w:t>Infectious</w:t>
                              </w:r>
                              <w:r>
                                <w:rPr>
                                  <w:spacing w:val="-10"/>
                                  <w:sz w:val="20"/>
                                </w:rPr>
                                <w:t xml:space="preserve"> </w:t>
                              </w:r>
                              <w:r>
                                <w:rPr>
                                  <w:sz w:val="20"/>
                                </w:rPr>
                                <w:t>Arthritis;</w:t>
                              </w:r>
                              <w:r>
                                <w:rPr>
                                  <w:spacing w:val="-11"/>
                                  <w:sz w:val="20"/>
                                </w:rPr>
                                <w:t xml:space="preserve"> </w:t>
                              </w:r>
                              <w:r>
                                <w:rPr>
                                  <w:sz w:val="20"/>
                                </w:rPr>
                                <w:t>Inflammatory</w:t>
                              </w:r>
                              <w:r>
                                <w:rPr>
                                  <w:spacing w:val="-10"/>
                                  <w:sz w:val="20"/>
                                </w:rPr>
                                <w:t xml:space="preserve"> </w:t>
                              </w:r>
                              <w:r>
                                <w:rPr>
                                  <w:spacing w:val="-2"/>
                                  <w:sz w:val="20"/>
                                </w:rPr>
                                <w:t>Disease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EDA5D7" id="Group 3" o:spid="_x0000_s1026" style="position:absolute;margin-left:41.75pt;margin-top:7.4pt;width:527.75pt;height:258.3pt;z-index:-15728640;mso-wrap-distance-left:0;mso-wrap-distance-right:0;mso-position-horizontal-relative:page;mso-width-relative:margin;mso-height-relative:margin" coordorigin="-91" coordsize="67026,3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">
                <v:shape id="Graphic 4" o:spid="_x0000_s1027" style="position:absolute;left:31;top:31;width:66904;height:32741;visibility:visible;mso-wrap-style:square;v-text-anchor:top" coordsize="6690359,327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" path="m6617461,l72301,,30708,507,8953,7619,1282,26288,,61849,,3211702r1282,35560l8953,3265804r21755,7112l72301,3273551r6545160,l6659626,3272916r21082,-7112l6689089,3247262r1270,-35560l6690359,61849r-1270,-35561l6680708,7619,6659626,507,6617461,xe" fillcolor="#e0f4fc" stroked="f">
                  <v:path arrowok="t"/>
                </v:shape>
                <v:shape id="Graphic 5" o:spid="_x0000_s1028" style="position:absolute;left:31;top:31;width:66904;height:32741;visibility:visible;mso-wrap-style:square;v-text-anchor:top" coordsize="6690359,327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" path="m72301,l30708,507,8953,7619,1282,26288,,61849,,3211702r1282,35560l8953,3265804r21755,7112l72301,3273551r6545160,l6659626,3272916r21082,-7112l6689089,3247262r1270,-35560l6690359,61849r-1270,-35561l6680708,7619,6659626,507,6617461,,72301,xe" filled="f" strokecolor="#221f1f" strokeweight=".5pt">
                  <v:path arrowok="t"/>
                </v:shape>
                <v:shapetype id="_x0000_t202" coordsize="21600,21600" o:spt="202" path="m,l,21600r21600,l21600,xe">
                  <v:stroke joinstyle="miter"/>
                  <v:path gradientshapeok="t" o:connecttype="rect"/>
                </v:shapetype>
                <v:shape id="Textbox 6" o:spid="_x0000_s1029" type="#_x0000_t202" style="position:absolute;left:-91;width:66966;height:32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00FBBFD" w14:textId="77777777" w:rsidR="00141BF1" w:rsidRDefault="0011027C" w:rsidP="003A2FEF">
                        <w:pPr>
                          <w:spacing w:before="203"/>
                          <w:ind w:left="450"/>
                          <w:rPr>
                            <w:b/>
                            <w:color w:val="C0504D"/>
                            <w:spacing w:val="-2"/>
                            <w:sz w:val="24"/>
                          </w:rPr>
                        </w:pPr>
                        <w:r>
                          <w:rPr>
                            <w:b/>
                            <w:color w:val="C0504D"/>
                            <w:spacing w:val="-2"/>
                            <w:sz w:val="24"/>
                          </w:rPr>
                          <w:t>Abstract</w:t>
                        </w:r>
                      </w:p>
                      <w:p w14:paraId="76AB96DF" w14:textId="77777777" w:rsidR="00391323" w:rsidRPr="00A63F46" w:rsidRDefault="003A2FEF" w:rsidP="00D95BED">
                        <w:pPr>
                          <w:ind w:left="450"/>
                        </w:pPr>
                        <w:r>
                          <w:t>Rheumatoid arthritis i</w:t>
                        </w:r>
                        <w:r w:rsidRPr="003A2FEF">
                          <w:t>s a systemic inflammatory syndrome with autoimmune features with a predominant expression in peripheral synovial joints. </w:t>
                        </w:r>
                        <w:r w:rsidR="002F70D4">
                          <w:t xml:space="preserve"> </w:t>
                        </w:r>
                        <w:r w:rsidR="00083C99">
                          <w:t xml:space="preserve">A clinical evaluation remains the cornerstone for evaluating early arthritis; determining whether arthritis is present or not, differentiating between the inflammatory or non-inflammatory disease, and deciding on the </w:t>
                        </w:r>
                        <w:proofErr w:type="spellStart"/>
                        <w:r w:rsidR="00083C99">
                          <w:t>aetiology</w:t>
                        </w:r>
                        <w:proofErr w:type="spellEnd"/>
                        <w:r w:rsidR="00083C99">
                          <w:t xml:space="preserve"> of the arthropathy. </w:t>
                        </w:r>
                        <w:r w:rsidR="00D95BED">
                          <w:t xml:space="preserve"> Rheuma</w:t>
                        </w:r>
                        <w:r w:rsidR="0011027C">
                          <w:t xml:space="preserve">toid factor (RF) and </w:t>
                        </w:r>
                        <w:r w:rsidR="00D95BED">
                          <w:t xml:space="preserve">antibodies to citrullinated peptide (ACPA) have been detected in patients with RA years before the onset of symptoms- evidence that the disease process begins in the preclinical phase, before the onset of symptoms. </w:t>
                        </w:r>
                        <w:r w:rsidR="00DE3934">
                          <w:t xml:space="preserve">This study presents </w:t>
                        </w:r>
                        <w:r w:rsidR="00A63F46" w:rsidRPr="00A63F46">
                          <w:t>a case of the aggressive rheumatoid arthritis of wrist joints misdiagnosed as infectious arthritis, which has led to the total joint destruc</w:t>
                        </w:r>
                        <w:r w:rsidR="002F70D4">
                          <w:t>tion within a period of 3 years.</w:t>
                        </w:r>
                      </w:p>
                      <w:p w14:paraId="2FC7F189" w14:textId="77777777" w:rsidR="00A63F46" w:rsidRPr="003A2FEF" w:rsidRDefault="00A63F46" w:rsidP="003A2FEF">
                        <w:pPr>
                          <w:ind w:left="450"/>
                        </w:pPr>
                      </w:p>
                      <w:p w14:paraId="2489D416" w14:textId="77777777" w:rsidR="003A2FEF" w:rsidRDefault="003A2FEF" w:rsidP="003A2FEF">
                        <w:pPr>
                          <w:spacing w:before="203"/>
                          <w:ind w:left="450"/>
                          <w:rPr>
                            <w:b/>
                            <w:sz w:val="24"/>
                          </w:rPr>
                        </w:pPr>
                      </w:p>
                      <w:p w14:paraId="569A1620" w14:textId="77777777" w:rsidR="00141BF1" w:rsidRDefault="0011027C" w:rsidP="003A2FEF">
                        <w:pPr>
                          <w:spacing w:before="69"/>
                          <w:ind w:left="450"/>
                          <w:jc w:val="both"/>
                          <w:rPr>
                            <w:sz w:val="20"/>
                          </w:rPr>
                        </w:pPr>
                        <w:r>
                          <w:rPr>
                            <w:b/>
                            <w:color w:val="C0504D"/>
                            <w:sz w:val="24"/>
                          </w:rPr>
                          <w:t>Keywords:</w:t>
                        </w:r>
                        <w:r>
                          <w:rPr>
                            <w:b/>
                            <w:color w:val="C0504D"/>
                            <w:spacing w:val="-14"/>
                            <w:sz w:val="24"/>
                          </w:rPr>
                          <w:t xml:space="preserve"> </w:t>
                        </w:r>
                        <w:r>
                          <w:rPr>
                            <w:sz w:val="20"/>
                          </w:rPr>
                          <w:t>Rheumatoid</w:t>
                        </w:r>
                        <w:r>
                          <w:rPr>
                            <w:spacing w:val="-11"/>
                            <w:sz w:val="20"/>
                          </w:rPr>
                          <w:t xml:space="preserve"> </w:t>
                        </w:r>
                        <w:r>
                          <w:rPr>
                            <w:sz w:val="20"/>
                          </w:rPr>
                          <w:t>Arthritis;</w:t>
                        </w:r>
                        <w:r>
                          <w:rPr>
                            <w:spacing w:val="-10"/>
                            <w:sz w:val="20"/>
                          </w:rPr>
                          <w:t xml:space="preserve"> </w:t>
                        </w:r>
                        <w:r>
                          <w:rPr>
                            <w:sz w:val="20"/>
                          </w:rPr>
                          <w:t>Infectious</w:t>
                        </w:r>
                        <w:r>
                          <w:rPr>
                            <w:spacing w:val="-10"/>
                            <w:sz w:val="20"/>
                          </w:rPr>
                          <w:t xml:space="preserve"> </w:t>
                        </w:r>
                        <w:r>
                          <w:rPr>
                            <w:sz w:val="20"/>
                          </w:rPr>
                          <w:t>Arthritis;</w:t>
                        </w:r>
                        <w:r>
                          <w:rPr>
                            <w:spacing w:val="-11"/>
                            <w:sz w:val="20"/>
                          </w:rPr>
                          <w:t xml:space="preserve"> </w:t>
                        </w:r>
                        <w:r>
                          <w:rPr>
                            <w:sz w:val="20"/>
                          </w:rPr>
                          <w:t>Inflammatory</w:t>
                        </w:r>
                        <w:r>
                          <w:rPr>
                            <w:spacing w:val="-10"/>
                            <w:sz w:val="20"/>
                          </w:rPr>
                          <w:t xml:space="preserve"> </w:t>
                        </w:r>
                        <w:r>
                          <w:rPr>
                            <w:spacing w:val="-2"/>
                            <w:sz w:val="20"/>
                          </w:rPr>
                          <w:t>Disease</w:t>
                        </w:r>
                      </w:p>
                    </w:txbxContent>
                  </v:textbox>
                </v:shape>
                <w10:wrap type="topAndBottom" anchorx="page"/>
              </v:group>
            </w:pict>
          </mc:Fallback>
        </mc:AlternateContent>
      </w:r>
    </w:p>
    <w:p w14:paraId="2915C3F7" w14:textId="77777777" w:rsidR="00141BF1" w:rsidRDefault="00141BF1">
      <w:pPr>
        <w:pStyle w:val="BodyText"/>
        <w:spacing w:before="80"/>
      </w:pPr>
    </w:p>
    <w:p w14:paraId="430B9570" w14:textId="77777777" w:rsidR="00141BF1" w:rsidRDefault="00141BF1">
      <w:pPr>
        <w:pStyle w:val="BodyText"/>
        <w:sectPr w:rsidR="00141BF1">
          <w:headerReference w:type="even" r:id="rId7"/>
          <w:headerReference w:type="default" r:id="rId8"/>
          <w:footerReference w:type="even" r:id="rId9"/>
          <w:footerReference w:type="default" r:id="rId10"/>
          <w:headerReference w:type="first" r:id="rId11"/>
          <w:footerReference w:type="first" r:id="rId12"/>
          <w:type w:val="continuous"/>
          <w:pgSz w:w="12240" w:h="15840"/>
          <w:pgMar w:top="260" w:right="720" w:bottom="280" w:left="0" w:header="720" w:footer="720" w:gutter="0"/>
          <w:cols w:space="720"/>
        </w:sectPr>
      </w:pPr>
    </w:p>
    <w:p w14:paraId="2E70BC72" w14:textId="77777777" w:rsidR="000C39AA" w:rsidRDefault="009264E6">
      <w:pPr>
        <w:pStyle w:val="Heading2"/>
        <w:spacing w:before="68"/>
        <w:ind w:left="1080"/>
        <w:rPr>
          <w:color w:val="C0504D"/>
        </w:rPr>
      </w:pPr>
      <w:r>
        <w:rPr>
          <w:color w:val="C0504D"/>
        </w:rPr>
        <w:t>Introduction</w:t>
      </w:r>
    </w:p>
    <w:p w14:paraId="35FA3FF9" w14:textId="77777777" w:rsidR="00AA472A" w:rsidRPr="00AA472A" w:rsidRDefault="00AA472A" w:rsidP="007646DF">
      <w:pPr>
        <w:pStyle w:val="BodyText"/>
        <w:spacing w:line="360" w:lineRule="auto"/>
        <w:ind w:left="540"/>
        <w:jc w:val="both"/>
      </w:pPr>
      <w:commentRangeStart w:id="0"/>
      <w:r w:rsidRPr="00AA472A">
        <w:t xml:space="preserve">Rheumatoid arthritis (RA) is the most common and serious form of inflammatory arthritis. Untreated it results in joint destruction and functional impairment. A clinical evaluation remains the cornerstone for evaluating early arthritis; determining whether arthritis is present or not, differentiating between the inflammatory or non-inflammatory disease, and deciding on the </w:t>
      </w:r>
      <w:proofErr w:type="spellStart"/>
      <w:r w:rsidRPr="00AA472A">
        <w:t>aetiology</w:t>
      </w:r>
      <w:proofErr w:type="spellEnd"/>
      <w:r w:rsidRPr="00AA472A">
        <w:t xml:space="preserve"> of the arthropathy [1]. Articular symptoms may be the presenting manifestations of many infectious, inflammatory or malignant conditions. There are certain difficulties in making an accurate diagnosis of rheumatoid arthritis in its early stages, a principal problem being the fact that its most defining feature is chronicity, which, by definition, takes time to identify [2]. After 2010 the ACR – EULAR RA classification criteria for RA have been implemented (</w:t>
      </w:r>
      <w:r w:rsidRPr="00AA472A">
        <w:rPr>
          <w:i/>
        </w:rPr>
        <w:t>This criteria set has been approved by the American College of Rheumatology (ACR) Board of Directors and the European League Against Rheumatism (EULAR) Executive Committee)</w:t>
      </w:r>
      <w:r w:rsidRPr="00AA472A">
        <w:t xml:space="preserve">, </w:t>
      </w:r>
      <w:r w:rsidRPr="00AA472A">
        <w:t>identifying patients with a relatively short period of symptoms who would benefit from early diagnosis, has become more easier, giving practical value towards the commencement of early effective treatment, thus preventing the adverse sequelae of the disease [3].</w:t>
      </w:r>
      <w:commentRangeEnd w:id="0"/>
      <w:r w:rsidR="00AF249C">
        <w:rPr>
          <w:rStyle w:val="CommentReference"/>
        </w:rPr>
        <w:commentReference w:id="0"/>
      </w:r>
    </w:p>
    <w:p w14:paraId="5C751623" w14:textId="77777777" w:rsidR="00AA472A" w:rsidRPr="00332AB1" w:rsidRDefault="00AA472A" w:rsidP="007646DF">
      <w:pPr>
        <w:pStyle w:val="BodyText"/>
        <w:spacing w:line="360" w:lineRule="auto"/>
        <w:ind w:left="540"/>
        <w:jc w:val="both"/>
      </w:pPr>
    </w:p>
    <w:p w14:paraId="12DF1F06" w14:textId="77777777" w:rsidR="009264E6" w:rsidRDefault="009264E6" w:rsidP="007646DF">
      <w:pPr>
        <w:pStyle w:val="Heading2"/>
        <w:spacing w:before="68" w:line="360" w:lineRule="auto"/>
        <w:ind w:left="1080"/>
        <w:jc w:val="both"/>
        <w:rPr>
          <w:color w:val="C0504D"/>
        </w:rPr>
      </w:pPr>
    </w:p>
    <w:p w14:paraId="14B5E8A6" w14:textId="77777777" w:rsidR="00141BF1" w:rsidRDefault="0011027C">
      <w:pPr>
        <w:pStyle w:val="Heading2"/>
        <w:spacing w:before="68"/>
        <w:ind w:left="1080"/>
      </w:pPr>
      <w:r>
        <w:rPr>
          <w:color w:val="C0504D"/>
        </w:rPr>
        <w:t>The</w:t>
      </w:r>
      <w:r>
        <w:rPr>
          <w:color w:val="C0504D"/>
          <w:spacing w:val="-1"/>
        </w:rPr>
        <w:t xml:space="preserve"> </w:t>
      </w:r>
      <w:r>
        <w:rPr>
          <w:color w:val="C0504D"/>
        </w:rPr>
        <w:t>Aim</w:t>
      </w:r>
      <w:r>
        <w:rPr>
          <w:color w:val="C0504D"/>
          <w:spacing w:val="-1"/>
        </w:rPr>
        <w:t xml:space="preserve"> </w:t>
      </w:r>
      <w:r>
        <w:rPr>
          <w:color w:val="C0504D"/>
        </w:rPr>
        <w:t>of</w:t>
      </w:r>
      <w:r>
        <w:rPr>
          <w:color w:val="C0504D"/>
          <w:spacing w:val="-3"/>
        </w:rPr>
        <w:t xml:space="preserve"> </w:t>
      </w:r>
      <w:r>
        <w:rPr>
          <w:color w:val="C0504D"/>
        </w:rPr>
        <w:t xml:space="preserve">the </w:t>
      </w:r>
      <w:r>
        <w:rPr>
          <w:color w:val="C0504D"/>
          <w:spacing w:val="-2"/>
        </w:rPr>
        <w:t>Demonstration</w:t>
      </w:r>
    </w:p>
    <w:p w14:paraId="21AAD603" w14:textId="77777777" w:rsidR="00141BF1" w:rsidRDefault="0011027C">
      <w:pPr>
        <w:pStyle w:val="BodyText"/>
        <w:spacing w:before="203"/>
        <w:ind w:left="936" w:firstLine="216"/>
        <w:jc w:val="both"/>
      </w:pPr>
      <w:r>
        <w:t>The aim of the demonstration is to report a case of the aggressive rheumatoid arthritis of wrist joints misdiagnosed as infectious arthritis, which has led to the total joint destruction within a period of 3 years.</w:t>
      </w:r>
    </w:p>
    <w:p w14:paraId="31E1034A" w14:textId="77777777" w:rsidR="00141BF1" w:rsidRDefault="0011027C">
      <w:pPr>
        <w:pStyle w:val="Heading2"/>
        <w:spacing w:before="234"/>
        <w:ind w:left="1080"/>
      </w:pPr>
      <w:r>
        <w:rPr>
          <w:color w:val="C0504D"/>
        </w:rPr>
        <w:t>Case</w:t>
      </w:r>
      <w:r>
        <w:rPr>
          <w:color w:val="C0504D"/>
          <w:spacing w:val="1"/>
        </w:rPr>
        <w:t xml:space="preserve"> </w:t>
      </w:r>
      <w:r>
        <w:rPr>
          <w:color w:val="C0504D"/>
          <w:spacing w:val="-2"/>
        </w:rPr>
        <w:t>Report</w:t>
      </w:r>
    </w:p>
    <w:p w14:paraId="2047EB54" w14:textId="77777777" w:rsidR="00141BF1" w:rsidRDefault="0011027C">
      <w:pPr>
        <w:pStyle w:val="BodyText"/>
        <w:spacing w:before="198"/>
        <w:ind w:left="936" w:firstLine="216"/>
        <w:jc w:val="both"/>
      </w:pPr>
      <w:r>
        <w:t>The patient, 57 years old female, presented with complains of severe pain, swelling and functional disorders of the left wrist joint in the beginning of 2013. She started complaining in December 2010 during the flu infection</w:t>
      </w:r>
      <w:r>
        <w:rPr>
          <w:spacing w:val="-5"/>
        </w:rPr>
        <w:t xml:space="preserve"> </w:t>
      </w:r>
      <w:r>
        <w:t>accompanied</w:t>
      </w:r>
      <w:r>
        <w:rPr>
          <w:spacing w:val="-3"/>
        </w:rPr>
        <w:t xml:space="preserve"> </w:t>
      </w:r>
      <w:r>
        <w:t>by</w:t>
      </w:r>
      <w:r>
        <w:rPr>
          <w:spacing w:val="-2"/>
        </w:rPr>
        <w:t xml:space="preserve"> </w:t>
      </w:r>
      <w:r>
        <w:t>conjunctivitis.</w:t>
      </w:r>
      <w:r>
        <w:rPr>
          <w:spacing w:val="-1"/>
        </w:rPr>
        <w:t xml:space="preserve"> </w:t>
      </w:r>
      <w:r>
        <w:t>The</w:t>
      </w:r>
      <w:r>
        <w:rPr>
          <w:spacing w:val="-5"/>
        </w:rPr>
        <w:t xml:space="preserve"> </w:t>
      </w:r>
      <w:r>
        <w:t>flu</w:t>
      </w:r>
      <w:r>
        <w:rPr>
          <w:spacing w:val="-3"/>
        </w:rPr>
        <w:t xml:space="preserve"> </w:t>
      </w:r>
      <w:r>
        <w:t>lasted</w:t>
      </w:r>
      <w:r>
        <w:rPr>
          <w:spacing w:val="1"/>
        </w:rPr>
        <w:t xml:space="preserve"> </w:t>
      </w:r>
      <w:r>
        <w:rPr>
          <w:spacing w:val="-5"/>
        </w:rPr>
        <w:t>for</w:t>
      </w:r>
    </w:p>
    <w:p w14:paraId="021BA6E6" w14:textId="77777777" w:rsidR="00141BF1" w:rsidRDefault="0011027C">
      <w:pPr>
        <w:pStyle w:val="BodyText"/>
        <w:spacing w:before="67"/>
        <w:ind w:left="393" w:right="207"/>
        <w:jc w:val="both"/>
      </w:pPr>
      <w:r>
        <w:br w:type="column"/>
      </w:r>
      <w:r>
        <w:lastRenderedPageBreak/>
        <w:t xml:space="preserve">a month and resulted in severe complications – otitis media and sinusitis as well as submandibular </w:t>
      </w:r>
      <w:proofErr w:type="spellStart"/>
      <w:r>
        <w:t>lymphnode</w:t>
      </w:r>
      <w:proofErr w:type="spellEnd"/>
      <w:r>
        <w:t xml:space="preserve"> enlargement and </w:t>
      </w:r>
      <w:proofErr w:type="spellStart"/>
      <w:r>
        <w:t>calculose</w:t>
      </w:r>
      <w:proofErr w:type="spellEnd"/>
      <w:r>
        <w:t xml:space="preserve"> parotitis. For diagnostic purposes, 3 submandibular lymph nodes were removed. The histological pattern showed follicular hyperplasia, reactive hyperplasia of lymphoid tissues with rare polymorph cell aggregation. </w:t>
      </w:r>
      <w:proofErr w:type="gramStart"/>
      <w:r>
        <w:t>Unfortunately</w:t>
      </w:r>
      <w:proofErr w:type="gramEnd"/>
      <w:r>
        <w:t xml:space="preserve"> the process of malaise did not stop </w:t>
      </w:r>
      <w:proofErr w:type="gramStart"/>
      <w:r>
        <w:t>there, and</w:t>
      </w:r>
      <w:proofErr w:type="gramEnd"/>
      <w:r>
        <w:t xml:space="preserve"> </w:t>
      </w:r>
      <w:r>
        <w:t>progressed further. In 2011 both wrists began to ache, the right one less than</w:t>
      </w:r>
      <w:r>
        <w:rPr>
          <w:spacing w:val="80"/>
        </w:rPr>
        <w:t xml:space="preserve"> </w:t>
      </w:r>
      <w:r>
        <w:t>the left one. For the treatment, she received several antibacterial drugs, including amoxiclav (Amoxicillin trihydrate/Potassium clavulanate) for 30 days. Despite of it no improvement was observed. From 2011 to</w:t>
      </w:r>
      <w:r>
        <w:rPr>
          <w:spacing w:val="40"/>
        </w:rPr>
        <w:t xml:space="preserve"> </w:t>
      </w:r>
      <w:proofErr w:type="gramStart"/>
      <w:r>
        <w:t>December</w:t>
      </w:r>
      <w:r>
        <w:rPr>
          <w:spacing w:val="37"/>
        </w:rPr>
        <w:t xml:space="preserve">  </w:t>
      </w:r>
      <w:r>
        <w:t>2012</w:t>
      </w:r>
      <w:proofErr w:type="gramEnd"/>
      <w:r>
        <w:rPr>
          <w:spacing w:val="39"/>
        </w:rPr>
        <w:t xml:space="preserve">  </w:t>
      </w:r>
      <w:proofErr w:type="gramStart"/>
      <w:r>
        <w:t>she</w:t>
      </w:r>
      <w:r>
        <w:rPr>
          <w:spacing w:val="38"/>
        </w:rPr>
        <w:t xml:space="preserve">  </w:t>
      </w:r>
      <w:r>
        <w:t>received</w:t>
      </w:r>
      <w:proofErr w:type="gramEnd"/>
      <w:r>
        <w:rPr>
          <w:spacing w:val="38"/>
        </w:rPr>
        <w:t xml:space="preserve">  </w:t>
      </w:r>
      <w:proofErr w:type="gramStart"/>
      <w:r>
        <w:t>several</w:t>
      </w:r>
      <w:r>
        <w:rPr>
          <w:spacing w:val="38"/>
        </w:rPr>
        <w:t xml:space="preserve">  </w:t>
      </w:r>
      <w:r>
        <w:rPr>
          <w:spacing w:val="-2"/>
        </w:rPr>
        <w:t>consultations</w:t>
      </w:r>
      <w:proofErr w:type="gramEnd"/>
    </w:p>
    <w:p w14:paraId="79DE6D90" w14:textId="77777777" w:rsidR="00141BF1" w:rsidRDefault="00141BF1">
      <w:pPr>
        <w:pStyle w:val="BodyText"/>
        <w:jc w:val="both"/>
        <w:sectPr w:rsidR="00141BF1">
          <w:type w:val="continuous"/>
          <w:pgSz w:w="12240" w:h="15840"/>
          <w:pgMar w:top="260" w:right="720" w:bottom="280" w:left="0" w:header="720" w:footer="720" w:gutter="0"/>
          <w:cols w:num="2" w:space="720" w:equalWidth="0">
            <w:col w:w="5905" w:space="40"/>
            <w:col w:w="5575"/>
          </w:cols>
        </w:sectPr>
      </w:pPr>
    </w:p>
    <w:p w14:paraId="651E2D5E" w14:textId="77777777" w:rsidR="00141BF1" w:rsidRDefault="00141BF1">
      <w:pPr>
        <w:pStyle w:val="BodyText"/>
        <w:rPr>
          <w:sz w:val="16"/>
        </w:rPr>
      </w:pPr>
    </w:p>
    <w:p w14:paraId="51BF49E3" w14:textId="77777777" w:rsidR="00141BF1" w:rsidRDefault="00141BF1">
      <w:pPr>
        <w:pStyle w:val="BodyText"/>
        <w:rPr>
          <w:sz w:val="16"/>
        </w:rPr>
      </w:pPr>
    </w:p>
    <w:p w14:paraId="32826208" w14:textId="77777777" w:rsidR="00141BF1" w:rsidRDefault="00141BF1">
      <w:pPr>
        <w:pStyle w:val="BodyText"/>
        <w:spacing w:before="41"/>
        <w:rPr>
          <w:sz w:val="16"/>
        </w:rPr>
      </w:pPr>
    </w:p>
    <w:p w14:paraId="0C0A12FA" w14:textId="77777777" w:rsidR="00141BF1" w:rsidRDefault="00141BF1">
      <w:pPr>
        <w:rPr>
          <w:sz w:val="16"/>
        </w:rPr>
        <w:sectPr w:rsidR="00141BF1">
          <w:type w:val="continuous"/>
          <w:pgSz w:w="12240" w:h="15840"/>
          <w:pgMar w:top="260" w:right="720" w:bottom="280" w:left="0" w:header="720" w:footer="720" w:gutter="0"/>
          <w:cols w:space="720"/>
        </w:sectPr>
      </w:pPr>
    </w:p>
    <w:p w14:paraId="7986C8AC" w14:textId="77777777" w:rsidR="00141BF1" w:rsidRDefault="0011027C">
      <w:pPr>
        <w:tabs>
          <w:tab w:val="left" w:pos="816"/>
        </w:tabs>
        <w:spacing w:before="47" w:line="189" w:lineRule="exact"/>
      </w:pPr>
      <w:r>
        <w:rPr>
          <w:color w:val="FFFFFF"/>
          <w:shd w:val="clear" w:color="auto" w:fill="F9BE8F"/>
        </w:rPr>
        <w:lastRenderedPageBreak/>
        <w:tab/>
      </w:r>
      <w:r>
        <w:rPr>
          <w:color w:val="FFFFFF"/>
          <w:spacing w:val="-10"/>
          <w:shd w:val="clear" w:color="auto" w:fill="F9BE8F"/>
        </w:rPr>
        <w:t>2</w:t>
      </w:r>
      <w:r>
        <w:rPr>
          <w:color w:val="FFFFFF"/>
          <w:spacing w:val="40"/>
          <w:shd w:val="clear" w:color="auto" w:fill="F9BE8F"/>
        </w:rPr>
        <w:t xml:space="preserve"> </w:t>
      </w:r>
    </w:p>
    <w:p w14:paraId="5F38BAF4" w14:textId="77777777" w:rsidR="00141BF1" w:rsidRDefault="00141BF1">
      <w:pPr>
        <w:pStyle w:val="BodyText"/>
        <w:spacing w:before="11"/>
        <w:rPr>
          <w:sz w:val="19"/>
        </w:rPr>
      </w:pPr>
    </w:p>
    <w:p w14:paraId="1E6917FB" w14:textId="77777777" w:rsidR="00141BF1" w:rsidRDefault="00141BF1">
      <w:pPr>
        <w:pStyle w:val="BodyText"/>
        <w:rPr>
          <w:sz w:val="19"/>
        </w:rPr>
        <w:sectPr w:rsidR="00141BF1">
          <w:pgSz w:w="12240" w:h="15840"/>
          <w:pgMar w:top="540" w:right="720" w:bottom="280" w:left="0" w:header="720" w:footer="720" w:gutter="0"/>
          <w:cols w:space="720"/>
        </w:sectPr>
      </w:pPr>
    </w:p>
    <w:p w14:paraId="40C9BCE5" w14:textId="77777777" w:rsidR="00141BF1" w:rsidRDefault="0011027C">
      <w:pPr>
        <w:pStyle w:val="BodyText"/>
        <w:spacing w:before="67"/>
        <w:ind w:left="936"/>
        <w:jc w:val="both"/>
      </w:pPr>
      <w:r>
        <w:t>without clear diagnosis and proper treatment. Musculoskeletal examination was performed in 2013. Clinically, the patient had the hypertrophy of the left antebrachial muscles accompanied by the swelling of the left wrist and the loss of the joint borders, the loss of the main function to the left wrist. Palpatory, the wrist and fingers were painfully swollen and tender on touch. The range</w:t>
      </w:r>
      <w:r>
        <w:rPr>
          <w:spacing w:val="-6"/>
        </w:rPr>
        <w:t xml:space="preserve"> </w:t>
      </w:r>
      <w:r>
        <w:t>of</w:t>
      </w:r>
      <w:r>
        <w:rPr>
          <w:spacing w:val="-2"/>
        </w:rPr>
        <w:t xml:space="preserve"> </w:t>
      </w:r>
      <w:r>
        <w:t>motion,</w:t>
      </w:r>
      <w:r>
        <w:rPr>
          <w:spacing w:val="-2"/>
        </w:rPr>
        <w:t xml:space="preserve"> </w:t>
      </w:r>
      <w:r>
        <w:t>grip,</w:t>
      </w:r>
      <w:r>
        <w:rPr>
          <w:spacing w:val="-2"/>
        </w:rPr>
        <w:t xml:space="preserve"> </w:t>
      </w:r>
      <w:r>
        <w:t>strength</w:t>
      </w:r>
      <w:r>
        <w:rPr>
          <w:spacing w:val="-4"/>
        </w:rPr>
        <w:t xml:space="preserve"> </w:t>
      </w:r>
      <w:r>
        <w:t>and</w:t>
      </w:r>
      <w:r>
        <w:rPr>
          <w:spacing w:val="-5"/>
        </w:rPr>
        <w:t xml:space="preserve"> </w:t>
      </w:r>
      <w:r>
        <w:t>function</w:t>
      </w:r>
      <w:r>
        <w:rPr>
          <w:spacing w:val="-5"/>
        </w:rPr>
        <w:t xml:space="preserve"> </w:t>
      </w:r>
      <w:r>
        <w:t>were</w:t>
      </w:r>
      <w:r>
        <w:rPr>
          <w:spacing w:val="-6"/>
        </w:rPr>
        <w:t xml:space="preserve"> </w:t>
      </w:r>
      <w:r>
        <w:t>affected. MRI was performed on 03.02.2013; it revealed the left wrist destruction with effusion and synovitis [1-3]. According to the laboratory investigation the white cell count</w:t>
      </w:r>
      <w:r>
        <w:rPr>
          <w:spacing w:val="-4"/>
        </w:rPr>
        <w:t xml:space="preserve"> </w:t>
      </w:r>
      <w:r>
        <w:t>and</w:t>
      </w:r>
      <w:r>
        <w:rPr>
          <w:spacing w:val="-5"/>
        </w:rPr>
        <w:t xml:space="preserve"> </w:t>
      </w:r>
      <w:r>
        <w:t>inflammatory</w:t>
      </w:r>
      <w:r>
        <w:rPr>
          <w:spacing w:val="-4"/>
        </w:rPr>
        <w:t xml:space="preserve"> </w:t>
      </w:r>
      <w:r>
        <w:t>markers</w:t>
      </w:r>
      <w:r>
        <w:rPr>
          <w:spacing w:val="-4"/>
        </w:rPr>
        <w:t xml:space="preserve"> </w:t>
      </w:r>
      <w:r>
        <w:t>were</w:t>
      </w:r>
      <w:r>
        <w:rPr>
          <w:spacing w:val="-6"/>
        </w:rPr>
        <w:t xml:space="preserve"> </w:t>
      </w:r>
      <w:r>
        <w:t>raised.</w:t>
      </w:r>
      <w:r>
        <w:rPr>
          <w:spacing w:val="-2"/>
        </w:rPr>
        <w:t xml:space="preserve"> </w:t>
      </w:r>
      <w:r>
        <w:t>The</w:t>
      </w:r>
      <w:r>
        <w:rPr>
          <w:spacing w:val="-6"/>
        </w:rPr>
        <w:t xml:space="preserve"> </w:t>
      </w:r>
      <w:r>
        <w:t>red cell count, biochemical blood parameters were within the laboratory reference ranges. Till then it was not</w:t>
      </w:r>
      <w:r>
        <w:rPr>
          <w:spacing w:val="40"/>
        </w:rPr>
        <w:t xml:space="preserve"> </w:t>
      </w:r>
      <w:r>
        <w:t xml:space="preserve">absolutely clear what had caused the effusion and swelling. </w:t>
      </w:r>
      <w:proofErr w:type="gramStart"/>
      <w:r>
        <w:t>Therefore</w:t>
      </w:r>
      <w:proofErr w:type="gramEnd"/>
      <w:r>
        <w:t xml:space="preserve"> it was suggested to have the synovectomy performed. The arthroscopic synovectomy was performed on 21.02.2013. During the surgery the synovial hypertrophy resembling that of the</w:t>
      </w:r>
      <w:r>
        <w:rPr>
          <w:spacing w:val="80"/>
        </w:rPr>
        <w:t xml:space="preserve"> </w:t>
      </w:r>
      <w:r>
        <w:t>inflammatory arthritis was observed. The biopsy of synovium</w:t>
      </w:r>
      <w:r>
        <w:rPr>
          <w:spacing w:val="-3"/>
        </w:rPr>
        <w:t xml:space="preserve"> </w:t>
      </w:r>
      <w:r>
        <w:t>was</w:t>
      </w:r>
      <w:r>
        <w:rPr>
          <w:spacing w:val="-3"/>
        </w:rPr>
        <w:t xml:space="preserve"> </w:t>
      </w:r>
      <w:r>
        <w:t>taken.</w:t>
      </w:r>
      <w:r>
        <w:rPr>
          <w:spacing w:val="-1"/>
        </w:rPr>
        <w:t xml:space="preserve"> </w:t>
      </w:r>
      <w:proofErr w:type="gramStart"/>
      <w:r>
        <w:t>Unfortunately</w:t>
      </w:r>
      <w:proofErr w:type="gramEnd"/>
      <w:r>
        <w:rPr>
          <w:spacing w:val="-4"/>
        </w:rPr>
        <w:t xml:space="preserve"> </w:t>
      </w:r>
      <w:r>
        <w:t>the</w:t>
      </w:r>
      <w:r>
        <w:rPr>
          <w:spacing w:val="-4"/>
        </w:rPr>
        <w:t xml:space="preserve"> </w:t>
      </w:r>
      <w:r>
        <w:t>connective</w:t>
      </w:r>
      <w:r>
        <w:rPr>
          <w:spacing w:val="-4"/>
        </w:rPr>
        <w:t xml:space="preserve"> </w:t>
      </w:r>
      <w:r>
        <w:t xml:space="preserve">tissues between the bones were totally lost. The provisional data from the microbiology and histology tests showed the synovitis of the left wrist without clear data of any bacterial infection. Musculoskeletal </w:t>
      </w:r>
      <w:proofErr w:type="spellStart"/>
      <w:r>
        <w:t>utrasonography</w:t>
      </w:r>
      <w:proofErr w:type="spellEnd"/>
      <w:r>
        <w:t xml:space="preserve"> was performed on 04/03/2013. The right wrist did not have any signs of hypertrophied joint capsula or </w:t>
      </w:r>
      <w:proofErr w:type="spellStart"/>
      <w:r>
        <w:t>hypervascularisation</w:t>
      </w:r>
      <w:proofErr w:type="spellEnd"/>
      <w:r>
        <w:t xml:space="preserve">. In </w:t>
      </w:r>
      <w:r>
        <w:rPr>
          <w:i/>
        </w:rPr>
        <w:t xml:space="preserve">proximal </w:t>
      </w:r>
      <w:proofErr w:type="spellStart"/>
      <w:r>
        <w:rPr>
          <w:i/>
        </w:rPr>
        <w:t>interfalangeal</w:t>
      </w:r>
      <w:proofErr w:type="spellEnd"/>
      <w:r>
        <w:rPr>
          <w:i/>
        </w:rPr>
        <w:t xml:space="preserve"> joint</w:t>
      </w:r>
      <w:r>
        <w:rPr>
          <w:i/>
          <w:spacing w:val="40"/>
        </w:rPr>
        <w:t xml:space="preserve"> </w:t>
      </w:r>
      <w:r>
        <w:rPr>
          <w:i/>
        </w:rPr>
        <w:t xml:space="preserve">digiti III and IV dx and sin digiti V </w:t>
      </w:r>
      <w:r>
        <w:t xml:space="preserve">the effusion in B mode was observed, without </w:t>
      </w:r>
      <w:proofErr w:type="spellStart"/>
      <w:r>
        <w:t>hyperperfusion</w:t>
      </w:r>
      <w:proofErr w:type="spellEnd"/>
      <w:r>
        <w:t xml:space="preserve"> or </w:t>
      </w:r>
      <w:proofErr w:type="spellStart"/>
      <w:r>
        <w:t>vascularisation</w:t>
      </w:r>
      <w:proofErr w:type="spellEnd"/>
      <w:r>
        <w:t xml:space="preserve">. After the sonographic examination of the right foot, the hypertrophied capsula and synovitis without hypervascularity </w:t>
      </w:r>
      <w:r>
        <w:rPr>
          <w:i/>
        </w:rPr>
        <w:t xml:space="preserve">digiti II dx </w:t>
      </w:r>
      <w:r>
        <w:t xml:space="preserve">was observed, but </w:t>
      </w:r>
      <w:r>
        <w:rPr>
          <w:i/>
        </w:rPr>
        <w:t xml:space="preserve">digiti V </w:t>
      </w:r>
      <w:r>
        <w:t>of the right foot had some signs of the articular irregularity resembling of the initial erosions. The conclusion of the radiologist: multiple synovitis, without diagnostic approvements of rheumatoid arthritis. The consultant in rheumatology advanced the preliminary diagnosis of rheumatoid</w:t>
      </w:r>
      <w:r>
        <w:rPr>
          <w:spacing w:val="-1"/>
        </w:rPr>
        <w:t xml:space="preserve"> </w:t>
      </w:r>
      <w:r>
        <w:t>arthritis,</w:t>
      </w:r>
      <w:r>
        <w:rPr>
          <w:spacing w:val="-3"/>
        </w:rPr>
        <w:t xml:space="preserve"> </w:t>
      </w:r>
      <w:r>
        <w:t>which</w:t>
      </w:r>
      <w:r>
        <w:rPr>
          <w:spacing w:val="-1"/>
        </w:rPr>
        <w:t xml:space="preserve"> </w:t>
      </w:r>
      <w:r>
        <w:t>was</w:t>
      </w:r>
      <w:r>
        <w:rPr>
          <w:spacing w:val="-5"/>
        </w:rPr>
        <w:t xml:space="preserve"> </w:t>
      </w:r>
      <w:r>
        <w:t>affirmed</w:t>
      </w:r>
      <w:r>
        <w:rPr>
          <w:spacing w:val="-1"/>
        </w:rPr>
        <w:t xml:space="preserve"> </w:t>
      </w:r>
      <w:r>
        <w:t>according to</w:t>
      </w:r>
      <w:r>
        <w:rPr>
          <w:spacing w:val="-1"/>
        </w:rPr>
        <w:t xml:space="preserve"> </w:t>
      </w:r>
      <w:r>
        <w:t>the ACR 2010 criteria. Considering the degenerative process in the left wrist arthrodesis of the left wrist was performed with the iliac crest transplant and low compression plate (LCP</w:t>
      </w:r>
      <w:proofErr w:type="gramStart"/>
      <w:r>
        <w:t>).At</w:t>
      </w:r>
      <w:proofErr w:type="gramEnd"/>
      <w:r>
        <w:t xml:space="preserve"> the moment the patient takes </w:t>
      </w:r>
      <w:proofErr w:type="spellStart"/>
      <w:r>
        <w:t>mtx</w:t>
      </w:r>
      <w:proofErr w:type="spellEnd"/>
      <w:r>
        <w:t xml:space="preserve"> 15 mg per week. </w:t>
      </w:r>
      <w:proofErr w:type="gramStart"/>
      <w:r>
        <w:t>Unfortunately</w:t>
      </w:r>
      <w:proofErr w:type="gramEnd"/>
      <w:r>
        <w:t xml:space="preserve"> she has lost the functionality</w:t>
      </w:r>
      <w:r>
        <w:rPr>
          <w:spacing w:val="18"/>
        </w:rPr>
        <w:t xml:space="preserve"> </w:t>
      </w:r>
      <w:r>
        <w:t>of</w:t>
      </w:r>
      <w:r>
        <w:rPr>
          <w:spacing w:val="21"/>
        </w:rPr>
        <w:t xml:space="preserve"> </w:t>
      </w:r>
      <w:r>
        <w:t>the</w:t>
      </w:r>
      <w:r>
        <w:rPr>
          <w:spacing w:val="17"/>
        </w:rPr>
        <w:t xml:space="preserve"> </w:t>
      </w:r>
      <w:r>
        <w:t>left</w:t>
      </w:r>
      <w:r>
        <w:rPr>
          <w:spacing w:val="17"/>
        </w:rPr>
        <w:t xml:space="preserve"> </w:t>
      </w:r>
      <w:r>
        <w:t>wrist</w:t>
      </w:r>
      <w:r>
        <w:rPr>
          <w:spacing w:val="18"/>
        </w:rPr>
        <w:t xml:space="preserve"> </w:t>
      </w:r>
      <w:r>
        <w:t>joint</w:t>
      </w:r>
      <w:r>
        <w:rPr>
          <w:spacing w:val="18"/>
        </w:rPr>
        <w:t xml:space="preserve"> </w:t>
      </w:r>
      <w:r>
        <w:t>and</w:t>
      </w:r>
      <w:r>
        <w:rPr>
          <w:spacing w:val="18"/>
        </w:rPr>
        <w:t xml:space="preserve"> </w:t>
      </w:r>
      <w:r>
        <w:t>most</w:t>
      </w:r>
      <w:r>
        <w:rPr>
          <w:spacing w:val="18"/>
        </w:rPr>
        <w:t xml:space="preserve"> </w:t>
      </w:r>
      <w:r>
        <w:t>of</w:t>
      </w:r>
      <w:r>
        <w:rPr>
          <w:spacing w:val="24"/>
        </w:rPr>
        <w:t xml:space="preserve"> </w:t>
      </w:r>
      <w:r>
        <w:t>her</w:t>
      </w:r>
      <w:r>
        <w:rPr>
          <w:spacing w:val="22"/>
        </w:rPr>
        <w:t xml:space="preserve"> </w:t>
      </w:r>
      <w:r>
        <w:rPr>
          <w:spacing w:val="-4"/>
        </w:rPr>
        <w:t>daily</w:t>
      </w:r>
    </w:p>
    <w:p w14:paraId="16606653" w14:textId="77777777" w:rsidR="00141BF1" w:rsidRDefault="0011027C">
      <w:pPr>
        <w:pStyle w:val="BodyText"/>
        <w:spacing w:before="67"/>
        <w:ind w:left="389" w:right="210"/>
        <w:jc w:val="both"/>
      </w:pPr>
      <w:r>
        <w:br w:type="column"/>
      </w:r>
      <w:r>
        <w:t>activities are performed by her right hand. DASH 18 (The Disabilities of the Arm Shoulder and Hand Symptom Scale); DAS 28 2.81 (disease activity score); HAQ 0.38 (Health Assessment Questionnaire).</w:t>
      </w:r>
    </w:p>
    <w:p w14:paraId="0B423C6C" w14:textId="77777777" w:rsidR="00141BF1" w:rsidRDefault="00141BF1">
      <w:pPr>
        <w:pStyle w:val="BodyText"/>
      </w:pPr>
    </w:p>
    <w:p w14:paraId="0714AC8A" w14:textId="77777777" w:rsidR="00141BF1" w:rsidRDefault="0011027C">
      <w:pPr>
        <w:pStyle w:val="Heading2"/>
      </w:pPr>
      <w:r>
        <w:rPr>
          <w:color w:val="C0504D"/>
          <w:spacing w:val="-2"/>
        </w:rPr>
        <w:t>Discussion</w:t>
      </w:r>
    </w:p>
    <w:p w14:paraId="3F2BF18A" w14:textId="77777777" w:rsidR="00141BF1" w:rsidRDefault="0011027C">
      <w:pPr>
        <w:pStyle w:val="BodyText"/>
        <w:spacing w:before="203"/>
        <w:ind w:left="389" w:right="208" w:firstLine="216"/>
        <w:jc w:val="both"/>
      </w:pPr>
      <w:r>
        <w:t>Rheumatoid arthritis (RA) is a chronic inflammatory disorder that typically affects small and medium-sized joints in a symmetric fashion. (2.) RA affects approximately 0.5-1% of the European and North American adults</w:t>
      </w:r>
      <w:r w:rsidR="004B79BA">
        <w:t xml:space="preserve"> </w:t>
      </w:r>
      <w:r w:rsidR="004B79BA" w:rsidRPr="00A1783C">
        <w:rPr>
          <w:highlight w:val="yellow"/>
        </w:rPr>
        <w:t>[5-8]</w:t>
      </w:r>
      <w:r w:rsidRPr="00A1783C">
        <w:rPr>
          <w:highlight w:val="yellow"/>
        </w:rPr>
        <w:t>.</w:t>
      </w:r>
      <w:r>
        <w:t xml:space="preserve"> Rheumatoid factor (RF) and antibodies to citrullinated peptide (ACPA) have been detected in patients with RA years before the onset of symptoms- evidence that the disease process begins in the preclinical phase, before the onset of symptoms [4]. In our case it</w:t>
      </w:r>
      <w:r>
        <w:rPr>
          <w:spacing w:val="40"/>
        </w:rPr>
        <w:t xml:space="preserve"> </w:t>
      </w:r>
      <w:r>
        <w:t>was</w:t>
      </w:r>
      <w:r>
        <w:rPr>
          <w:spacing w:val="-3"/>
        </w:rPr>
        <w:t xml:space="preserve"> </w:t>
      </w:r>
      <w:r>
        <w:t>noticed</w:t>
      </w:r>
      <w:r>
        <w:rPr>
          <w:spacing w:val="-4"/>
        </w:rPr>
        <w:t xml:space="preserve"> </w:t>
      </w:r>
      <w:r>
        <w:t>in</w:t>
      </w:r>
      <w:r>
        <w:rPr>
          <w:spacing w:val="-4"/>
        </w:rPr>
        <w:t xml:space="preserve"> </w:t>
      </w:r>
      <w:r>
        <w:t>the lab</w:t>
      </w:r>
      <w:r>
        <w:rPr>
          <w:spacing w:val="-2"/>
        </w:rPr>
        <w:t xml:space="preserve"> </w:t>
      </w:r>
      <w:r>
        <w:t>tests that</w:t>
      </w:r>
      <w:r>
        <w:rPr>
          <w:spacing w:val="-3"/>
        </w:rPr>
        <w:t xml:space="preserve"> </w:t>
      </w:r>
      <w:r>
        <w:t>the ACPA</w:t>
      </w:r>
      <w:r>
        <w:rPr>
          <w:spacing w:val="-3"/>
        </w:rPr>
        <w:t xml:space="preserve"> </w:t>
      </w:r>
      <w:r>
        <w:t>antibodies</w:t>
      </w:r>
      <w:r>
        <w:rPr>
          <w:spacing w:val="-3"/>
        </w:rPr>
        <w:t xml:space="preserve"> </w:t>
      </w:r>
      <w:r>
        <w:t>were without the serologically positive RF. According to the</w:t>
      </w:r>
      <w:r>
        <w:rPr>
          <w:spacing w:val="40"/>
        </w:rPr>
        <w:t xml:space="preserve"> </w:t>
      </w:r>
      <w:r>
        <w:t xml:space="preserve">ACR 2010 criteria (that includes ACPA) the consultant in rheumatology affirmed the preliminary diagnosis of rheumatoid arthritis. </w:t>
      </w:r>
      <w:proofErr w:type="gramStart"/>
      <w:r>
        <w:t>Unfortunately</w:t>
      </w:r>
      <w:proofErr w:type="gramEnd"/>
      <w:r>
        <w:t xml:space="preserve"> the delay in confirming the diagnosis and the destruction of the left wrist led to arthrodesis.</w:t>
      </w:r>
    </w:p>
    <w:p w14:paraId="13DE18F2" w14:textId="77777777" w:rsidR="00141BF1" w:rsidRDefault="0011027C">
      <w:pPr>
        <w:pStyle w:val="Heading2"/>
        <w:spacing w:before="234"/>
      </w:pPr>
      <w:r>
        <w:rPr>
          <w:color w:val="C0504D"/>
          <w:spacing w:val="-2"/>
        </w:rPr>
        <w:t>References</w:t>
      </w:r>
    </w:p>
    <w:p w14:paraId="4A6FBF46" w14:textId="77777777" w:rsidR="00141BF1" w:rsidRDefault="0011027C">
      <w:pPr>
        <w:pStyle w:val="ListParagraph"/>
        <w:numPr>
          <w:ilvl w:val="0"/>
          <w:numId w:val="1"/>
        </w:numPr>
        <w:tabs>
          <w:tab w:val="left" w:pos="893"/>
        </w:tabs>
        <w:spacing w:before="198"/>
        <w:ind w:right="210"/>
        <w:rPr>
          <w:sz w:val="20"/>
        </w:rPr>
      </w:pPr>
      <w:hyperlink r:id="rId17">
        <w:r>
          <w:rPr>
            <w:sz w:val="20"/>
          </w:rPr>
          <w:t>Firestein GS (2001) Etiology and pathogenesis of</w:t>
        </w:r>
      </w:hyperlink>
      <w:r>
        <w:rPr>
          <w:sz w:val="20"/>
        </w:rPr>
        <w:t xml:space="preserve"> </w:t>
      </w:r>
      <w:hyperlink r:id="rId18">
        <w:r>
          <w:rPr>
            <w:sz w:val="20"/>
          </w:rPr>
          <w:t>rheumatoid</w:t>
        </w:r>
        <w:r>
          <w:rPr>
            <w:spacing w:val="-1"/>
            <w:sz w:val="20"/>
          </w:rPr>
          <w:t xml:space="preserve"> </w:t>
        </w:r>
        <w:r>
          <w:rPr>
            <w:sz w:val="20"/>
          </w:rPr>
          <w:t>arthritis.</w:t>
        </w:r>
        <w:r>
          <w:rPr>
            <w:spacing w:val="-3"/>
            <w:sz w:val="20"/>
          </w:rPr>
          <w:t xml:space="preserve"> </w:t>
        </w:r>
        <w:r>
          <w:rPr>
            <w:sz w:val="20"/>
          </w:rPr>
          <w:t>In: Ruddy</w:t>
        </w:r>
        <w:r>
          <w:rPr>
            <w:spacing w:val="-1"/>
            <w:sz w:val="20"/>
          </w:rPr>
          <w:t xml:space="preserve"> </w:t>
        </w:r>
        <w:r>
          <w:rPr>
            <w:sz w:val="20"/>
          </w:rPr>
          <w:t>S,</w:t>
        </w:r>
        <w:r>
          <w:rPr>
            <w:spacing w:val="-3"/>
            <w:sz w:val="20"/>
          </w:rPr>
          <w:t xml:space="preserve"> </w:t>
        </w:r>
        <w:r>
          <w:rPr>
            <w:sz w:val="20"/>
          </w:rPr>
          <w:t>Harris</w:t>
        </w:r>
        <w:r>
          <w:rPr>
            <w:spacing w:val="-5"/>
            <w:sz w:val="20"/>
          </w:rPr>
          <w:t xml:space="preserve"> </w:t>
        </w:r>
        <w:r>
          <w:rPr>
            <w:sz w:val="20"/>
          </w:rPr>
          <w:t>E,</w:t>
        </w:r>
        <w:r>
          <w:rPr>
            <w:spacing w:val="-3"/>
            <w:sz w:val="20"/>
          </w:rPr>
          <w:t xml:space="preserve"> </w:t>
        </w:r>
        <w:r>
          <w:rPr>
            <w:sz w:val="20"/>
          </w:rPr>
          <w:t>Sledge</w:t>
        </w:r>
        <w:r>
          <w:rPr>
            <w:spacing w:val="-2"/>
            <w:sz w:val="20"/>
          </w:rPr>
          <w:t xml:space="preserve"> </w:t>
        </w:r>
        <w:r>
          <w:rPr>
            <w:sz w:val="20"/>
          </w:rPr>
          <w:t>C.</w:t>
        </w:r>
      </w:hyperlink>
      <w:r>
        <w:rPr>
          <w:sz w:val="20"/>
        </w:rPr>
        <w:t xml:space="preserve"> </w:t>
      </w:r>
      <w:hyperlink r:id="rId19">
        <w:r>
          <w:rPr>
            <w:sz w:val="20"/>
          </w:rPr>
          <w:t>Kelly's Textbook of Rheumatology. 6</w:t>
        </w:r>
        <w:proofErr w:type="spellStart"/>
        <w:r>
          <w:rPr>
            <w:position w:val="5"/>
            <w:sz w:val="13"/>
          </w:rPr>
          <w:t>th</w:t>
        </w:r>
        <w:proofErr w:type="spellEnd"/>
        <w:r>
          <w:rPr>
            <w:spacing w:val="40"/>
            <w:position w:val="5"/>
            <w:sz w:val="13"/>
          </w:rPr>
          <w:t xml:space="preserve"> </w:t>
        </w:r>
        <w:r>
          <w:rPr>
            <w:sz w:val="20"/>
          </w:rPr>
          <w:t>(</w:t>
        </w:r>
        <w:proofErr w:type="spellStart"/>
        <w:r>
          <w:rPr>
            <w:sz w:val="20"/>
          </w:rPr>
          <w:t>Edn</w:t>
        </w:r>
        <w:proofErr w:type="spellEnd"/>
        <w:r>
          <w:rPr>
            <w:sz w:val="20"/>
          </w:rPr>
          <w:t>.), WB</w:t>
        </w:r>
      </w:hyperlink>
      <w:r>
        <w:rPr>
          <w:sz w:val="20"/>
        </w:rPr>
        <w:t xml:space="preserve"> </w:t>
      </w:r>
      <w:hyperlink r:id="rId20">
        <w:r>
          <w:rPr>
            <w:sz w:val="20"/>
          </w:rPr>
          <w:t>Saunders, Philadelphia, pp: 921-966.</w:t>
        </w:r>
      </w:hyperlink>
    </w:p>
    <w:p w14:paraId="3C09C595" w14:textId="77777777" w:rsidR="00141BF1" w:rsidRDefault="0011027C">
      <w:pPr>
        <w:pStyle w:val="ListParagraph"/>
        <w:numPr>
          <w:ilvl w:val="0"/>
          <w:numId w:val="1"/>
        </w:numPr>
        <w:tabs>
          <w:tab w:val="left" w:pos="893"/>
        </w:tabs>
        <w:rPr>
          <w:sz w:val="20"/>
        </w:rPr>
      </w:pPr>
      <w:r>
        <w:rPr>
          <w:sz w:val="20"/>
        </w:rPr>
        <w:t>Nam J, Combe B, Emery P (2012) Early Arthritis, In: Bijlsma JWJ, EULAR Textbook on Rheumatic Diseases. 1</w:t>
      </w:r>
      <w:proofErr w:type="spellStart"/>
      <w:r>
        <w:rPr>
          <w:position w:val="5"/>
          <w:sz w:val="13"/>
        </w:rPr>
        <w:t>st</w:t>
      </w:r>
      <w:proofErr w:type="spellEnd"/>
      <w:r>
        <w:rPr>
          <w:spacing w:val="40"/>
          <w:position w:val="5"/>
          <w:sz w:val="13"/>
        </w:rPr>
        <w:t xml:space="preserve"> </w:t>
      </w:r>
      <w:r>
        <w:rPr>
          <w:sz w:val="20"/>
        </w:rPr>
        <w:t>(</w:t>
      </w:r>
      <w:proofErr w:type="spellStart"/>
      <w:r>
        <w:rPr>
          <w:sz w:val="20"/>
        </w:rPr>
        <w:t>Edn</w:t>
      </w:r>
      <w:proofErr w:type="spellEnd"/>
      <w:r>
        <w:rPr>
          <w:sz w:val="20"/>
        </w:rPr>
        <w:t xml:space="preserve">.), BMJ group, London pp: 185- </w:t>
      </w:r>
      <w:r>
        <w:rPr>
          <w:spacing w:val="-4"/>
          <w:sz w:val="20"/>
        </w:rPr>
        <w:t>205.</w:t>
      </w:r>
    </w:p>
    <w:p w14:paraId="5DEDC735" w14:textId="77777777" w:rsidR="00141BF1" w:rsidRDefault="0011027C">
      <w:pPr>
        <w:pStyle w:val="ListParagraph"/>
        <w:numPr>
          <w:ilvl w:val="0"/>
          <w:numId w:val="1"/>
        </w:numPr>
        <w:tabs>
          <w:tab w:val="left" w:pos="893"/>
          <w:tab w:val="left" w:pos="3587"/>
          <w:tab w:val="left" w:pos="4714"/>
        </w:tabs>
        <w:ind w:right="205"/>
        <w:rPr>
          <w:sz w:val="20"/>
        </w:rPr>
      </w:pPr>
      <w:hyperlink r:id="rId21">
        <w:r w:rsidRPr="000627D0">
          <w:rPr>
            <w:sz w:val="20"/>
            <w:lang w:val="nb-NO"/>
          </w:rPr>
          <w:t>Aletaha D, Neogi T, Silman AJ, Funovits J, Felson DT,</w:t>
        </w:r>
      </w:hyperlink>
      <w:r w:rsidRPr="000627D0">
        <w:rPr>
          <w:sz w:val="20"/>
          <w:lang w:val="nb-NO"/>
        </w:rPr>
        <w:t xml:space="preserve"> </w:t>
      </w:r>
      <w:hyperlink r:id="rId22">
        <w:r w:rsidRPr="000627D0">
          <w:rPr>
            <w:sz w:val="20"/>
            <w:lang w:val="nb-NO"/>
          </w:rPr>
          <w:t xml:space="preserve">et al. </w:t>
        </w:r>
        <w:r>
          <w:rPr>
            <w:sz w:val="20"/>
          </w:rPr>
          <w:t>(2010) 2010 Rheumatoid arthritis</w:t>
        </w:r>
      </w:hyperlink>
      <w:r>
        <w:rPr>
          <w:sz w:val="20"/>
        </w:rPr>
        <w:t xml:space="preserve"> </w:t>
      </w:r>
      <w:hyperlink r:id="rId23">
        <w:r>
          <w:rPr>
            <w:sz w:val="20"/>
          </w:rPr>
          <w:t>classification criteria: an American College of</w:t>
        </w:r>
      </w:hyperlink>
      <w:r>
        <w:rPr>
          <w:sz w:val="20"/>
        </w:rPr>
        <w:t xml:space="preserve"> </w:t>
      </w:r>
      <w:hyperlink r:id="rId24">
        <w:r>
          <w:rPr>
            <w:spacing w:val="-2"/>
            <w:sz w:val="20"/>
          </w:rPr>
          <w:t>Rheumatology/European</w:t>
        </w:r>
        <w:r>
          <w:rPr>
            <w:sz w:val="20"/>
          </w:rPr>
          <w:tab/>
        </w:r>
        <w:r>
          <w:rPr>
            <w:spacing w:val="-2"/>
            <w:sz w:val="20"/>
          </w:rPr>
          <w:t>League</w:t>
        </w:r>
        <w:r>
          <w:rPr>
            <w:sz w:val="20"/>
          </w:rPr>
          <w:tab/>
        </w:r>
        <w:r>
          <w:rPr>
            <w:spacing w:val="-2"/>
            <w:sz w:val="20"/>
          </w:rPr>
          <w:t>Against</w:t>
        </w:r>
      </w:hyperlink>
      <w:r>
        <w:rPr>
          <w:spacing w:val="-2"/>
          <w:sz w:val="20"/>
        </w:rPr>
        <w:t xml:space="preserve"> </w:t>
      </w:r>
      <w:hyperlink r:id="rId25">
        <w:r>
          <w:rPr>
            <w:sz w:val="20"/>
          </w:rPr>
          <w:t>Rheumatism collaborative initiative. Arthritis</w:t>
        </w:r>
      </w:hyperlink>
      <w:r>
        <w:rPr>
          <w:sz w:val="20"/>
        </w:rPr>
        <w:t xml:space="preserve"> </w:t>
      </w:r>
      <w:hyperlink r:id="rId26">
        <w:r>
          <w:rPr>
            <w:sz w:val="20"/>
          </w:rPr>
          <w:t>Rheum 62(9): 2569-2581.</w:t>
        </w:r>
      </w:hyperlink>
    </w:p>
    <w:p w14:paraId="0600338B" w14:textId="77777777" w:rsidR="00141BF1" w:rsidRDefault="0011027C">
      <w:pPr>
        <w:pStyle w:val="ListParagraph"/>
        <w:numPr>
          <w:ilvl w:val="0"/>
          <w:numId w:val="1"/>
        </w:numPr>
        <w:tabs>
          <w:tab w:val="left" w:pos="893"/>
        </w:tabs>
        <w:spacing w:before="202"/>
        <w:rPr>
          <w:sz w:val="20"/>
        </w:rPr>
      </w:pPr>
      <w:hyperlink r:id="rId27">
        <w:r>
          <w:rPr>
            <w:sz w:val="20"/>
          </w:rPr>
          <w:t>Quinn MA, Green MJ, Conaghan P, Emery P (2001)</w:t>
        </w:r>
      </w:hyperlink>
      <w:r>
        <w:rPr>
          <w:sz w:val="20"/>
        </w:rPr>
        <w:t xml:space="preserve"> </w:t>
      </w:r>
      <w:hyperlink r:id="rId28">
        <w:r>
          <w:rPr>
            <w:sz w:val="20"/>
          </w:rPr>
          <w:t>How do you diagnose rheumatoid arthritis early?</w:t>
        </w:r>
      </w:hyperlink>
      <w:r>
        <w:rPr>
          <w:sz w:val="20"/>
        </w:rPr>
        <w:t xml:space="preserve"> </w:t>
      </w:r>
      <w:hyperlink r:id="rId29">
        <w:r>
          <w:rPr>
            <w:sz w:val="20"/>
          </w:rPr>
          <w:t xml:space="preserve">Best </w:t>
        </w:r>
        <w:proofErr w:type="spellStart"/>
        <w:r>
          <w:rPr>
            <w:sz w:val="20"/>
          </w:rPr>
          <w:t>Pract</w:t>
        </w:r>
        <w:proofErr w:type="spellEnd"/>
        <w:r>
          <w:rPr>
            <w:sz w:val="20"/>
          </w:rPr>
          <w:t xml:space="preserve"> Res Clin </w:t>
        </w:r>
        <w:proofErr w:type="spellStart"/>
        <w:r>
          <w:rPr>
            <w:sz w:val="20"/>
          </w:rPr>
          <w:t>Rheumatol</w:t>
        </w:r>
        <w:proofErr w:type="spellEnd"/>
        <w:r>
          <w:rPr>
            <w:sz w:val="20"/>
          </w:rPr>
          <w:t xml:space="preserve"> 15(1): 49-66.</w:t>
        </w:r>
      </w:hyperlink>
    </w:p>
    <w:p w14:paraId="50C61591" w14:textId="77777777" w:rsidR="007257D0" w:rsidRPr="004825DC" w:rsidRDefault="007257D0" w:rsidP="007257D0">
      <w:pPr>
        <w:pStyle w:val="ListParagraph"/>
        <w:numPr>
          <w:ilvl w:val="0"/>
          <w:numId w:val="1"/>
        </w:numPr>
        <w:tabs>
          <w:tab w:val="left" w:pos="893"/>
        </w:tabs>
        <w:spacing w:before="202"/>
        <w:rPr>
          <w:sz w:val="20"/>
          <w:highlight w:val="yellow"/>
        </w:rPr>
      </w:pPr>
      <w:r w:rsidRPr="000627D0">
        <w:rPr>
          <w:sz w:val="20"/>
          <w:highlight w:val="yellow"/>
          <w:lang w:val="pt-BR"/>
        </w:rPr>
        <w:t xml:space="preserve">O’Neil, L. J., Alpízar-Rodríguez, D., &amp; Deane, K. D. (2024). </w:t>
      </w:r>
      <w:r w:rsidRPr="004825DC">
        <w:rPr>
          <w:sz w:val="20"/>
          <w:highlight w:val="yellow"/>
        </w:rPr>
        <w:t>Rheumatoid arthritis: the continuum of disease and strategies for prediction, early intervention, and prevention. </w:t>
      </w:r>
      <w:r w:rsidRPr="004825DC">
        <w:rPr>
          <w:i/>
          <w:iCs/>
          <w:sz w:val="20"/>
          <w:highlight w:val="yellow"/>
        </w:rPr>
        <w:t>The Journal of Rheumatology</w:t>
      </w:r>
      <w:r w:rsidRPr="004825DC">
        <w:rPr>
          <w:sz w:val="20"/>
          <w:highlight w:val="yellow"/>
        </w:rPr>
        <w:t>, </w:t>
      </w:r>
      <w:r w:rsidRPr="004825DC">
        <w:rPr>
          <w:i/>
          <w:iCs/>
          <w:sz w:val="20"/>
          <w:highlight w:val="yellow"/>
        </w:rPr>
        <w:t>51</w:t>
      </w:r>
      <w:r w:rsidRPr="004825DC">
        <w:rPr>
          <w:sz w:val="20"/>
          <w:highlight w:val="yellow"/>
        </w:rPr>
        <w:t>(4), 337-349.</w:t>
      </w:r>
    </w:p>
    <w:p w14:paraId="5A362CBF" w14:textId="77777777" w:rsidR="007257D0" w:rsidRPr="004825DC" w:rsidRDefault="007257D0" w:rsidP="007257D0">
      <w:pPr>
        <w:pStyle w:val="ListParagraph"/>
        <w:numPr>
          <w:ilvl w:val="0"/>
          <w:numId w:val="1"/>
        </w:numPr>
        <w:tabs>
          <w:tab w:val="left" w:pos="893"/>
        </w:tabs>
        <w:spacing w:before="202"/>
        <w:rPr>
          <w:sz w:val="20"/>
          <w:highlight w:val="yellow"/>
        </w:rPr>
      </w:pPr>
      <w:r w:rsidRPr="004825DC">
        <w:rPr>
          <w:sz w:val="20"/>
          <w:highlight w:val="yellow"/>
        </w:rPr>
        <w:t>Taylor, P. C. (2020). Update on the diagnosis and management of early rheumatoid arthritis. </w:t>
      </w:r>
      <w:r w:rsidRPr="004825DC">
        <w:rPr>
          <w:i/>
          <w:iCs/>
          <w:sz w:val="20"/>
          <w:highlight w:val="yellow"/>
        </w:rPr>
        <w:t>Clinical Medicine</w:t>
      </w:r>
      <w:r w:rsidRPr="004825DC">
        <w:rPr>
          <w:sz w:val="20"/>
          <w:highlight w:val="yellow"/>
        </w:rPr>
        <w:t>, </w:t>
      </w:r>
      <w:r w:rsidRPr="004825DC">
        <w:rPr>
          <w:i/>
          <w:iCs/>
          <w:sz w:val="20"/>
          <w:highlight w:val="yellow"/>
        </w:rPr>
        <w:t>20</w:t>
      </w:r>
      <w:r w:rsidRPr="004825DC">
        <w:rPr>
          <w:sz w:val="20"/>
          <w:highlight w:val="yellow"/>
        </w:rPr>
        <w:t>(6), 561-564.</w:t>
      </w:r>
    </w:p>
    <w:p w14:paraId="6B5F89C1" w14:textId="77777777" w:rsidR="007257D0" w:rsidRPr="004825DC" w:rsidRDefault="007257D0" w:rsidP="007257D0">
      <w:pPr>
        <w:pStyle w:val="ListParagraph"/>
        <w:numPr>
          <w:ilvl w:val="0"/>
          <w:numId w:val="1"/>
        </w:numPr>
        <w:tabs>
          <w:tab w:val="left" w:pos="893"/>
        </w:tabs>
        <w:spacing w:before="202"/>
        <w:rPr>
          <w:sz w:val="20"/>
          <w:highlight w:val="yellow"/>
        </w:rPr>
      </w:pPr>
      <w:r w:rsidRPr="004825DC">
        <w:rPr>
          <w:sz w:val="20"/>
          <w:highlight w:val="yellow"/>
        </w:rPr>
        <w:t xml:space="preserve">Poznyak, A. V., Kirichenko, T. V., </w:t>
      </w:r>
      <w:proofErr w:type="spellStart"/>
      <w:r w:rsidRPr="004825DC">
        <w:rPr>
          <w:sz w:val="20"/>
          <w:highlight w:val="yellow"/>
        </w:rPr>
        <w:t>Beloyartsev</w:t>
      </w:r>
      <w:proofErr w:type="spellEnd"/>
      <w:r w:rsidRPr="004825DC">
        <w:rPr>
          <w:sz w:val="20"/>
          <w:highlight w:val="yellow"/>
        </w:rPr>
        <w:t xml:space="preserve">, D. F., </w:t>
      </w:r>
      <w:proofErr w:type="spellStart"/>
      <w:r w:rsidRPr="004825DC">
        <w:rPr>
          <w:sz w:val="20"/>
          <w:highlight w:val="yellow"/>
        </w:rPr>
        <w:lastRenderedPageBreak/>
        <w:t>Churov</w:t>
      </w:r>
      <w:proofErr w:type="spellEnd"/>
      <w:r w:rsidRPr="004825DC">
        <w:rPr>
          <w:sz w:val="20"/>
          <w:highlight w:val="yellow"/>
        </w:rPr>
        <w:t xml:space="preserve">, A. V., </w:t>
      </w:r>
      <w:proofErr w:type="spellStart"/>
      <w:r w:rsidRPr="004825DC">
        <w:rPr>
          <w:sz w:val="20"/>
          <w:highlight w:val="yellow"/>
        </w:rPr>
        <w:t>Kovyanova</w:t>
      </w:r>
      <w:proofErr w:type="spellEnd"/>
      <w:r w:rsidRPr="004825DC">
        <w:rPr>
          <w:sz w:val="20"/>
          <w:highlight w:val="yellow"/>
        </w:rPr>
        <w:t xml:space="preserve">, T. I., </w:t>
      </w:r>
      <w:proofErr w:type="spellStart"/>
      <w:r w:rsidRPr="004825DC">
        <w:rPr>
          <w:sz w:val="20"/>
          <w:highlight w:val="yellow"/>
        </w:rPr>
        <w:t>Starodubtseva</w:t>
      </w:r>
      <w:proofErr w:type="spellEnd"/>
      <w:r w:rsidRPr="004825DC">
        <w:rPr>
          <w:sz w:val="20"/>
          <w:highlight w:val="yellow"/>
        </w:rPr>
        <w:t>, I. A., Sukhorukov, V. N., Antonov, S. A., &amp; Orekhov, A. N. (2024). Rheumatoid Arthritis: What Inflammation Do We Face? </w:t>
      </w:r>
      <w:r w:rsidRPr="004825DC">
        <w:rPr>
          <w:i/>
          <w:iCs/>
          <w:sz w:val="20"/>
          <w:highlight w:val="yellow"/>
        </w:rPr>
        <w:t>Journal of Molecular Pathology</w:t>
      </w:r>
      <w:r w:rsidRPr="004825DC">
        <w:rPr>
          <w:sz w:val="20"/>
          <w:highlight w:val="yellow"/>
        </w:rPr>
        <w:t>, </w:t>
      </w:r>
      <w:r w:rsidRPr="004825DC">
        <w:rPr>
          <w:i/>
          <w:iCs/>
          <w:sz w:val="20"/>
          <w:highlight w:val="yellow"/>
        </w:rPr>
        <w:t>5</w:t>
      </w:r>
      <w:r w:rsidRPr="004825DC">
        <w:rPr>
          <w:sz w:val="20"/>
          <w:highlight w:val="yellow"/>
        </w:rPr>
        <w:t xml:space="preserve">(4), 454-465. </w:t>
      </w:r>
      <w:hyperlink r:id="rId30" w:history="1">
        <w:r w:rsidRPr="004825DC">
          <w:rPr>
            <w:rStyle w:val="Hyperlink"/>
            <w:sz w:val="20"/>
            <w:highlight w:val="yellow"/>
          </w:rPr>
          <w:t>https://doi.org/10.3390/jmp5040030</w:t>
        </w:r>
      </w:hyperlink>
    </w:p>
    <w:p w14:paraId="4B34A04E" w14:textId="77777777" w:rsidR="007257D0" w:rsidRPr="004825DC" w:rsidRDefault="007257D0" w:rsidP="007257D0">
      <w:pPr>
        <w:pStyle w:val="ListParagraph"/>
        <w:numPr>
          <w:ilvl w:val="0"/>
          <w:numId w:val="1"/>
        </w:numPr>
        <w:tabs>
          <w:tab w:val="left" w:pos="893"/>
        </w:tabs>
        <w:spacing w:before="202"/>
        <w:rPr>
          <w:sz w:val="20"/>
          <w:highlight w:val="yellow"/>
        </w:rPr>
      </w:pPr>
      <w:r w:rsidRPr="004825DC">
        <w:rPr>
          <w:sz w:val="20"/>
          <w:highlight w:val="yellow"/>
        </w:rPr>
        <w:t xml:space="preserve">Jang, S., Kwon, E.-J., &amp; Lee, J. J. (2022). Rheumatoid </w:t>
      </w:r>
      <w:r w:rsidRPr="004825DC">
        <w:rPr>
          <w:sz w:val="20"/>
          <w:highlight w:val="yellow"/>
        </w:rPr>
        <w:t>Arthritis: Pathogenic Roles of Diverse Immune Cells. </w:t>
      </w:r>
      <w:r w:rsidRPr="004825DC">
        <w:rPr>
          <w:i/>
          <w:iCs/>
          <w:sz w:val="20"/>
          <w:highlight w:val="yellow"/>
        </w:rPr>
        <w:t>International Journal of Molecular Sciences</w:t>
      </w:r>
      <w:r w:rsidRPr="004825DC">
        <w:rPr>
          <w:sz w:val="20"/>
          <w:highlight w:val="yellow"/>
        </w:rPr>
        <w:t>, </w:t>
      </w:r>
      <w:r w:rsidRPr="004825DC">
        <w:rPr>
          <w:i/>
          <w:iCs/>
          <w:sz w:val="20"/>
          <w:highlight w:val="yellow"/>
        </w:rPr>
        <w:t>23</w:t>
      </w:r>
      <w:r w:rsidRPr="004825DC">
        <w:rPr>
          <w:sz w:val="20"/>
          <w:highlight w:val="yellow"/>
        </w:rPr>
        <w:t>(2), 905. https://doi.org/10.3390/ijms23020905</w:t>
      </w:r>
    </w:p>
    <w:p w14:paraId="3CF6BF75" w14:textId="77777777" w:rsidR="007257D0" w:rsidRDefault="007257D0">
      <w:pPr>
        <w:pStyle w:val="ListParagraph"/>
        <w:rPr>
          <w:sz w:val="20"/>
        </w:rPr>
      </w:pPr>
    </w:p>
    <w:p w14:paraId="611BAD4A" w14:textId="77777777" w:rsidR="007257D0" w:rsidRDefault="007257D0">
      <w:pPr>
        <w:pStyle w:val="ListParagraph"/>
        <w:rPr>
          <w:sz w:val="20"/>
        </w:rPr>
        <w:sectPr w:rsidR="007257D0">
          <w:type w:val="continuous"/>
          <w:pgSz w:w="12240" w:h="15840"/>
          <w:pgMar w:top="260" w:right="720" w:bottom="280" w:left="0" w:header="720" w:footer="720" w:gutter="0"/>
          <w:cols w:num="2" w:space="720" w:equalWidth="0">
            <w:col w:w="5909" w:space="40"/>
            <w:col w:w="5571"/>
          </w:cols>
        </w:sectPr>
      </w:pPr>
    </w:p>
    <w:p w14:paraId="7DD3DC27" w14:textId="77777777" w:rsidR="00141BF1" w:rsidRDefault="00141BF1">
      <w:pPr>
        <w:pStyle w:val="BodyText"/>
      </w:pPr>
    </w:p>
    <w:p w14:paraId="43B1B011" w14:textId="77777777" w:rsidR="00141BF1" w:rsidRDefault="00141BF1">
      <w:pPr>
        <w:pStyle w:val="BodyText"/>
      </w:pPr>
    </w:p>
    <w:p w14:paraId="12BC453C" w14:textId="77777777" w:rsidR="00141BF1" w:rsidRDefault="00141BF1">
      <w:pPr>
        <w:pStyle w:val="BodyText"/>
      </w:pPr>
    </w:p>
    <w:p w14:paraId="5BB8C618" w14:textId="77777777" w:rsidR="00141BF1" w:rsidRDefault="00141BF1">
      <w:pPr>
        <w:pStyle w:val="BodyText"/>
      </w:pPr>
    </w:p>
    <w:p w14:paraId="5A946281" w14:textId="77777777" w:rsidR="00141BF1" w:rsidRDefault="00141BF1">
      <w:pPr>
        <w:pStyle w:val="BodyText"/>
      </w:pPr>
    </w:p>
    <w:p w14:paraId="0993DC43" w14:textId="77777777" w:rsidR="00141BF1" w:rsidRDefault="00141BF1">
      <w:pPr>
        <w:pStyle w:val="BodyText"/>
      </w:pPr>
    </w:p>
    <w:p w14:paraId="0875B150" w14:textId="77777777" w:rsidR="00141BF1" w:rsidRDefault="00141BF1">
      <w:pPr>
        <w:pStyle w:val="BodyText"/>
      </w:pPr>
    </w:p>
    <w:p w14:paraId="261FFBAB" w14:textId="77777777" w:rsidR="00141BF1" w:rsidRDefault="00141BF1">
      <w:pPr>
        <w:pStyle w:val="BodyText"/>
      </w:pPr>
    </w:p>
    <w:p w14:paraId="34068C0A" w14:textId="77777777" w:rsidR="00141BF1" w:rsidRDefault="00141BF1">
      <w:pPr>
        <w:pStyle w:val="BodyText"/>
        <w:spacing w:before="106"/>
      </w:pPr>
    </w:p>
    <w:p w14:paraId="7A3728F5" w14:textId="77777777" w:rsidR="00141BF1" w:rsidRDefault="00141BF1">
      <w:pPr>
        <w:pStyle w:val="BodyText"/>
        <w:sectPr w:rsidR="00141BF1">
          <w:type w:val="continuous"/>
          <w:pgSz w:w="12240" w:h="15840"/>
          <w:pgMar w:top="260" w:right="720" w:bottom="280" w:left="0" w:header="720" w:footer="720" w:gutter="0"/>
          <w:cols w:space="720"/>
        </w:sectPr>
      </w:pPr>
    </w:p>
    <w:p w14:paraId="5FFFCA36" w14:textId="7537239C" w:rsidR="00141BF1" w:rsidRDefault="00141BF1">
      <w:pPr>
        <w:spacing w:before="71"/>
        <w:ind w:left="1080"/>
        <w:rPr>
          <w:sz w:val="16"/>
        </w:rPr>
      </w:pPr>
    </w:p>
    <w:sectPr w:rsidR="00141BF1">
      <w:type w:val="continuous"/>
      <w:pgSz w:w="12240" w:h="15840"/>
      <w:pgMar w:top="260" w:right="720" w:bottom="280" w:left="0" w:header="720" w:footer="720" w:gutter="0"/>
      <w:cols w:num="2" w:space="720" w:equalWidth="0">
        <w:col w:w="6028" w:space="1833"/>
        <w:col w:w="3659"/>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avi Kirti" w:date="2025-04-22T10:01:00Z" w:initials="MK">
    <w:p w14:paraId="54DCD5DF" w14:textId="77777777" w:rsidR="00AF249C" w:rsidRDefault="00AF249C" w:rsidP="00AF249C">
      <w:pPr>
        <w:pStyle w:val="CommentText"/>
      </w:pPr>
      <w:r>
        <w:rPr>
          <w:rStyle w:val="CommentReference"/>
        </w:rPr>
        <w:annotationRef/>
      </w:r>
      <w:r>
        <w:rPr>
          <w:lang w:val="en-IN"/>
        </w:rPr>
        <w:t>Maintain uniform font size. Introduction’s font seems different from other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CD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F55867" w16cex:dateUtc="2025-04-22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CD5DF" w16cid:durableId="30F558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10AC" w14:textId="77777777" w:rsidR="000540EC" w:rsidRDefault="000540EC" w:rsidP="00232678">
      <w:r>
        <w:separator/>
      </w:r>
    </w:p>
  </w:endnote>
  <w:endnote w:type="continuationSeparator" w:id="0">
    <w:p w14:paraId="6D647EB3" w14:textId="77777777" w:rsidR="000540EC" w:rsidRDefault="000540EC" w:rsidP="0023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C3A8" w14:textId="77777777" w:rsidR="00232678" w:rsidRDefault="00232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CC27" w14:textId="77777777" w:rsidR="00232678" w:rsidRDefault="00232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F21" w14:textId="77777777" w:rsidR="00232678" w:rsidRDefault="0023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DCF8" w14:textId="77777777" w:rsidR="000540EC" w:rsidRDefault="000540EC" w:rsidP="00232678">
      <w:r>
        <w:separator/>
      </w:r>
    </w:p>
  </w:footnote>
  <w:footnote w:type="continuationSeparator" w:id="0">
    <w:p w14:paraId="0FEB42BF" w14:textId="77777777" w:rsidR="000540EC" w:rsidRDefault="000540EC" w:rsidP="0023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47CE" w14:textId="3E925387" w:rsidR="00232678" w:rsidRDefault="00000000">
    <w:pPr>
      <w:pStyle w:val="Header"/>
    </w:pPr>
    <w:r>
      <w:rPr>
        <w:noProof/>
      </w:rPr>
      <w:pict w14:anchorId="41E66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27797" o:spid="_x0000_s1026" type="#_x0000_t136" style="position:absolute;margin-left:0;margin-top:0;width:721.9pt;height:90.2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4A07" w14:textId="754450D7" w:rsidR="00232678" w:rsidRDefault="00000000">
    <w:pPr>
      <w:pStyle w:val="Header"/>
    </w:pPr>
    <w:r>
      <w:rPr>
        <w:noProof/>
      </w:rPr>
      <w:pict w14:anchorId="0907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27798" o:spid="_x0000_s1027" type="#_x0000_t136" style="position:absolute;margin-left:0;margin-top:0;width:721.9pt;height:90.2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1ED1" w14:textId="4D3346CF" w:rsidR="00232678" w:rsidRDefault="00000000">
    <w:pPr>
      <w:pStyle w:val="Header"/>
    </w:pPr>
    <w:r>
      <w:rPr>
        <w:noProof/>
      </w:rPr>
      <w:pict w14:anchorId="1DB1E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27796" o:spid="_x0000_s1025" type="#_x0000_t136" style="position:absolute;margin-left:0;margin-top:0;width:721.9pt;height:90.2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F4B18"/>
    <w:multiLevelType w:val="hybridMultilevel"/>
    <w:tmpl w:val="284AE738"/>
    <w:lvl w:ilvl="0" w:tplc="CC4C1920">
      <w:start w:val="1"/>
      <w:numFmt w:val="decimal"/>
      <w:lvlText w:val="%1."/>
      <w:lvlJc w:val="left"/>
      <w:pPr>
        <w:ind w:left="893" w:hanging="360"/>
      </w:pPr>
      <w:rPr>
        <w:rFonts w:ascii="Cambria" w:eastAsia="Cambria" w:hAnsi="Cambria" w:cs="Cambria" w:hint="default"/>
        <w:b w:val="0"/>
        <w:bCs w:val="0"/>
        <w:i w:val="0"/>
        <w:iCs w:val="0"/>
        <w:spacing w:val="-2"/>
        <w:w w:val="100"/>
        <w:sz w:val="20"/>
        <w:szCs w:val="20"/>
        <w:lang w:val="en-US" w:eastAsia="en-US" w:bidi="ar-SA"/>
      </w:rPr>
    </w:lvl>
    <w:lvl w:ilvl="1" w:tplc="4C6C307A">
      <w:numFmt w:val="bullet"/>
      <w:lvlText w:val="•"/>
      <w:lvlJc w:val="left"/>
      <w:pPr>
        <w:ind w:left="1367" w:hanging="360"/>
      </w:pPr>
      <w:rPr>
        <w:rFonts w:hint="default"/>
        <w:lang w:val="en-US" w:eastAsia="en-US" w:bidi="ar-SA"/>
      </w:rPr>
    </w:lvl>
    <w:lvl w:ilvl="2" w:tplc="345AC76E">
      <w:numFmt w:val="bullet"/>
      <w:lvlText w:val="•"/>
      <w:lvlJc w:val="left"/>
      <w:pPr>
        <w:ind w:left="1834" w:hanging="360"/>
      </w:pPr>
      <w:rPr>
        <w:rFonts w:hint="default"/>
        <w:lang w:val="en-US" w:eastAsia="en-US" w:bidi="ar-SA"/>
      </w:rPr>
    </w:lvl>
    <w:lvl w:ilvl="3" w:tplc="4A8656EE">
      <w:numFmt w:val="bullet"/>
      <w:lvlText w:val="•"/>
      <w:lvlJc w:val="left"/>
      <w:pPr>
        <w:ind w:left="2301" w:hanging="360"/>
      </w:pPr>
      <w:rPr>
        <w:rFonts w:hint="default"/>
        <w:lang w:val="en-US" w:eastAsia="en-US" w:bidi="ar-SA"/>
      </w:rPr>
    </w:lvl>
    <w:lvl w:ilvl="4" w:tplc="6ED09604">
      <w:numFmt w:val="bullet"/>
      <w:lvlText w:val="•"/>
      <w:lvlJc w:val="left"/>
      <w:pPr>
        <w:ind w:left="2768" w:hanging="360"/>
      </w:pPr>
      <w:rPr>
        <w:rFonts w:hint="default"/>
        <w:lang w:val="en-US" w:eastAsia="en-US" w:bidi="ar-SA"/>
      </w:rPr>
    </w:lvl>
    <w:lvl w:ilvl="5" w:tplc="A6A45FCE">
      <w:numFmt w:val="bullet"/>
      <w:lvlText w:val="•"/>
      <w:lvlJc w:val="left"/>
      <w:pPr>
        <w:ind w:left="3235" w:hanging="360"/>
      </w:pPr>
      <w:rPr>
        <w:rFonts w:hint="default"/>
        <w:lang w:val="en-US" w:eastAsia="en-US" w:bidi="ar-SA"/>
      </w:rPr>
    </w:lvl>
    <w:lvl w:ilvl="6" w:tplc="C540CDF2">
      <w:numFmt w:val="bullet"/>
      <w:lvlText w:val="•"/>
      <w:lvlJc w:val="left"/>
      <w:pPr>
        <w:ind w:left="3702" w:hanging="360"/>
      </w:pPr>
      <w:rPr>
        <w:rFonts w:hint="default"/>
        <w:lang w:val="en-US" w:eastAsia="en-US" w:bidi="ar-SA"/>
      </w:rPr>
    </w:lvl>
    <w:lvl w:ilvl="7" w:tplc="4F6E850A">
      <w:numFmt w:val="bullet"/>
      <w:lvlText w:val="•"/>
      <w:lvlJc w:val="left"/>
      <w:pPr>
        <w:ind w:left="4169" w:hanging="360"/>
      </w:pPr>
      <w:rPr>
        <w:rFonts w:hint="default"/>
        <w:lang w:val="en-US" w:eastAsia="en-US" w:bidi="ar-SA"/>
      </w:rPr>
    </w:lvl>
    <w:lvl w:ilvl="8" w:tplc="3DF66C28">
      <w:numFmt w:val="bullet"/>
      <w:lvlText w:val="•"/>
      <w:lvlJc w:val="left"/>
      <w:pPr>
        <w:ind w:left="4637" w:hanging="360"/>
      </w:pPr>
      <w:rPr>
        <w:rFonts w:hint="default"/>
        <w:lang w:val="en-US" w:eastAsia="en-US" w:bidi="ar-SA"/>
      </w:rPr>
    </w:lvl>
  </w:abstractNum>
  <w:num w:numId="1" w16cid:durableId="13669773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vi Kirti">
    <w15:presenceInfo w15:providerId="Windows Live" w15:userId="fd6b7329a2a1f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MzMyNTczMjCzsDBT0lEKTi0uzszPAykwrAUA8ztE0SwAAAA="/>
  </w:docVars>
  <w:rsids>
    <w:rsidRoot w:val="00141BF1"/>
    <w:rsid w:val="00031875"/>
    <w:rsid w:val="000417D0"/>
    <w:rsid w:val="000540EC"/>
    <w:rsid w:val="000627D0"/>
    <w:rsid w:val="00070DE2"/>
    <w:rsid w:val="00083C99"/>
    <w:rsid w:val="000C39AA"/>
    <w:rsid w:val="000F1FC6"/>
    <w:rsid w:val="0011027C"/>
    <w:rsid w:val="00141BF1"/>
    <w:rsid w:val="00206AA7"/>
    <w:rsid w:val="00232678"/>
    <w:rsid w:val="002F70D4"/>
    <w:rsid w:val="00332AB1"/>
    <w:rsid w:val="00391323"/>
    <w:rsid w:val="003A2FEF"/>
    <w:rsid w:val="003B7668"/>
    <w:rsid w:val="004825DC"/>
    <w:rsid w:val="00490B39"/>
    <w:rsid w:val="004B79BA"/>
    <w:rsid w:val="004D506E"/>
    <w:rsid w:val="00576EF2"/>
    <w:rsid w:val="005E29A8"/>
    <w:rsid w:val="00635304"/>
    <w:rsid w:val="007257D0"/>
    <w:rsid w:val="007646DF"/>
    <w:rsid w:val="007755BD"/>
    <w:rsid w:val="007F25CB"/>
    <w:rsid w:val="009264E6"/>
    <w:rsid w:val="00A1783C"/>
    <w:rsid w:val="00A63F46"/>
    <w:rsid w:val="00AA472A"/>
    <w:rsid w:val="00AC6CF1"/>
    <w:rsid w:val="00AF249C"/>
    <w:rsid w:val="00B71E18"/>
    <w:rsid w:val="00B95807"/>
    <w:rsid w:val="00BB5905"/>
    <w:rsid w:val="00BC3703"/>
    <w:rsid w:val="00C40593"/>
    <w:rsid w:val="00C7227E"/>
    <w:rsid w:val="00C93E48"/>
    <w:rsid w:val="00CE0102"/>
    <w:rsid w:val="00D142EA"/>
    <w:rsid w:val="00D35158"/>
    <w:rsid w:val="00D5512F"/>
    <w:rsid w:val="00D622A4"/>
    <w:rsid w:val="00D95BED"/>
    <w:rsid w:val="00DE3934"/>
    <w:rsid w:val="00DE654F"/>
    <w:rsid w:val="00DE6874"/>
    <w:rsid w:val="00E5128A"/>
    <w:rsid w:val="00F07FD7"/>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A64A"/>
  <w15:docId w15:val="{6608DB47-5020-45B1-8D8D-36A1FDDC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4912"/>
      <w:outlineLvl w:val="0"/>
    </w:pPr>
    <w:rPr>
      <w:sz w:val="36"/>
      <w:szCs w:val="36"/>
    </w:rPr>
  </w:style>
  <w:style w:type="paragraph" w:styleId="Heading2">
    <w:name w:val="heading 2"/>
    <w:basedOn w:val="Normal"/>
    <w:uiPriority w:val="1"/>
    <w:qFormat/>
    <w:pPr>
      <w:ind w:left="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1171"/>
    </w:pPr>
    <w:rPr>
      <w:b/>
      <w:bCs/>
      <w:sz w:val="36"/>
      <w:szCs w:val="36"/>
    </w:rPr>
  </w:style>
  <w:style w:type="paragraph" w:styleId="ListParagraph">
    <w:name w:val="List Paragraph"/>
    <w:basedOn w:val="Normal"/>
    <w:uiPriority w:val="1"/>
    <w:qFormat/>
    <w:pPr>
      <w:spacing w:before="200"/>
      <w:ind w:left="893" w:right="20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257D0"/>
    <w:rPr>
      <w:color w:val="0000FF" w:themeColor="hyperlink"/>
      <w:u w:val="single"/>
    </w:rPr>
  </w:style>
  <w:style w:type="paragraph" w:styleId="Header">
    <w:name w:val="header"/>
    <w:basedOn w:val="Normal"/>
    <w:link w:val="HeaderChar"/>
    <w:uiPriority w:val="99"/>
    <w:unhideWhenUsed/>
    <w:rsid w:val="00232678"/>
    <w:pPr>
      <w:tabs>
        <w:tab w:val="center" w:pos="4680"/>
        <w:tab w:val="right" w:pos="9360"/>
      </w:tabs>
    </w:pPr>
  </w:style>
  <w:style w:type="character" w:customStyle="1" w:styleId="HeaderChar">
    <w:name w:val="Header Char"/>
    <w:basedOn w:val="DefaultParagraphFont"/>
    <w:link w:val="Header"/>
    <w:uiPriority w:val="99"/>
    <w:rsid w:val="00232678"/>
    <w:rPr>
      <w:rFonts w:ascii="Cambria" w:eastAsia="Cambria" w:hAnsi="Cambria" w:cs="Cambria"/>
    </w:rPr>
  </w:style>
  <w:style w:type="paragraph" w:styleId="Footer">
    <w:name w:val="footer"/>
    <w:basedOn w:val="Normal"/>
    <w:link w:val="FooterChar"/>
    <w:uiPriority w:val="99"/>
    <w:unhideWhenUsed/>
    <w:rsid w:val="00232678"/>
    <w:pPr>
      <w:tabs>
        <w:tab w:val="center" w:pos="4680"/>
        <w:tab w:val="right" w:pos="9360"/>
      </w:tabs>
    </w:pPr>
  </w:style>
  <w:style w:type="character" w:customStyle="1" w:styleId="FooterChar">
    <w:name w:val="Footer Char"/>
    <w:basedOn w:val="DefaultParagraphFont"/>
    <w:link w:val="Footer"/>
    <w:uiPriority w:val="99"/>
    <w:rsid w:val="00232678"/>
    <w:rPr>
      <w:rFonts w:ascii="Cambria" w:eastAsia="Cambria" w:hAnsi="Cambria" w:cs="Cambria"/>
    </w:rPr>
  </w:style>
  <w:style w:type="character" w:styleId="CommentReference">
    <w:name w:val="annotation reference"/>
    <w:basedOn w:val="DefaultParagraphFont"/>
    <w:uiPriority w:val="99"/>
    <w:semiHidden/>
    <w:unhideWhenUsed/>
    <w:rsid w:val="00AF249C"/>
    <w:rPr>
      <w:sz w:val="16"/>
      <w:szCs w:val="16"/>
    </w:rPr>
  </w:style>
  <w:style w:type="paragraph" w:styleId="CommentText">
    <w:name w:val="annotation text"/>
    <w:basedOn w:val="Normal"/>
    <w:link w:val="CommentTextChar"/>
    <w:uiPriority w:val="99"/>
    <w:unhideWhenUsed/>
    <w:rsid w:val="00AF249C"/>
    <w:rPr>
      <w:sz w:val="20"/>
      <w:szCs w:val="20"/>
    </w:rPr>
  </w:style>
  <w:style w:type="character" w:customStyle="1" w:styleId="CommentTextChar">
    <w:name w:val="Comment Text Char"/>
    <w:basedOn w:val="DefaultParagraphFont"/>
    <w:link w:val="CommentText"/>
    <w:uiPriority w:val="99"/>
    <w:rsid w:val="00AF249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AF249C"/>
    <w:rPr>
      <w:b/>
      <w:bCs/>
    </w:rPr>
  </w:style>
  <w:style w:type="character" w:customStyle="1" w:styleId="CommentSubjectChar">
    <w:name w:val="Comment Subject Char"/>
    <w:basedOn w:val="CommentTextChar"/>
    <w:link w:val="CommentSubject"/>
    <w:uiPriority w:val="99"/>
    <w:semiHidden/>
    <w:rsid w:val="00AF249C"/>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sciepub.com/reference/107603" TargetMode="External"/><Relationship Id="rId26" Type="http://schemas.openxmlformats.org/officeDocument/2006/relationships/hyperlink" Target="https://www.ncbi.nlm.nih.gov/pubmed/20872595" TargetMode="External"/><Relationship Id="rId3" Type="http://schemas.openxmlformats.org/officeDocument/2006/relationships/settings" Target="settings.xml"/><Relationship Id="rId21" Type="http://schemas.openxmlformats.org/officeDocument/2006/relationships/hyperlink" Target="https://www.ncbi.nlm.nih.gov/pubmed/2087259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ciepub.com/reference/107603" TargetMode="External"/><Relationship Id="rId25" Type="http://schemas.openxmlformats.org/officeDocument/2006/relationships/hyperlink" Target="https://www.ncbi.nlm.nih.gov/pubmed/20872595" TargetMode="External"/><Relationship Id="rId33"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www.sciepub.com/reference/107603" TargetMode="External"/><Relationship Id="rId29" Type="http://schemas.openxmlformats.org/officeDocument/2006/relationships/hyperlink" Target="https://www.ncbi.nlm.nih.gov/pubmed/113584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cbi.nlm.nih.gov/pubmed/20872595" TargetMode="External"/><Relationship Id="rId32"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ncbi.nlm.nih.gov/pubmed/20872595" TargetMode="External"/><Relationship Id="rId28" Type="http://schemas.openxmlformats.org/officeDocument/2006/relationships/hyperlink" Target="https://www.ncbi.nlm.nih.gov/pubmed/11358414" TargetMode="External"/><Relationship Id="rId10" Type="http://schemas.openxmlformats.org/officeDocument/2006/relationships/footer" Target="footer2.xml"/><Relationship Id="rId19" Type="http://schemas.openxmlformats.org/officeDocument/2006/relationships/hyperlink" Target="http://www.sciepub.com/reference/10760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www.ncbi.nlm.nih.gov/pubmed/20872595" TargetMode="External"/><Relationship Id="rId27" Type="http://schemas.openxmlformats.org/officeDocument/2006/relationships/hyperlink" Target="https://www.ncbi.nlm.nih.gov/pubmed/11358414" TargetMode="External"/><Relationship Id="rId30" Type="http://schemas.openxmlformats.org/officeDocument/2006/relationships/hyperlink" Target="https://doi.org/10.3390/jmp5040030"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Unrecognised Inflammatory Arthritis with Joint Destruction. J Ortho Bone Disord 2017, 1(6): 000136.</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Unrecognised Inflammatory Arthritis with Joint Destruction. J Ortho Bone Disord 2017, 1(6): 000136.</dc:title>
  <dc:creator>Copyright© Evija S, et al.</dc:creator>
  <cp:lastModifiedBy>Madhavi Kirti</cp:lastModifiedBy>
  <cp:revision>3</cp:revision>
  <dcterms:created xsi:type="dcterms:W3CDTF">2025-04-22T04:23:00Z</dcterms:created>
  <dcterms:modified xsi:type="dcterms:W3CDTF">2025-04-22T04:31:00Z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Microsoft® Office Word 2007</vt:lpwstr>
  </property>
  <property fmtid="{D5CDD505-2E9C-101B-9397-08002B2CF9AE}" pid="4" name="LastSaved">
    <vt:filetime>2025-04-17T00:00:00Z</vt:filetime>
  </property>
  <property fmtid="{D5CDD505-2E9C-101B-9397-08002B2CF9AE}" pid="5" name="Producer">
    <vt:lpwstr>Microsoft® Office Word 2007</vt:lpwstr>
  </property>
</Properties>
</file>