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21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5"/>
        <w:gridCol w:w="15767"/>
      </w:tblGrid>
      <w:tr w:rsidR="00602F7D" w:rsidRPr="005028FA" w14:paraId="1643A4CA" w14:textId="77777777" w:rsidTr="005028FA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5028F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5028FA" w14:paraId="127EAD7E" w14:textId="77777777" w:rsidTr="005028FA">
        <w:trPr>
          <w:trHeight w:val="413"/>
        </w:trPr>
        <w:tc>
          <w:tcPr>
            <w:tcW w:w="1250" w:type="pct"/>
          </w:tcPr>
          <w:p w14:paraId="3C159AA5" w14:textId="77777777" w:rsidR="0000007A" w:rsidRPr="005028F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28F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5028FA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92EA6F1" w:rsidR="0000007A" w:rsidRPr="005028FA" w:rsidRDefault="004D2C2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5028FA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Sustainable Strategies: Real-Life Stories in Agribusiness Management</w:t>
            </w:r>
          </w:p>
        </w:tc>
      </w:tr>
      <w:tr w:rsidR="0000007A" w:rsidRPr="005028FA" w14:paraId="73C90375" w14:textId="77777777" w:rsidTr="005028FA">
        <w:trPr>
          <w:trHeight w:val="290"/>
        </w:trPr>
        <w:tc>
          <w:tcPr>
            <w:tcW w:w="1250" w:type="pct"/>
          </w:tcPr>
          <w:p w14:paraId="20D28135" w14:textId="77777777" w:rsidR="0000007A" w:rsidRPr="005028F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28F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56EAFFA" w:rsidR="0000007A" w:rsidRPr="005028F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5028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5028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5028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02528" w:rsidRPr="005028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5450</w:t>
            </w:r>
          </w:p>
        </w:tc>
      </w:tr>
      <w:tr w:rsidR="0000007A" w:rsidRPr="005028FA" w14:paraId="05B60576" w14:textId="77777777" w:rsidTr="005028FA">
        <w:trPr>
          <w:trHeight w:val="331"/>
        </w:trPr>
        <w:tc>
          <w:tcPr>
            <w:tcW w:w="1250" w:type="pct"/>
          </w:tcPr>
          <w:p w14:paraId="0196A627" w14:textId="77777777" w:rsidR="0000007A" w:rsidRPr="005028F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28F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6C5D73E" w:rsidR="0000007A" w:rsidRPr="005028FA" w:rsidRDefault="004D2C2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5028FA">
              <w:rPr>
                <w:rFonts w:ascii="Arial" w:hAnsi="Arial" w:cs="Arial"/>
                <w:b/>
                <w:sz w:val="20"/>
                <w:szCs w:val="20"/>
                <w:lang w:val="en-GB"/>
              </w:rPr>
              <w:t>Sustainable Strategies: Real-Life Stories in Agribusiness Management</w:t>
            </w:r>
          </w:p>
        </w:tc>
      </w:tr>
      <w:tr w:rsidR="00CF0BBB" w:rsidRPr="005028FA" w14:paraId="6D508B1C" w14:textId="77777777" w:rsidTr="005028FA">
        <w:trPr>
          <w:trHeight w:val="332"/>
        </w:trPr>
        <w:tc>
          <w:tcPr>
            <w:tcW w:w="1250" w:type="pct"/>
          </w:tcPr>
          <w:p w14:paraId="32FC28F7" w14:textId="77777777" w:rsidR="00CF0BBB" w:rsidRPr="005028F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28F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3B895F1" w:rsidR="00CF0BBB" w:rsidRPr="005028FA" w:rsidRDefault="00E0252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28FA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18CCDD5F" w14:textId="77777777" w:rsidR="0053145F" w:rsidRPr="005028FA" w:rsidRDefault="0053145F" w:rsidP="005028FA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0E7AF375" w14:textId="77777777" w:rsidR="0053145F" w:rsidRPr="005028FA" w:rsidRDefault="0053145F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5028FA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5028F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028F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028F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5028F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028FA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5028F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5028F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028FA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5028F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28F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5028FA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5028F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028FA">
              <w:rPr>
                <w:rFonts w:ascii="Arial" w:hAnsi="Arial" w:cs="Arial"/>
                <w:lang w:val="en-GB"/>
              </w:rPr>
              <w:t>Author’s Feedback</w:t>
            </w:r>
            <w:r w:rsidRPr="005028F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028FA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5028FA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5028F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28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5028FA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5028FA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5028F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028FA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5028F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28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5028F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28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5028F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5028F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5028F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028FA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5028F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028F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5028F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5028F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5028F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028FA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5028FA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028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1171E" w:rsidRPr="005028FA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5028F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028FA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5028F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28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5028F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028F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5028FA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5028F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028FA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5028F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5028F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028F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5028F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5028F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5028F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5028F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5028F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5028F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5028F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028FA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5028F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028FA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5028FA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5028F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5028F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5028F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BE0DE54" w14:textId="77777777" w:rsidR="0060630F" w:rsidRPr="005028FA" w:rsidRDefault="0060630F" w:rsidP="0060630F">
            <w:pPr>
              <w:pStyle w:val="ListParagraph"/>
              <w:numPr>
                <w:ilvl w:val="0"/>
                <w:numId w:val="11"/>
              </w:numPr>
              <w:spacing w:after="1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28FA">
              <w:rPr>
                <w:rFonts w:ascii="Arial" w:hAnsi="Arial" w:cs="Arial"/>
                <w:sz w:val="20"/>
                <w:szCs w:val="20"/>
              </w:rPr>
              <w:t>The book is highly relevant, considering the contemporary focus on sustainable agricultural practices. Its emphasis on real-life agribusiness cases aligns well with global discussions on sustainability, climate change, and innovation in agriculture.</w:t>
            </w:r>
          </w:p>
          <w:p w14:paraId="1CBDF517" w14:textId="77777777" w:rsidR="0060630F" w:rsidRPr="005028FA" w:rsidRDefault="0060630F" w:rsidP="0060630F">
            <w:pPr>
              <w:pStyle w:val="ListParagraph"/>
              <w:numPr>
                <w:ilvl w:val="0"/>
                <w:numId w:val="11"/>
              </w:numPr>
              <w:spacing w:after="1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28FA">
              <w:rPr>
                <w:rFonts w:ascii="Arial" w:hAnsi="Arial" w:cs="Arial"/>
                <w:sz w:val="20"/>
                <w:szCs w:val="20"/>
              </w:rPr>
              <w:t>Utilizing case studies makes the book practical and applicable. It effectively bridges theoretical concepts with real-world practices, enhancing readers' comprehension of complex agribusiness scenarios.</w:t>
            </w:r>
          </w:p>
          <w:p w14:paraId="3E702C27" w14:textId="77777777" w:rsidR="0060630F" w:rsidRPr="005028FA" w:rsidRDefault="0060630F" w:rsidP="0060630F">
            <w:pPr>
              <w:pStyle w:val="ListParagraph"/>
              <w:numPr>
                <w:ilvl w:val="0"/>
                <w:numId w:val="11"/>
              </w:numPr>
              <w:spacing w:after="1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28FA">
              <w:rPr>
                <w:rFonts w:ascii="Arial" w:hAnsi="Arial" w:cs="Arial"/>
                <w:sz w:val="20"/>
                <w:szCs w:val="20"/>
              </w:rPr>
              <w:t>Excellent for educational purposes, the book includes clear learning objectives, teaching notes, and reflective questions. These components significantly facilitate classroom discussions and deepen students’ critical thinking and analytical skills.</w:t>
            </w:r>
          </w:p>
          <w:p w14:paraId="705AA1DE" w14:textId="77777777" w:rsidR="0060630F" w:rsidRPr="005028FA" w:rsidRDefault="0060630F" w:rsidP="0060630F">
            <w:pPr>
              <w:pStyle w:val="ListParagraph"/>
              <w:numPr>
                <w:ilvl w:val="0"/>
                <w:numId w:val="11"/>
              </w:numPr>
              <w:spacing w:after="1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28FA">
              <w:rPr>
                <w:rFonts w:ascii="Arial" w:hAnsi="Arial" w:cs="Arial"/>
                <w:sz w:val="20"/>
                <w:szCs w:val="20"/>
              </w:rPr>
              <w:t>It covers a broad spectrum of agribusiness areas such as agricultural inputs, food business, technological integration, farmer empowerment, and retail. This breadth allows readers to appreciate the multifaceted nature of agribusiness.</w:t>
            </w:r>
          </w:p>
          <w:p w14:paraId="6000A959" w14:textId="77777777" w:rsidR="0060630F" w:rsidRPr="005028FA" w:rsidRDefault="0060630F" w:rsidP="0060630F">
            <w:pPr>
              <w:pStyle w:val="ListParagraph"/>
              <w:numPr>
                <w:ilvl w:val="0"/>
                <w:numId w:val="11"/>
              </w:numPr>
              <w:spacing w:after="1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28FA">
              <w:rPr>
                <w:rFonts w:ascii="Arial" w:hAnsi="Arial" w:cs="Arial"/>
                <w:sz w:val="20"/>
                <w:szCs w:val="20"/>
              </w:rPr>
              <w:t xml:space="preserve">The detailed examination of companies like </w:t>
            </w:r>
            <w:proofErr w:type="spellStart"/>
            <w:r w:rsidRPr="005028FA">
              <w:rPr>
                <w:rFonts w:ascii="Arial" w:hAnsi="Arial" w:cs="Arial"/>
                <w:sz w:val="20"/>
                <w:szCs w:val="20"/>
              </w:rPr>
              <w:t>Mahadhan</w:t>
            </w:r>
            <w:proofErr w:type="spellEnd"/>
            <w:r w:rsidRPr="005028F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5028FA">
              <w:rPr>
                <w:rFonts w:ascii="Arial" w:hAnsi="Arial" w:cs="Arial"/>
                <w:sz w:val="20"/>
                <w:szCs w:val="20"/>
              </w:rPr>
              <w:t>Dhanuka</w:t>
            </w:r>
            <w:proofErr w:type="spellEnd"/>
            <w:r w:rsidRPr="005028F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028FA">
              <w:rPr>
                <w:rFonts w:ascii="Arial" w:hAnsi="Arial" w:cs="Arial"/>
                <w:sz w:val="20"/>
                <w:szCs w:val="20"/>
              </w:rPr>
              <w:t>Agritech</w:t>
            </w:r>
            <w:proofErr w:type="spellEnd"/>
            <w:r w:rsidRPr="005028FA">
              <w:rPr>
                <w:rFonts w:ascii="Arial" w:hAnsi="Arial" w:cs="Arial"/>
                <w:sz w:val="20"/>
                <w:szCs w:val="20"/>
              </w:rPr>
              <w:t>, and Kalash Seeds provides substantial insights. Each case thoroughly explores company history, challenges, strategic responses, and sustainability practices, thus enriching readers' understanding of agribusiness dynamics.</w:t>
            </w:r>
          </w:p>
          <w:p w14:paraId="146DA429" w14:textId="77777777" w:rsidR="0060630F" w:rsidRPr="005028FA" w:rsidRDefault="0060630F" w:rsidP="0060630F">
            <w:pPr>
              <w:pStyle w:val="ListParagraph"/>
              <w:numPr>
                <w:ilvl w:val="0"/>
                <w:numId w:val="11"/>
              </w:numPr>
              <w:spacing w:after="160" w:line="360" w:lineRule="auto"/>
              <w:jc w:val="both"/>
              <w:rPr>
                <w:rFonts w:ascii="Arial" w:hAnsi="Arial" w:cs="Arial"/>
                <w:sz w:val="20"/>
                <w:szCs w:val="20"/>
                <w:highlight w:val="darkGray"/>
              </w:rPr>
            </w:pPr>
            <w:r w:rsidRPr="005028FA">
              <w:rPr>
                <w:rFonts w:ascii="Arial" w:hAnsi="Arial" w:cs="Arial"/>
                <w:sz w:val="20"/>
                <w:szCs w:val="20"/>
                <w:highlight w:val="darkGray"/>
              </w:rPr>
              <w:t>While comprehensive, the sheer volume of detailed information can sometimes be overwhelming, potentially making it challenging for readers to distill core insights quickly.</w:t>
            </w:r>
          </w:p>
          <w:p w14:paraId="4D3F70CA" w14:textId="77777777" w:rsidR="0060630F" w:rsidRPr="005028FA" w:rsidRDefault="0060630F" w:rsidP="0060630F">
            <w:pPr>
              <w:pStyle w:val="ListParagraph"/>
              <w:numPr>
                <w:ilvl w:val="0"/>
                <w:numId w:val="11"/>
              </w:numPr>
              <w:spacing w:after="160" w:line="360" w:lineRule="auto"/>
              <w:jc w:val="both"/>
              <w:rPr>
                <w:rFonts w:ascii="Arial" w:hAnsi="Arial" w:cs="Arial"/>
                <w:sz w:val="20"/>
                <w:szCs w:val="20"/>
                <w:highlight w:val="darkGray"/>
              </w:rPr>
            </w:pPr>
            <w:r w:rsidRPr="005028FA">
              <w:rPr>
                <w:rFonts w:ascii="Arial" w:hAnsi="Arial" w:cs="Arial"/>
                <w:sz w:val="20"/>
                <w:szCs w:val="20"/>
                <w:highlight w:val="darkGray"/>
              </w:rPr>
              <w:t>Although uniformity in structure aids consistency, repeated frameworks across numerous case studies may become monotonous. Varying presentation styles or incorporating visual summaries might enhance engagement.</w:t>
            </w:r>
          </w:p>
          <w:p w14:paraId="15D6E28E" w14:textId="77777777" w:rsidR="0060630F" w:rsidRPr="005028FA" w:rsidRDefault="0060630F" w:rsidP="0060630F">
            <w:pPr>
              <w:pStyle w:val="ListParagraph"/>
              <w:numPr>
                <w:ilvl w:val="0"/>
                <w:numId w:val="11"/>
              </w:numPr>
              <w:spacing w:after="160" w:line="360" w:lineRule="auto"/>
              <w:jc w:val="both"/>
              <w:rPr>
                <w:rFonts w:ascii="Arial" w:hAnsi="Arial" w:cs="Arial"/>
                <w:sz w:val="20"/>
                <w:szCs w:val="20"/>
                <w:highlight w:val="darkGray"/>
              </w:rPr>
            </w:pPr>
            <w:r w:rsidRPr="005028FA">
              <w:rPr>
                <w:rFonts w:ascii="Arial" w:hAnsi="Arial" w:cs="Arial"/>
                <w:sz w:val="20"/>
                <w:szCs w:val="20"/>
                <w:highlight w:val="darkGray"/>
              </w:rPr>
              <w:t>The book predominantly highlights positive company practices and successful strategies. Incorporating critical analyses of failures or missteps would enrich the learning experience by providing lessons from less successful ventures.</w:t>
            </w:r>
          </w:p>
          <w:p w14:paraId="5E946A0E" w14:textId="566F339D" w:rsidR="00F1171E" w:rsidRPr="005028FA" w:rsidRDefault="0060630F" w:rsidP="0060630F">
            <w:pPr>
              <w:rPr>
                <w:rFonts w:ascii="Arial" w:hAnsi="Arial" w:cs="Arial"/>
                <w:sz w:val="20"/>
                <w:szCs w:val="20"/>
              </w:rPr>
            </w:pPr>
            <w:r w:rsidRPr="005028FA">
              <w:rPr>
                <w:rFonts w:ascii="Arial" w:hAnsi="Arial" w:cs="Arial"/>
                <w:sz w:val="20"/>
                <w:szCs w:val="20"/>
                <w:highlight w:val="darkGray"/>
              </w:rPr>
              <w:t>Although smallholder farmers are mentioned, deeper exploration into their specific constraints, decision-making processes, and interactions with larger agribusiness corporations would provide a more rounded perspective.</w:t>
            </w:r>
          </w:p>
          <w:p w14:paraId="031BFDFB" w14:textId="63EB47E5" w:rsidR="0060630F" w:rsidRPr="005028FA" w:rsidRDefault="0060630F" w:rsidP="006063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7045CC" w14:textId="77777777" w:rsidR="0060630F" w:rsidRPr="005028FA" w:rsidRDefault="0060630F" w:rsidP="0060630F">
            <w:pPr>
              <w:pStyle w:val="ListParagraph"/>
              <w:numPr>
                <w:ilvl w:val="0"/>
                <w:numId w:val="12"/>
              </w:numPr>
              <w:spacing w:after="160" w:line="360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028FA">
              <w:rPr>
                <w:rFonts w:ascii="Arial" w:hAnsi="Arial" w:cs="Arial"/>
                <w:sz w:val="20"/>
                <w:szCs w:val="20"/>
              </w:rPr>
              <w:t xml:space="preserve">The book could significantly benefit from additional visual aids such as </w:t>
            </w:r>
            <w:r w:rsidRPr="005028FA">
              <w:rPr>
                <w:rFonts w:ascii="Arial" w:hAnsi="Arial" w:cs="Arial"/>
                <w:color w:val="FF0000"/>
                <w:sz w:val="20"/>
                <w:szCs w:val="20"/>
              </w:rPr>
              <w:t>infographics, flowcharts, and graphical summaries. These would enhance readability, particularly for visual learners or those quickly referencing specific cases.</w:t>
            </w:r>
          </w:p>
          <w:p w14:paraId="773262B8" w14:textId="77777777" w:rsidR="0060630F" w:rsidRPr="005028FA" w:rsidRDefault="0060630F" w:rsidP="0060630F">
            <w:pPr>
              <w:pStyle w:val="ListParagraph"/>
              <w:numPr>
                <w:ilvl w:val="0"/>
                <w:numId w:val="12"/>
              </w:numPr>
              <w:spacing w:after="160" w:line="360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028FA">
              <w:rPr>
                <w:rFonts w:ascii="Arial" w:hAnsi="Arial" w:cs="Arial"/>
                <w:sz w:val="20"/>
                <w:szCs w:val="20"/>
                <w:highlight w:val="yellow"/>
              </w:rPr>
              <w:t>While rich in local context (primarily India-based cases), the book could have further globalized its appeal by including more comparative international cases or global benchmarking, providing a broader understanding of global agribusiness practices.</w:t>
            </w:r>
          </w:p>
          <w:p w14:paraId="63023536" w14:textId="77777777" w:rsidR="0060630F" w:rsidRPr="005028FA" w:rsidRDefault="0060630F" w:rsidP="0060630F">
            <w:pPr>
              <w:pStyle w:val="ListParagraph"/>
              <w:numPr>
                <w:ilvl w:val="0"/>
                <w:numId w:val="12"/>
              </w:numPr>
              <w:spacing w:after="160" w:line="360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028FA">
              <w:rPr>
                <w:rFonts w:ascii="Arial" w:hAnsi="Arial" w:cs="Arial"/>
                <w:sz w:val="20"/>
                <w:szCs w:val="20"/>
                <w:highlight w:val="yellow"/>
              </w:rPr>
              <w:lastRenderedPageBreak/>
              <w:t>Introduce concise executive summaries for each case study to enable quicker understanding and better navigability.</w:t>
            </w:r>
          </w:p>
          <w:p w14:paraId="66C048EF" w14:textId="77777777" w:rsidR="0060630F" w:rsidRPr="005028FA" w:rsidRDefault="0060630F" w:rsidP="0060630F">
            <w:pPr>
              <w:pStyle w:val="ListParagraph"/>
              <w:numPr>
                <w:ilvl w:val="0"/>
                <w:numId w:val="12"/>
              </w:numPr>
              <w:spacing w:after="160" w:line="360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028FA">
              <w:rPr>
                <w:rFonts w:ascii="Arial" w:hAnsi="Arial" w:cs="Arial"/>
                <w:sz w:val="20"/>
                <w:szCs w:val="20"/>
                <w:highlight w:val="yellow"/>
              </w:rPr>
              <w:t>Balance the successful case narratives with studies of unsuccessful initiatives to provide holistic learning.</w:t>
            </w:r>
          </w:p>
          <w:p w14:paraId="79BADD60" w14:textId="77777777" w:rsidR="0060630F" w:rsidRPr="005028FA" w:rsidRDefault="0060630F" w:rsidP="0060630F">
            <w:pPr>
              <w:pStyle w:val="ListParagraph"/>
              <w:numPr>
                <w:ilvl w:val="0"/>
                <w:numId w:val="12"/>
              </w:numPr>
              <w:spacing w:after="160" w:line="360" w:lineRule="auto"/>
              <w:jc w:val="both"/>
              <w:rPr>
                <w:rFonts w:ascii="Arial" w:hAnsi="Arial" w:cs="Arial"/>
                <w:sz w:val="20"/>
                <w:szCs w:val="20"/>
                <w:highlight w:val="red"/>
              </w:rPr>
            </w:pPr>
            <w:r w:rsidRPr="005028FA">
              <w:rPr>
                <w:rFonts w:ascii="Arial" w:hAnsi="Arial" w:cs="Arial"/>
                <w:sz w:val="20"/>
                <w:szCs w:val="20"/>
                <w:highlight w:val="red"/>
              </w:rPr>
              <w:t>Enhance reader engagement by integrating more visual elements and varying case presentation formats.</w:t>
            </w:r>
          </w:p>
          <w:p w14:paraId="10CBA2F0" w14:textId="77777777" w:rsidR="0060630F" w:rsidRPr="005028FA" w:rsidRDefault="0060630F" w:rsidP="0060630F">
            <w:pPr>
              <w:pStyle w:val="ListParagraph"/>
              <w:numPr>
                <w:ilvl w:val="0"/>
                <w:numId w:val="12"/>
              </w:numPr>
              <w:spacing w:after="1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28FA">
              <w:rPr>
                <w:rFonts w:ascii="Arial" w:hAnsi="Arial" w:cs="Arial"/>
                <w:sz w:val="20"/>
                <w:szCs w:val="20"/>
              </w:rPr>
              <w:t>Expand global perspective by incorporating comparative international case studies or cross-national analyses.</w:t>
            </w:r>
          </w:p>
          <w:p w14:paraId="6F369CCA" w14:textId="77777777" w:rsidR="0060630F" w:rsidRPr="005028FA" w:rsidRDefault="0060630F" w:rsidP="0060630F">
            <w:pPr>
              <w:pStyle w:val="ListParagraph"/>
              <w:numPr>
                <w:ilvl w:val="0"/>
                <w:numId w:val="12"/>
              </w:numPr>
              <w:spacing w:after="160" w:line="360" w:lineRule="auto"/>
              <w:jc w:val="both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5028FA">
              <w:rPr>
                <w:rFonts w:ascii="Arial" w:hAnsi="Arial" w:cs="Arial"/>
                <w:sz w:val="20"/>
                <w:szCs w:val="20"/>
                <w:highlight w:val="green"/>
              </w:rPr>
              <w:t>Overall, "Sustainable Strategies: Real-Life Stories in Agribusiness Management" is a highly commendable contribution to agribusiness literature.</w:t>
            </w:r>
          </w:p>
          <w:p w14:paraId="5432017F" w14:textId="77777777" w:rsidR="0060630F" w:rsidRPr="005028FA" w:rsidRDefault="0060630F" w:rsidP="0060630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5028F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5028F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5028F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5028F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5028FA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5028F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5028FA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5028FA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5028F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5028FA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5028F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5028F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028FA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5028F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028FA">
              <w:rPr>
                <w:rFonts w:ascii="Arial" w:hAnsi="Arial" w:cs="Arial"/>
                <w:lang w:val="en-GB"/>
              </w:rPr>
              <w:t>Author’s comment</w:t>
            </w:r>
            <w:r w:rsidRPr="005028F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028FA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5028FA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5028F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28F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5028F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5028F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028F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028F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028F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5028F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5028F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5028F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5028F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5028F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5028F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18BBB09" w14:textId="77777777" w:rsidR="00F1171E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220FE467" w14:textId="77777777" w:rsidR="005028FA" w:rsidRPr="008D2E41" w:rsidRDefault="005028FA" w:rsidP="005028F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8D2E41">
        <w:rPr>
          <w:rFonts w:ascii="Arial" w:hAnsi="Arial" w:cs="Arial"/>
          <w:b/>
          <w:u w:val="single"/>
        </w:rPr>
        <w:t>Reviewer details:</w:t>
      </w:r>
    </w:p>
    <w:p w14:paraId="56B9FA0A" w14:textId="77777777" w:rsidR="005028FA" w:rsidRPr="008D2E41" w:rsidRDefault="005028FA" w:rsidP="005028FA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8D2E41">
        <w:rPr>
          <w:rFonts w:ascii="Arial" w:hAnsi="Arial" w:cs="Arial"/>
          <w:b/>
          <w:color w:val="000000"/>
        </w:rPr>
        <w:t>Nagaraju L G, Reva University, India</w:t>
      </w:r>
    </w:p>
    <w:p w14:paraId="7A50F5D4" w14:textId="77777777" w:rsidR="005028FA" w:rsidRPr="005028FA" w:rsidRDefault="005028FA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sectPr w:rsidR="005028FA" w:rsidRPr="005028FA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44135" w14:textId="77777777" w:rsidR="00621A81" w:rsidRPr="0000007A" w:rsidRDefault="00621A81" w:rsidP="0099583E">
      <w:r>
        <w:separator/>
      </w:r>
    </w:p>
  </w:endnote>
  <w:endnote w:type="continuationSeparator" w:id="0">
    <w:p w14:paraId="34F4AEC5" w14:textId="77777777" w:rsidR="00621A81" w:rsidRPr="0000007A" w:rsidRDefault="00621A8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A6E28" w14:textId="77777777" w:rsidR="00621A81" w:rsidRPr="0000007A" w:rsidRDefault="00621A81" w:rsidP="0099583E">
      <w:r>
        <w:separator/>
      </w:r>
    </w:p>
  </w:footnote>
  <w:footnote w:type="continuationSeparator" w:id="0">
    <w:p w14:paraId="0F26B7B3" w14:textId="77777777" w:rsidR="00621A81" w:rsidRPr="0000007A" w:rsidRDefault="00621A8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F4904"/>
    <w:multiLevelType w:val="hybridMultilevel"/>
    <w:tmpl w:val="B5AADD04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FD0BC5"/>
    <w:multiLevelType w:val="hybridMultilevel"/>
    <w:tmpl w:val="B5AADD04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75552248">
    <w:abstractNumId w:val="5"/>
  </w:num>
  <w:num w:numId="2" w16cid:durableId="701825107">
    <w:abstractNumId w:val="8"/>
  </w:num>
  <w:num w:numId="3" w16cid:durableId="175779453">
    <w:abstractNumId w:val="7"/>
  </w:num>
  <w:num w:numId="4" w16cid:durableId="2105955539">
    <w:abstractNumId w:val="9"/>
  </w:num>
  <w:num w:numId="5" w16cid:durableId="1145775645">
    <w:abstractNumId w:val="6"/>
  </w:num>
  <w:num w:numId="6" w16cid:durableId="1704939560">
    <w:abstractNumId w:val="0"/>
  </w:num>
  <w:num w:numId="7" w16cid:durableId="39288520">
    <w:abstractNumId w:val="3"/>
  </w:num>
  <w:num w:numId="8" w16cid:durableId="67073185">
    <w:abstractNumId w:val="11"/>
  </w:num>
  <w:num w:numId="9" w16cid:durableId="2142258720">
    <w:abstractNumId w:val="10"/>
  </w:num>
  <w:num w:numId="10" w16cid:durableId="1434394766">
    <w:abstractNumId w:val="4"/>
  </w:num>
  <w:num w:numId="11" w16cid:durableId="1551263366">
    <w:abstractNumId w:val="1"/>
  </w:num>
  <w:num w:numId="12" w16cid:durableId="8493667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19DF"/>
    <w:rsid w:val="00312559"/>
    <w:rsid w:val="003204B8"/>
    <w:rsid w:val="00326D7D"/>
    <w:rsid w:val="0033018A"/>
    <w:rsid w:val="0033198D"/>
    <w:rsid w:val="0033692F"/>
    <w:rsid w:val="00353718"/>
    <w:rsid w:val="00374F93"/>
    <w:rsid w:val="00376BFF"/>
    <w:rsid w:val="00377F1D"/>
    <w:rsid w:val="003848CB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37F70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21EB"/>
    <w:rsid w:val="004B03BF"/>
    <w:rsid w:val="004B0965"/>
    <w:rsid w:val="004B4CAD"/>
    <w:rsid w:val="004B4FDC"/>
    <w:rsid w:val="004C0178"/>
    <w:rsid w:val="004C3DF1"/>
    <w:rsid w:val="004D2C25"/>
    <w:rsid w:val="004D2E36"/>
    <w:rsid w:val="004E08E3"/>
    <w:rsid w:val="004E1D1A"/>
    <w:rsid w:val="004E4915"/>
    <w:rsid w:val="004E5431"/>
    <w:rsid w:val="004F741F"/>
    <w:rsid w:val="004F78F5"/>
    <w:rsid w:val="004F7BF2"/>
    <w:rsid w:val="005028FA"/>
    <w:rsid w:val="00503AB6"/>
    <w:rsid w:val="005047C5"/>
    <w:rsid w:val="0050495C"/>
    <w:rsid w:val="00510920"/>
    <w:rsid w:val="0052339F"/>
    <w:rsid w:val="00530A2D"/>
    <w:rsid w:val="0053145F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0630F"/>
    <w:rsid w:val="00620677"/>
    <w:rsid w:val="00621A81"/>
    <w:rsid w:val="00624032"/>
    <w:rsid w:val="00626025"/>
    <w:rsid w:val="006311A1"/>
    <w:rsid w:val="00632F03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5BAB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D1B66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2528"/>
    <w:rsid w:val="00E03C32"/>
    <w:rsid w:val="00E16D89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16D89"/>
    <w:rPr>
      <w:b/>
      <w:bCs/>
    </w:rPr>
  </w:style>
  <w:style w:type="paragraph" w:customStyle="1" w:styleId="Affiliation">
    <w:name w:val="Affiliation"/>
    <w:basedOn w:val="Normal"/>
    <w:rsid w:val="005028F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4819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109</cp:revision>
  <dcterms:created xsi:type="dcterms:W3CDTF">2023-08-30T09:21:00Z</dcterms:created>
  <dcterms:modified xsi:type="dcterms:W3CDTF">2025-05-02T13:22:00Z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