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3AC85" w14:textId="22E6FA16" w:rsidR="00BD7A95" w:rsidRPr="00ED2CF3" w:rsidRDefault="00BD7A95" w:rsidP="0046639E">
      <w:pPr>
        <w:tabs>
          <w:tab w:val="left" w:pos="3510"/>
        </w:tabs>
        <w:spacing w:after="0" w:line="240" w:lineRule="auto"/>
        <w:ind w:left="2160"/>
        <w:contextualSpacing/>
        <w:jc w:val="right"/>
        <w:outlineLvl w:val="0"/>
        <w:rPr>
          <w:rFonts w:ascii="Arial" w:eastAsia="Times New Roman" w:hAnsi="Arial" w:cs="Arial"/>
          <w:b/>
          <w:i/>
          <w:sz w:val="24"/>
          <w:szCs w:val="24"/>
        </w:rPr>
      </w:pPr>
    </w:p>
    <w:p w14:paraId="05BE57B7" w14:textId="1214DDD6" w:rsidR="003C6DB6" w:rsidRPr="00ED2CF3" w:rsidRDefault="003C6DB6" w:rsidP="00311590">
      <w:pPr>
        <w:spacing w:after="0" w:line="240" w:lineRule="auto"/>
        <w:contextualSpacing/>
        <w:jc w:val="right"/>
        <w:outlineLvl w:val="0"/>
        <w:rPr>
          <w:rFonts w:ascii="Arial" w:eastAsia="Times New Roman" w:hAnsi="Arial" w:cs="Arial"/>
          <w:sz w:val="16"/>
          <w:szCs w:val="16"/>
        </w:rPr>
      </w:pPr>
    </w:p>
    <w:p w14:paraId="7237C272" w14:textId="77777777" w:rsidR="00BD7A95" w:rsidRPr="00ED2CF3" w:rsidRDefault="00BD7A95" w:rsidP="00BD7A95">
      <w:pPr>
        <w:spacing w:after="0" w:line="240" w:lineRule="auto"/>
        <w:contextualSpacing/>
        <w:jc w:val="center"/>
        <w:rPr>
          <w:rFonts w:ascii="Arial" w:eastAsia="Times New Roman" w:hAnsi="Arial" w:cs="Arial"/>
          <w:i/>
          <w:sz w:val="14"/>
          <w:szCs w:val="20"/>
        </w:rPr>
      </w:pPr>
    </w:p>
    <w:p w14:paraId="602B8DBE" w14:textId="77777777" w:rsidR="00BD7A95" w:rsidRPr="00ED2CF3" w:rsidRDefault="001E2438" w:rsidP="00BD7A95">
      <w:pPr>
        <w:spacing w:after="0" w:line="240" w:lineRule="auto"/>
        <w:contextualSpacing/>
        <w:jc w:val="right"/>
        <w:rPr>
          <w:rFonts w:ascii="Arial" w:eastAsia="Times New Roman" w:hAnsi="Arial" w:cs="Arial"/>
          <w:b/>
          <w:bCs/>
          <w:kern w:val="28"/>
          <w:sz w:val="12"/>
          <w:szCs w:val="20"/>
        </w:rPr>
      </w:pPr>
      <w:r>
        <w:rPr>
          <w:rFonts w:ascii="Arial" w:eastAsia="Times New Roman" w:hAnsi="Arial" w:cs="Arial"/>
          <w:b/>
          <w:bCs/>
          <w:noProof/>
          <w:kern w:val="28"/>
          <w:sz w:val="12"/>
          <w:szCs w:val="20"/>
        </w:rPr>
      </w:r>
      <w:r>
        <w:rPr>
          <w:rFonts w:ascii="Arial" w:eastAsia="Times New Roman" w:hAnsi="Arial" w:cs="Arial"/>
          <w:b/>
          <w:bCs/>
          <w:noProof/>
          <w:kern w:val="28"/>
          <w:sz w:val="12"/>
          <w:szCs w:val="20"/>
        </w:rPr>
        <w:pict w14:anchorId="5CF1CFC9">
          <v:shapetype id="_x0000_t32" coordsize="21600,21600" o:spt="32" o:oned="t" path="m,l21600,21600e" filled="f">
            <v:path arrowok="t" fillok="f" o:connecttype="none"/>
            <o:lock v:ext="edit" shapetype="t"/>
          </v:shapetype>
          <v:shape id="AutoShape 54" o:spid="_x0000_s1027" type="#_x0000_t32" style="width:324pt;height:0;visibility:visible;mso-left-percent:-10001;mso-top-percent:-10001;mso-position-horizontal:absolute;mso-position-horizontal-relative:char;mso-position-vertical:absolute;mso-position-vertical-relative:line;mso-left-percent:-10001;mso-top-percent:-10001" strokeweight="1.5pt">
            <w10:wrap type="none"/>
            <w10:anchorlock/>
          </v:shape>
        </w:pict>
      </w:r>
    </w:p>
    <w:p w14:paraId="01E99575" w14:textId="77777777" w:rsidR="008939AF" w:rsidRPr="00ED2CF3" w:rsidRDefault="008939AF" w:rsidP="001D4826">
      <w:pPr>
        <w:widowControl w:val="0"/>
        <w:spacing w:after="0" w:line="240" w:lineRule="auto"/>
        <w:contextualSpacing/>
        <w:jc w:val="right"/>
        <w:rPr>
          <w:rFonts w:ascii="Arial" w:eastAsia="Calibri" w:hAnsi="Arial" w:cs="Arial"/>
          <w:b/>
          <w:bCs/>
          <w:sz w:val="20"/>
          <w:szCs w:val="36"/>
        </w:rPr>
      </w:pPr>
    </w:p>
    <w:p w14:paraId="4016D37E" w14:textId="77777777" w:rsidR="00D61924" w:rsidRPr="00D61924" w:rsidRDefault="00D61924" w:rsidP="00D61924">
      <w:pPr>
        <w:spacing w:line="240" w:lineRule="auto"/>
        <w:jc w:val="both"/>
        <w:rPr>
          <w:rFonts w:ascii="Arial" w:eastAsia="Times New Roman" w:hAnsi="Arial" w:cstheme="majorBidi"/>
          <w:b/>
          <w:bCs/>
          <w:iCs/>
          <w:kern w:val="28"/>
          <w:sz w:val="32"/>
          <w:szCs w:val="28"/>
        </w:rPr>
      </w:pPr>
      <w:r w:rsidRPr="00D61924">
        <w:rPr>
          <w:rFonts w:ascii="Arial" w:eastAsia="Times New Roman" w:hAnsi="Arial" w:cstheme="majorBidi"/>
          <w:b/>
          <w:bCs/>
          <w:iCs/>
          <w:kern w:val="28"/>
          <w:sz w:val="32"/>
          <w:szCs w:val="28"/>
        </w:rPr>
        <w:t>Physicochemical and Microbial Water Quality: A Key to Sustainable Poultry Farming</w:t>
      </w:r>
    </w:p>
    <w:p w14:paraId="2F61C9EC" w14:textId="77777777" w:rsidR="00A91576" w:rsidRDefault="00A91576" w:rsidP="00A91576">
      <w:pPr>
        <w:spacing w:after="0" w:line="240" w:lineRule="auto"/>
        <w:outlineLvl w:val="0"/>
        <w:rPr>
          <w:rFonts w:ascii="Arial" w:eastAsia="Times New Roman" w:hAnsi="Arial" w:cs="Arial"/>
          <w:b/>
          <w:bCs/>
          <w:szCs w:val="20"/>
          <w:vertAlign w:val="superscript"/>
        </w:rPr>
      </w:pPr>
    </w:p>
    <w:p w14:paraId="1D4390A8" w14:textId="77777777" w:rsidR="002069F3" w:rsidRPr="00867685" w:rsidRDefault="002069F3" w:rsidP="002069F3">
      <w:pPr>
        <w:spacing w:after="0" w:line="240" w:lineRule="auto"/>
        <w:outlineLvl w:val="0"/>
        <w:rPr>
          <w:rFonts w:ascii="Arial" w:eastAsia="Times New Roman" w:hAnsi="Arial" w:cs="Arial"/>
          <w:b/>
          <w:bCs/>
          <w:sz w:val="14"/>
          <w:szCs w:val="14"/>
        </w:rPr>
      </w:pPr>
    </w:p>
    <w:p w14:paraId="6D3A83DB" w14:textId="77777777" w:rsidR="001D4826" w:rsidRPr="00ED2CF3" w:rsidRDefault="001E2438" w:rsidP="002069F3">
      <w:pPr>
        <w:autoSpaceDE w:val="0"/>
        <w:autoSpaceDN w:val="0"/>
        <w:adjustRightInd w:val="0"/>
        <w:spacing w:after="0" w:line="240" w:lineRule="auto"/>
        <w:contextualSpacing/>
        <w:rPr>
          <w:rFonts w:ascii="Arial" w:eastAsia="Times New Roman" w:hAnsi="Arial" w:cs="Arial"/>
          <w:sz w:val="20"/>
          <w:szCs w:val="20"/>
        </w:rPr>
      </w:pPr>
      <w:r>
        <w:rPr>
          <w:rFonts w:ascii="Arial" w:eastAsia="Times New Roman" w:hAnsi="Arial" w:cs="Arial"/>
          <w:sz w:val="24"/>
          <w:szCs w:val="20"/>
        </w:rPr>
      </w:r>
      <w:r>
        <w:rPr>
          <w:rFonts w:ascii="Arial" w:eastAsia="Times New Roman" w:hAnsi="Arial" w:cs="Arial"/>
          <w:sz w:val="24"/>
          <w:szCs w:val="20"/>
        </w:rPr>
        <w:pict w14:anchorId="4B1A6AAA">
          <v:shape id="_x0000_s1026" type="#_x0000_t32" style="width:324pt;height:0;mso-left-percent:-10001;mso-top-percent:-10001;mso-position-horizontal:absolute;mso-position-horizontal-relative:char;mso-position-vertical:absolute;mso-position-vertical-relative:line;mso-left-percent:-10001;mso-top-percent:-10001" o:connectortype="straight" strokeweight="1.5pt">
            <w10:wrap type="none"/>
            <w10:anchorlock/>
          </v:shape>
        </w:pict>
      </w:r>
    </w:p>
    <w:p w14:paraId="78E14FA8" w14:textId="77777777" w:rsidR="001D4826" w:rsidRPr="00ED2CF3" w:rsidRDefault="001D4826" w:rsidP="00851F12">
      <w:pPr>
        <w:keepNext/>
        <w:spacing w:after="0" w:line="240" w:lineRule="auto"/>
        <w:rPr>
          <w:rFonts w:ascii="Arial" w:eastAsia="Times New Roman" w:hAnsi="Arial" w:cs="Arial"/>
          <w:b/>
          <w:caps/>
          <w:sz w:val="20"/>
          <w:szCs w:val="20"/>
        </w:rPr>
      </w:pPr>
    </w:p>
    <w:p w14:paraId="76B9DDD5" w14:textId="77777777" w:rsidR="001D4826" w:rsidRPr="00ED2CF3" w:rsidRDefault="001D4826" w:rsidP="00D149E4">
      <w:pPr>
        <w:pStyle w:val="Heading2"/>
        <w:rPr>
          <w:rFonts w:eastAsia="Times New Roman" w:cs="Arial"/>
          <w:sz w:val="18"/>
          <w:szCs w:val="18"/>
        </w:rPr>
      </w:pPr>
      <w:r w:rsidRPr="00ED2CF3">
        <w:rPr>
          <w:rFonts w:eastAsia="Times New Roman" w:cs="Arial"/>
          <w:sz w:val="18"/>
          <w:szCs w:val="18"/>
        </w:rPr>
        <w:t>ABSTRACT</w:t>
      </w:r>
    </w:p>
    <w:p w14:paraId="538033AE" w14:textId="77777777" w:rsidR="004429EB" w:rsidRPr="00ED2CF3" w:rsidRDefault="004429EB" w:rsidP="00D149E4">
      <w:pPr>
        <w:keepNext/>
        <w:spacing w:after="0" w:line="240" w:lineRule="auto"/>
        <w:jc w:val="both"/>
        <w:outlineLvl w:val="0"/>
        <w:rPr>
          <w:rFonts w:ascii="Arial" w:eastAsia="Times New Roman" w:hAnsi="Arial" w:cs="Arial"/>
          <w:b/>
          <w:caps/>
          <w:sz w:val="18"/>
          <w:szCs w:val="18"/>
        </w:rPr>
      </w:pPr>
    </w:p>
    <w:p w14:paraId="628DB764" w14:textId="758BAE18" w:rsidR="00D61924" w:rsidRPr="00D61924" w:rsidRDefault="00D61924" w:rsidP="00D61924">
      <w:pPr>
        <w:spacing w:line="240" w:lineRule="auto"/>
        <w:jc w:val="both"/>
        <w:rPr>
          <w:rFonts w:ascii="Arial" w:hAnsi="Arial" w:cs="Arial"/>
          <w:sz w:val="18"/>
          <w:szCs w:val="18"/>
          <w:lang w:bidi="bn-IN"/>
        </w:rPr>
      </w:pPr>
      <w:r w:rsidRPr="00D61924">
        <w:rPr>
          <w:rFonts w:ascii="Arial" w:hAnsi="Arial" w:cs="Arial"/>
          <w:sz w:val="18"/>
          <w:szCs w:val="18"/>
          <w:lang w:bidi="bn-IN"/>
        </w:rPr>
        <w:t>Water quality is a critical factor in poultry farming, directly influencing animal health, growth performance, and farm biosecurity. This chapter explores the physicochemical and microbiological characteristics of drinking water, highlighting how parameters such as pH, total dissolved solids (TDS), hardness, and microbial contamination affect the physiological functions of</w:t>
      </w:r>
      <w:r w:rsidRPr="00485085">
        <w:rPr>
          <w:rFonts w:ascii="Times New Roman" w:hAnsi="Times New Roman"/>
          <w:sz w:val="24"/>
          <w:szCs w:val="24"/>
        </w:rPr>
        <w:t xml:space="preserve"> </w:t>
      </w:r>
      <w:r w:rsidRPr="00D61924">
        <w:rPr>
          <w:rFonts w:ascii="Arial" w:hAnsi="Arial" w:cs="Arial"/>
          <w:sz w:val="18"/>
          <w:szCs w:val="18"/>
          <w:lang w:bidi="bn-IN"/>
        </w:rPr>
        <w:t>broilers. Poor water quality has been linked to increased mortality rates, reduced vaccine efficacy, and the spread of infectious agents through</w:t>
      </w:r>
      <w:r w:rsidRPr="00485085">
        <w:rPr>
          <w:rFonts w:ascii="Times New Roman" w:hAnsi="Times New Roman"/>
          <w:sz w:val="24"/>
          <w:szCs w:val="24"/>
        </w:rPr>
        <w:t xml:space="preserve"> </w:t>
      </w:r>
      <w:r w:rsidRPr="00D61924">
        <w:rPr>
          <w:rFonts w:ascii="Arial" w:hAnsi="Arial" w:cs="Arial"/>
          <w:sz w:val="18"/>
          <w:szCs w:val="18"/>
          <w:lang w:bidi="bn-IN"/>
        </w:rPr>
        <w:t>shared water systems. It also contributes to the emergence of antimicrobial resistance due</w:t>
      </w:r>
      <w:r w:rsidRPr="00485085">
        <w:rPr>
          <w:rFonts w:ascii="Times New Roman" w:hAnsi="Times New Roman"/>
          <w:sz w:val="24"/>
          <w:szCs w:val="24"/>
        </w:rPr>
        <w:t xml:space="preserve"> </w:t>
      </w:r>
      <w:r w:rsidRPr="00D61924">
        <w:rPr>
          <w:rFonts w:ascii="Arial" w:hAnsi="Arial" w:cs="Arial"/>
          <w:sz w:val="18"/>
          <w:szCs w:val="18"/>
          <w:lang w:bidi="bn-IN"/>
        </w:rPr>
        <w:t>to chronic</w:t>
      </w:r>
      <w:r w:rsidRPr="00485085">
        <w:rPr>
          <w:rFonts w:ascii="Times New Roman" w:hAnsi="Times New Roman"/>
          <w:sz w:val="24"/>
          <w:szCs w:val="24"/>
        </w:rPr>
        <w:t xml:space="preserve"> </w:t>
      </w:r>
      <w:r w:rsidRPr="00D61924">
        <w:rPr>
          <w:rFonts w:ascii="Arial" w:hAnsi="Arial" w:cs="Arial"/>
          <w:sz w:val="18"/>
          <w:szCs w:val="18"/>
          <w:lang w:bidi="bn-IN"/>
        </w:rPr>
        <w:t xml:space="preserve">pathogen exposure. Furthermore, the use of biocides such as </w:t>
      </w:r>
      <w:proofErr w:type="spellStart"/>
      <w:r w:rsidRPr="00D61924">
        <w:rPr>
          <w:rFonts w:ascii="Arial" w:hAnsi="Arial" w:cs="Arial"/>
          <w:sz w:val="18"/>
          <w:szCs w:val="18"/>
          <w:lang w:bidi="bn-IN"/>
        </w:rPr>
        <w:t>Sandez</w:t>
      </w:r>
      <w:proofErr w:type="spellEnd"/>
      <w:r w:rsidRPr="00D61924">
        <w:rPr>
          <w:rFonts w:ascii="Arial" w:hAnsi="Arial" w:cs="Arial"/>
          <w:sz w:val="18"/>
          <w:szCs w:val="18"/>
          <w:lang w:bidi="bn-IN"/>
        </w:rPr>
        <w:t xml:space="preserve"> and </w:t>
      </w:r>
      <w:proofErr w:type="spellStart"/>
      <w:r w:rsidRPr="00D61924">
        <w:rPr>
          <w:rFonts w:ascii="Arial" w:hAnsi="Arial" w:cs="Arial"/>
          <w:sz w:val="18"/>
          <w:szCs w:val="18"/>
          <w:lang w:bidi="bn-IN"/>
        </w:rPr>
        <w:t>Klorsept</w:t>
      </w:r>
      <w:proofErr w:type="spellEnd"/>
      <w:r w:rsidRPr="00D61924">
        <w:rPr>
          <w:rFonts w:ascii="Arial" w:hAnsi="Arial" w:cs="Arial"/>
          <w:sz w:val="18"/>
          <w:szCs w:val="18"/>
          <w:lang w:bidi="bn-IN"/>
        </w:rPr>
        <w:t xml:space="preserve"> 25 is discussed as an effective strategy to control microbial load and biofilm formation within water lines. Maintaining high-quality drinking water is crucial for protecting poultry health, enhancing biosecurity, and ensuring the long-term sustainability of intensive farming systems.</w:t>
      </w:r>
    </w:p>
    <w:p w14:paraId="3A44521E" w14:textId="14D85E28" w:rsidR="003576BF" w:rsidRPr="00ED2CF3" w:rsidRDefault="001D4826" w:rsidP="00D149E4">
      <w:pPr>
        <w:spacing w:after="0" w:line="240" w:lineRule="auto"/>
        <w:ind w:left="900" w:hanging="900"/>
        <w:jc w:val="both"/>
        <w:outlineLvl w:val="0"/>
        <w:rPr>
          <w:rFonts w:ascii="Arial" w:eastAsia="Times New Roman" w:hAnsi="Arial" w:cs="Arial"/>
          <w:bCs/>
          <w:i/>
          <w:iCs/>
          <w:sz w:val="18"/>
          <w:szCs w:val="18"/>
        </w:rPr>
      </w:pPr>
      <w:r w:rsidRPr="00ED2CF3">
        <w:rPr>
          <w:rFonts w:ascii="Arial" w:eastAsia="Times New Roman" w:hAnsi="Arial" w:cs="Arial"/>
          <w:i/>
          <w:sz w:val="18"/>
          <w:szCs w:val="18"/>
        </w:rPr>
        <w:t>Keywords:</w:t>
      </w:r>
      <w:r w:rsidR="00375144" w:rsidRPr="00ED2CF3">
        <w:rPr>
          <w:rFonts w:ascii="Arial" w:eastAsia="Times New Roman" w:hAnsi="Arial" w:cs="Arial"/>
          <w:i/>
          <w:sz w:val="18"/>
          <w:szCs w:val="18"/>
        </w:rPr>
        <w:t xml:space="preserve"> </w:t>
      </w:r>
      <w:commentRangeStart w:id="0"/>
      <w:r w:rsidR="00D61924">
        <w:rPr>
          <w:rFonts w:ascii="Arial" w:eastAsia="Times New Roman" w:hAnsi="Arial" w:cs="Arial"/>
          <w:bCs/>
          <w:i/>
          <w:iCs/>
          <w:sz w:val="18"/>
          <w:szCs w:val="18"/>
        </w:rPr>
        <w:t>physic</w:t>
      </w:r>
      <w:r w:rsidR="009236BA">
        <w:rPr>
          <w:rFonts w:ascii="Arial" w:eastAsia="Times New Roman" w:hAnsi="Arial" w:cs="Arial"/>
          <w:bCs/>
          <w:i/>
          <w:iCs/>
          <w:sz w:val="18"/>
          <w:szCs w:val="18"/>
        </w:rPr>
        <w:t xml:space="preserve">ochemical and bacteriological </w:t>
      </w:r>
      <w:r w:rsidR="00D61924">
        <w:rPr>
          <w:rFonts w:ascii="Arial" w:eastAsia="Times New Roman" w:hAnsi="Arial" w:cs="Arial"/>
          <w:bCs/>
          <w:i/>
          <w:iCs/>
          <w:sz w:val="18"/>
          <w:szCs w:val="18"/>
        </w:rPr>
        <w:t>water quality</w:t>
      </w:r>
      <w:commentRangeEnd w:id="0"/>
      <w:r w:rsidR="00AE7A57">
        <w:rPr>
          <w:rStyle w:val="CommentReference"/>
          <w:rFonts w:ascii="Calibri" w:eastAsia="MS Mincho" w:hAnsi="Calibri" w:cs="Arial"/>
          <w:lang w:val="en-NZ"/>
        </w:rPr>
        <w:commentReference w:id="0"/>
      </w:r>
      <w:r w:rsidR="00D61924">
        <w:rPr>
          <w:rFonts w:ascii="Arial" w:eastAsia="Times New Roman" w:hAnsi="Arial" w:cs="Arial"/>
          <w:bCs/>
          <w:i/>
          <w:iCs/>
          <w:sz w:val="18"/>
          <w:szCs w:val="18"/>
        </w:rPr>
        <w:t xml:space="preserve">; </w:t>
      </w:r>
      <w:r w:rsidR="00CE05EE">
        <w:rPr>
          <w:rFonts w:ascii="Arial" w:eastAsia="Times New Roman" w:hAnsi="Arial" w:cs="Arial"/>
          <w:bCs/>
          <w:i/>
          <w:iCs/>
          <w:sz w:val="18"/>
          <w:szCs w:val="18"/>
        </w:rPr>
        <w:t>growth performance</w:t>
      </w:r>
      <w:r w:rsidR="00D149E4" w:rsidRPr="00ED2CF3">
        <w:rPr>
          <w:rFonts w:ascii="Arial" w:eastAsia="Times New Roman" w:hAnsi="Arial" w:cs="Arial"/>
          <w:bCs/>
          <w:i/>
          <w:iCs/>
          <w:sz w:val="18"/>
          <w:szCs w:val="18"/>
        </w:rPr>
        <w:t xml:space="preserve">; </w:t>
      </w:r>
      <w:r w:rsidR="00CE05EE">
        <w:rPr>
          <w:rFonts w:ascii="Arial" w:eastAsia="Times New Roman" w:hAnsi="Arial" w:cs="Arial"/>
          <w:bCs/>
          <w:i/>
          <w:iCs/>
          <w:sz w:val="18"/>
          <w:szCs w:val="18"/>
        </w:rPr>
        <w:t>health status</w:t>
      </w:r>
      <w:r w:rsidR="00D149E4" w:rsidRPr="00ED2CF3">
        <w:rPr>
          <w:rFonts w:ascii="Arial" w:eastAsia="Times New Roman" w:hAnsi="Arial" w:cs="Arial"/>
          <w:bCs/>
          <w:i/>
          <w:iCs/>
          <w:sz w:val="18"/>
          <w:szCs w:val="18"/>
        </w:rPr>
        <w:t xml:space="preserve">; </w:t>
      </w:r>
      <w:r w:rsidR="00B87A3C">
        <w:rPr>
          <w:rFonts w:ascii="Arial" w:eastAsia="Times New Roman" w:hAnsi="Arial" w:cs="Arial"/>
          <w:bCs/>
          <w:i/>
          <w:iCs/>
          <w:sz w:val="18"/>
          <w:szCs w:val="18"/>
        </w:rPr>
        <w:t>biosecurity</w:t>
      </w:r>
      <w:r w:rsidR="00CE05EE">
        <w:rPr>
          <w:rFonts w:ascii="Arial" w:eastAsia="Times New Roman" w:hAnsi="Arial" w:cs="Arial"/>
          <w:bCs/>
          <w:i/>
          <w:iCs/>
          <w:sz w:val="18"/>
          <w:szCs w:val="18"/>
        </w:rPr>
        <w:t xml:space="preserve">; </w:t>
      </w:r>
      <w:r w:rsidR="00B87A3C">
        <w:rPr>
          <w:rFonts w:ascii="Arial" w:eastAsia="Times New Roman" w:hAnsi="Arial" w:cs="Arial"/>
          <w:bCs/>
          <w:i/>
          <w:iCs/>
          <w:sz w:val="18"/>
          <w:szCs w:val="18"/>
        </w:rPr>
        <w:t>biocid</w:t>
      </w:r>
      <w:r w:rsidR="009236BA">
        <w:rPr>
          <w:rFonts w:ascii="Arial" w:eastAsia="Times New Roman" w:hAnsi="Arial" w:cs="Arial"/>
          <w:bCs/>
          <w:i/>
          <w:iCs/>
          <w:sz w:val="18"/>
          <w:szCs w:val="18"/>
        </w:rPr>
        <w:t>e</w:t>
      </w:r>
      <w:r w:rsidR="00D149E4" w:rsidRPr="00ED2CF3">
        <w:rPr>
          <w:rFonts w:ascii="Arial" w:eastAsia="Times New Roman" w:hAnsi="Arial" w:cs="Arial"/>
          <w:bCs/>
          <w:i/>
          <w:iCs/>
          <w:sz w:val="18"/>
          <w:szCs w:val="18"/>
        </w:rPr>
        <w:t>.</w:t>
      </w:r>
    </w:p>
    <w:p w14:paraId="6FEC0BF8" w14:textId="77777777" w:rsidR="00D149E4" w:rsidRPr="00ED2CF3" w:rsidRDefault="00D149E4" w:rsidP="00D149E4">
      <w:pPr>
        <w:spacing w:after="0" w:line="240" w:lineRule="auto"/>
        <w:ind w:hanging="990"/>
        <w:jc w:val="both"/>
        <w:outlineLvl w:val="0"/>
        <w:rPr>
          <w:rFonts w:ascii="Arial" w:eastAsia="Times New Roman" w:hAnsi="Arial" w:cs="Arial"/>
          <w:bCs/>
          <w:i/>
          <w:iCs/>
          <w:sz w:val="18"/>
          <w:szCs w:val="18"/>
        </w:rPr>
      </w:pPr>
    </w:p>
    <w:p w14:paraId="4967357D" w14:textId="73CC9C36" w:rsidR="00D149E4" w:rsidRPr="00ED2CF3" w:rsidRDefault="00D149E4" w:rsidP="000E02B6">
      <w:pPr>
        <w:pStyle w:val="Heading2"/>
        <w:spacing w:after="240"/>
        <w:rPr>
          <w:rFonts w:eastAsia="Times New Roman"/>
          <w:sz w:val="20"/>
          <w:szCs w:val="24"/>
          <w:lang w:bidi="bn-IN"/>
        </w:rPr>
      </w:pPr>
      <w:r w:rsidRPr="00ED2CF3">
        <w:rPr>
          <w:rFonts w:eastAsia="Times New Roman"/>
          <w:sz w:val="20"/>
          <w:szCs w:val="24"/>
          <w:lang w:bidi="bn-IN"/>
        </w:rPr>
        <w:t>1. INTRODUCTION</w:t>
      </w:r>
    </w:p>
    <w:p w14:paraId="3BEF8234" w14:textId="59CB7974" w:rsidR="000E02B6" w:rsidRDefault="000E02B6" w:rsidP="000E02B6">
      <w:pPr>
        <w:spacing w:after="0" w:line="240" w:lineRule="auto"/>
        <w:jc w:val="both"/>
        <w:rPr>
          <w:rFonts w:asciiTheme="minorBidi" w:hAnsiTheme="minorBidi"/>
          <w:sz w:val="18"/>
          <w:szCs w:val="18"/>
        </w:rPr>
      </w:pPr>
      <w:r w:rsidRPr="000E02B6">
        <w:rPr>
          <w:rFonts w:asciiTheme="minorBidi" w:hAnsiTheme="minorBidi"/>
          <w:sz w:val="18"/>
          <w:szCs w:val="18"/>
        </w:rPr>
        <w:t>Water is one of the most essential nutrients in poultry production. The quality of drinking water is a critical factor that can directly influence poultry health, productivity, and the overall efficiency of</w:t>
      </w:r>
      <w:r w:rsidRPr="00E93614">
        <w:rPr>
          <w:rFonts w:ascii="Times New Roman" w:eastAsia="Times New Roman" w:hAnsi="Times New Roman"/>
          <w:sz w:val="24"/>
          <w:szCs w:val="24"/>
          <w:lang w:eastAsia="fr-FR"/>
        </w:rPr>
        <w:t xml:space="preserve"> </w:t>
      </w:r>
      <w:r w:rsidRPr="000E02B6">
        <w:rPr>
          <w:rFonts w:asciiTheme="minorBidi" w:hAnsiTheme="minorBidi"/>
          <w:sz w:val="18"/>
          <w:szCs w:val="18"/>
        </w:rPr>
        <w:t>farm operations (Amaral, 2004; Saleh et al., 2023). In intensive poultry production systems, birds</w:t>
      </w:r>
      <w:r w:rsidRPr="006F17A8">
        <w:rPr>
          <w:rFonts w:ascii="Times New Roman" w:eastAsia="Times New Roman" w:hAnsi="Times New Roman"/>
          <w:sz w:val="24"/>
          <w:szCs w:val="24"/>
          <w:lang w:eastAsia="fr-FR"/>
        </w:rPr>
        <w:t xml:space="preserve"> </w:t>
      </w:r>
      <w:r w:rsidRPr="000E02B6">
        <w:rPr>
          <w:rFonts w:asciiTheme="minorBidi" w:hAnsiTheme="minorBidi"/>
          <w:sz w:val="18"/>
          <w:szCs w:val="18"/>
        </w:rPr>
        <w:t>typically consume</w:t>
      </w:r>
      <w:r w:rsidRPr="006F17A8">
        <w:rPr>
          <w:rFonts w:ascii="Times New Roman" w:eastAsia="Times New Roman" w:hAnsi="Times New Roman"/>
          <w:sz w:val="24"/>
          <w:szCs w:val="24"/>
          <w:lang w:eastAsia="fr-FR"/>
        </w:rPr>
        <w:t xml:space="preserve"> </w:t>
      </w:r>
      <w:r w:rsidRPr="000E02B6">
        <w:rPr>
          <w:rFonts w:asciiTheme="minorBidi" w:hAnsiTheme="minorBidi"/>
          <w:sz w:val="18"/>
          <w:szCs w:val="18"/>
        </w:rPr>
        <w:t>almost twice as much water as feed, underscoring water's dual role as a vital nutrient and a potential route for pathogen and contaminant transmission (Balogun et al., 2013). Physicochemical parameters such as pH, hardness, and total dissolved solids (TDS), along with microbial contaminants like Escherichia coli and other coliforms, can significantly affect water palatability, nutrient absorption, and internal organ function in broilers (Brian and Casey, 2006). Prolonged exposure to poor-quality water may lead to increased mortality rates, compromised immunity, digestive disorders, and reduced feed conversion efficiency (Saleh et al., 2023).</w:t>
      </w:r>
    </w:p>
    <w:p w14:paraId="044BFA3F" w14:textId="3162F220" w:rsidR="000E02B6" w:rsidRPr="000E02B6" w:rsidRDefault="000E02B6" w:rsidP="000E02B6">
      <w:pPr>
        <w:spacing w:after="0" w:line="240" w:lineRule="auto"/>
        <w:jc w:val="both"/>
        <w:rPr>
          <w:rFonts w:asciiTheme="minorBidi" w:hAnsiTheme="minorBidi"/>
          <w:sz w:val="18"/>
          <w:szCs w:val="18"/>
        </w:rPr>
      </w:pPr>
      <w:r w:rsidRPr="000E02B6">
        <w:rPr>
          <w:rFonts w:asciiTheme="minorBidi" w:hAnsiTheme="minorBidi"/>
          <w:sz w:val="18"/>
          <w:szCs w:val="18"/>
        </w:rPr>
        <w:t xml:space="preserve">Moreover, contaminated water systems contribute to the spread of infectious diseases within and between flocks, undermining both preventive and therapeutic </w:t>
      </w:r>
      <w:r w:rsidRPr="000E02B6">
        <w:rPr>
          <w:rFonts w:asciiTheme="minorBidi" w:hAnsiTheme="minorBidi"/>
          <w:sz w:val="18"/>
          <w:szCs w:val="18"/>
        </w:rPr>
        <w:lastRenderedPageBreak/>
        <w:t xml:space="preserve">interventions. The limited effectiveness of vaccines and antibiotics under these conditions not only poses significant economic challenges but also contributes to the rapid rise of antimicrobial resistance, a growing global health threat (Amaral, 2004; Scott et al., 2018). Therefore, ensuring safe and clean water is a fundamental component of biosecurity and sustainable poultry production. This chapter explores how both physicochemical and bacteriological water quality affect poultry health, growth performance, and biosecurity. Additionally, the use of biocides to control microbial contamination in drinking systems is examined as a crucial strategy for maintaining water quality and supporting the overall health management of poultry farms. </w:t>
      </w:r>
    </w:p>
    <w:p w14:paraId="4290D1C3" w14:textId="77777777" w:rsidR="00D149E4" w:rsidRPr="00D149E4" w:rsidRDefault="00D149E4" w:rsidP="00D149E4">
      <w:pPr>
        <w:spacing w:after="0" w:line="240" w:lineRule="auto"/>
        <w:jc w:val="both"/>
        <w:rPr>
          <w:rFonts w:ascii="Arial" w:eastAsia="Times New Roman" w:hAnsi="Arial" w:cs="Arial"/>
          <w:sz w:val="18"/>
          <w:szCs w:val="18"/>
          <w:lang w:bidi="bn-IN"/>
        </w:rPr>
      </w:pPr>
    </w:p>
    <w:p w14:paraId="5F320913" w14:textId="647213E3" w:rsidR="000E02B6" w:rsidRPr="00385485" w:rsidRDefault="00D149E4" w:rsidP="00385485">
      <w:pPr>
        <w:pStyle w:val="Heading2"/>
        <w:rPr>
          <w:rFonts w:eastAsia="Times New Roman"/>
          <w:sz w:val="20"/>
          <w:szCs w:val="24"/>
          <w:lang w:bidi="bn-IN"/>
        </w:rPr>
      </w:pPr>
      <w:r w:rsidRPr="00ED2CF3">
        <w:rPr>
          <w:rFonts w:eastAsia="Times New Roman"/>
          <w:sz w:val="20"/>
          <w:szCs w:val="24"/>
          <w:lang w:bidi="bn-IN"/>
        </w:rPr>
        <w:t xml:space="preserve">2. </w:t>
      </w:r>
      <w:r w:rsidR="000E02B6" w:rsidRPr="00385485">
        <w:rPr>
          <w:rFonts w:eastAsia="Times New Roman"/>
          <w:sz w:val="20"/>
          <w:szCs w:val="24"/>
          <w:lang w:bidi="bn-IN"/>
        </w:rPr>
        <w:t>WATER QUALITY PARAMETERS</w:t>
      </w:r>
    </w:p>
    <w:p w14:paraId="38AA87C9" w14:textId="5144CEE8" w:rsidR="00385485" w:rsidRPr="00385485" w:rsidRDefault="00385485" w:rsidP="00385485">
      <w:pPr>
        <w:spacing w:before="240" w:line="240" w:lineRule="auto"/>
        <w:jc w:val="both"/>
        <w:rPr>
          <w:rFonts w:asciiTheme="minorBidi" w:hAnsiTheme="minorBidi"/>
          <w:sz w:val="18"/>
          <w:szCs w:val="18"/>
        </w:rPr>
      </w:pPr>
      <w:r w:rsidRPr="00385485">
        <w:rPr>
          <w:rFonts w:asciiTheme="minorBidi" w:hAnsiTheme="minorBidi"/>
          <w:sz w:val="18"/>
          <w:szCs w:val="18"/>
        </w:rPr>
        <w:t xml:space="preserve">Water used in poultry farming must meet strict physicochemical </w:t>
      </w:r>
      <w:r>
        <w:rPr>
          <w:rFonts w:asciiTheme="minorBidi" w:hAnsiTheme="minorBidi"/>
          <w:sz w:val="18"/>
          <w:szCs w:val="18"/>
        </w:rPr>
        <w:t xml:space="preserve">and bacteriological </w:t>
      </w:r>
      <w:r w:rsidRPr="00385485">
        <w:rPr>
          <w:rFonts w:asciiTheme="minorBidi" w:hAnsiTheme="minorBidi"/>
          <w:sz w:val="18"/>
          <w:szCs w:val="18"/>
        </w:rPr>
        <w:t>standards to ensure the health, productivity, and welfare of the birds. Several key parameters must be monitored regularly, as even slight deviations can adversely affect poultry performance (Amaral, 2004).</w:t>
      </w:r>
    </w:p>
    <w:p w14:paraId="01280BBB" w14:textId="640F6A0A" w:rsidR="00385485" w:rsidRPr="00385485" w:rsidRDefault="00385485" w:rsidP="00385485">
      <w:pPr>
        <w:pStyle w:val="ListParagraph"/>
        <w:numPr>
          <w:ilvl w:val="1"/>
          <w:numId w:val="19"/>
        </w:numPr>
        <w:suppressAutoHyphens/>
        <w:autoSpaceDN w:val="0"/>
        <w:spacing w:after="160" w:line="240" w:lineRule="auto"/>
        <w:jc w:val="both"/>
        <w:textAlignment w:val="baseline"/>
        <w:rPr>
          <w:rFonts w:asciiTheme="minorBidi" w:hAnsiTheme="minorBidi"/>
          <w:b/>
          <w:bCs/>
          <w:sz w:val="18"/>
          <w:szCs w:val="18"/>
        </w:rPr>
      </w:pPr>
      <w:r w:rsidRPr="00385485">
        <w:rPr>
          <w:rFonts w:asciiTheme="minorBidi" w:hAnsiTheme="minorBidi"/>
          <w:b/>
          <w:bCs/>
          <w:sz w:val="18"/>
          <w:szCs w:val="18"/>
        </w:rPr>
        <w:t>Physicochemical Parameters</w:t>
      </w:r>
    </w:p>
    <w:p w14:paraId="7856B303" w14:textId="77777777" w:rsidR="00385485" w:rsidRPr="00385485" w:rsidRDefault="00385485" w:rsidP="00385485">
      <w:pPr>
        <w:spacing w:line="240" w:lineRule="auto"/>
        <w:jc w:val="both"/>
        <w:rPr>
          <w:rFonts w:asciiTheme="minorBidi" w:hAnsiTheme="minorBidi"/>
          <w:sz w:val="18"/>
          <w:szCs w:val="18"/>
        </w:rPr>
      </w:pPr>
      <w:r w:rsidRPr="00385485">
        <w:rPr>
          <w:rFonts w:asciiTheme="minorBidi" w:hAnsiTheme="minorBidi"/>
          <w:sz w:val="18"/>
          <w:szCs w:val="18"/>
        </w:rPr>
        <w:t xml:space="preserve">Key physicochemical parameters to monitor include temperature, pH, turbidity, total solids, and hardness (Brian and Casey, 2006). Research on drinking water temperature for poultry has shown varied effects on performance and health. For broilers, water temperatures between 17.8°C and 23.9°C improved growth and feed consumption compared to warmer temperatures (Harris et al., 1975). In laying hens exposed to heat stress, a water temperature of 23°C was found to be optimal for feed and water intake (Xin et al., 2002). For broiler breeders in cold environments, warm water </w:t>
      </w:r>
      <w:commentRangeStart w:id="1"/>
      <w:r w:rsidRPr="00385485">
        <w:rPr>
          <w:rFonts w:asciiTheme="minorBidi" w:hAnsiTheme="minorBidi"/>
          <w:sz w:val="18"/>
          <w:szCs w:val="18"/>
        </w:rPr>
        <w:t>(27.7°C)</w:t>
      </w:r>
      <w:commentRangeEnd w:id="1"/>
      <w:r w:rsidR="00681A5F">
        <w:rPr>
          <w:rStyle w:val="CommentReference"/>
          <w:rFonts w:ascii="Calibri" w:eastAsia="MS Mincho" w:hAnsi="Calibri" w:cs="Arial"/>
          <w:lang w:val="en-NZ"/>
        </w:rPr>
        <w:commentReference w:id="1"/>
      </w:r>
      <w:r w:rsidRPr="00385485">
        <w:rPr>
          <w:rFonts w:asciiTheme="minorBidi" w:hAnsiTheme="minorBidi"/>
          <w:sz w:val="18"/>
          <w:szCs w:val="18"/>
        </w:rPr>
        <w:t xml:space="preserve"> tended to improve antibody responses compared to cool water, though it did not affect production parameters (</w:t>
      </w:r>
      <w:bookmarkStart w:id="2" w:name="_GoBack"/>
      <w:r w:rsidRPr="00385485">
        <w:rPr>
          <w:rFonts w:asciiTheme="minorBidi" w:hAnsiTheme="minorBidi"/>
          <w:sz w:val="18"/>
          <w:szCs w:val="18"/>
        </w:rPr>
        <w:t>Spinu</w:t>
      </w:r>
      <w:bookmarkEnd w:id="2"/>
      <w:r w:rsidRPr="00385485">
        <w:rPr>
          <w:rFonts w:asciiTheme="minorBidi" w:hAnsiTheme="minorBidi"/>
          <w:sz w:val="18"/>
          <w:szCs w:val="18"/>
        </w:rPr>
        <w:t xml:space="preserve"> et al., 1993). A recent study on broilers in high ambient temperatures found that cooler drinking water </w:t>
      </w:r>
      <w:commentRangeStart w:id="3"/>
      <w:r w:rsidRPr="00385485">
        <w:rPr>
          <w:rFonts w:asciiTheme="minorBidi" w:hAnsiTheme="minorBidi"/>
          <w:sz w:val="18"/>
          <w:szCs w:val="18"/>
        </w:rPr>
        <w:t xml:space="preserve">(10°C) </w:t>
      </w:r>
      <w:commentRangeEnd w:id="3"/>
      <w:r w:rsidR="00681A5F">
        <w:rPr>
          <w:rStyle w:val="CommentReference"/>
          <w:rFonts w:ascii="Calibri" w:eastAsia="MS Mincho" w:hAnsi="Calibri" w:cs="Arial"/>
          <w:rtl/>
          <w:lang w:val="en-NZ"/>
        </w:rPr>
        <w:commentReference w:id="3"/>
      </w:r>
      <w:r w:rsidRPr="00385485">
        <w:rPr>
          <w:rFonts w:asciiTheme="minorBidi" w:hAnsiTheme="minorBidi"/>
          <w:sz w:val="18"/>
          <w:szCs w:val="18"/>
        </w:rPr>
        <w:t xml:space="preserve">positively influenced meat quality and certain behaviors compared to warmer water </w:t>
      </w:r>
      <w:commentRangeStart w:id="4"/>
      <w:r w:rsidRPr="00385485">
        <w:rPr>
          <w:rFonts w:asciiTheme="minorBidi" w:hAnsiTheme="minorBidi"/>
          <w:sz w:val="18"/>
          <w:szCs w:val="18"/>
        </w:rPr>
        <w:t>(31°C)</w:t>
      </w:r>
      <w:commentRangeEnd w:id="4"/>
      <w:r w:rsidR="00681A5F">
        <w:rPr>
          <w:rStyle w:val="CommentReference"/>
          <w:rFonts w:ascii="Calibri" w:eastAsia="MS Mincho" w:hAnsi="Calibri" w:cs="Arial"/>
          <w:rtl/>
          <w:lang w:val="en-NZ"/>
        </w:rPr>
        <w:commentReference w:id="4"/>
      </w:r>
      <w:r w:rsidRPr="00385485">
        <w:rPr>
          <w:rFonts w:asciiTheme="minorBidi" w:hAnsiTheme="minorBidi"/>
          <w:sz w:val="18"/>
          <w:szCs w:val="18"/>
        </w:rPr>
        <w:t xml:space="preserve"> (Kaya and </w:t>
      </w:r>
      <w:proofErr w:type="spellStart"/>
      <w:r w:rsidRPr="00385485">
        <w:rPr>
          <w:rFonts w:asciiTheme="minorBidi" w:hAnsiTheme="minorBidi"/>
          <w:sz w:val="18"/>
          <w:szCs w:val="18"/>
        </w:rPr>
        <w:t>Dereli</w:t>
      </w:r>
      <w:proofErr w:type="spellEnd"/>
      <w:r w:rsidRPr="00385485">
        <w:rPr>
          <w:rFonts w:asciiTheme="minorBidi" w:hAnsiTheme="minorBidi"/>
          <w:sz w:val="18"/>
          <w:szCs w:val="18"/>
        </w:rPr>
        <w:t xml:space="preserve"> Fidan, 2023). These findings suggest that optimal drinking water temperature may vary depending on species, ambient conditions, and production goals. pH is another critical factor influencing both water palatability and microbial growth. pH of 6.0 to 6.8 is preferred for broiler production; however, birds can tolerate a pH range of 4 to 8. A pH greater than 8 could result in reduced water consumption </w:t>
      </w:r>
      <w:r w:rsidRPr="00681A5F">
        <w:rPr>
          <w:rFonts w:asciiTheme="minorBidi" w:hAnsiTheme="minorBidi"/>
          <w:sz w:val="18"/>
          <w:szCs w:val="18"/>
          <w:highlight w:val="yellow"/>
        </w:rPr>
        <w:t>(Brian and Casey, 2006).</w:t>
      </w:r>
      <w:r w:rsidRPr="00385485">
        <w:rPr>
          <w:rFonts w:asciiTheme="minorBidi" w:hAnsiTheme="minorBidi"/>
          <w:sz w:val="18"/>
          <w:szCs w:val="18"/>
        </w:rPr>
        <w:t xml:space="preserve"> Turbidity in poultry drinking water, typically caused by suspended particles such as clay, silt, sand, or organic matter, can result in cloudy or muddy water that not only reduces palatability but also contributes to technical issues like leaking nipple drinkers and clogged fogging nozzles </w:t>
      </w:r>
      <w:r w:rsidRPr="00681A5F">
        <w:rPr>
          <w:rFonts w:asciiTheme="minorBidi" w:hAnsiTheme="minorBidi"/>
          <w:sz w:val="18"/>
          <w:szCs w:val="18"/>
          <w:highlight w:val="yellow"/>
        </w:rPr>
        <w:t>(Brian and Casey, 2006)</w:t>
      </w:r>
      <w:r w:rsidRPr="00385485">
        <w:rPr>
          <w:rFonts w:asciiTheme="minorBidi" w:hAnsiTheme="minorBidi"/>
          <w:sz w:val="18"/>
          <w:szCs w:val="18"/>
        </w:rPr>
        <w:t xml:space="preserve">. Water hardness, primarily due to elevated concentrations of calcium and magnesium salts, leads to scale and sludge accumulation within pipelines, which impairs water flow and reduces the effectiveness of disinfectants and certain orally administered medications </w:t>
      </w:r>
      <w:r w:rsidRPr="00681A5F">
        <w:rPr>
          <w:rFonts w:asciiTheme="minorBidi" w:hAnsiTheme="minorBidi"/>
          <w:sz w:val="18"/>
          <w:szCs w:val="18"/>
          <w:highlight w:val="yellow"/>
        </w:rPr>
        <w:t>(Brian and Casey, 2006)</w:t>
      </w:r>
      <w:r w:rsidRPr="00385485">
        <w:rPr>
          <w:rFonts w:asciiTheme="minorBidi" w:hAnsiTheme="minorBidi"/>
          <w:sz w:val="18"/>
          <w:szCs w:val="18"/>
        </w:rPr>
        <w:t xml:space="preserve">. While total solids, comprising both suspended and dissolved matter, are not directly linked to poultry health problems, excessive levels can disrupt equipment functionality and water distribution efficiency, thereby indirectly affecting bird performance </w:t>
      </w:r>
      <w:r w:rsidRPr="00681A5F">
        <w:rPr>
          <w:rFonts w:asciiTheme="minorBidi" w:hAnsiTheme="minorBidi"/>
          <w:sz w:val="18"/>
          <w:szCs w:val="18"/>
          <w:highlight w:val="yellow"/>
        </w:rPr>
        <w:t>(</w:t>
      </w:r>
      <w:commentRangeStart w:id="5"/>
      <w:r w:rsidRPr="00681A5F">
        <w:rPr>
          <w:rFonts w:asciiTheme="minorBidi" w:hAnsiTheme="minorBidi"/>
          <w:sz w:val="18"/>
          <w:szCs w:val="18"/>
          <w:highlight w:val="yellow"/>
        </w:rPr>
        <w:t>Brian and Casey, 2006)</w:t>
      </w:r>
      <w:commentRangeEnd w:id="5"/>
      <w:r w:rsidR="00681A5F">
        <w:rPr>
          <w:rStyle w:val="CommentReference"/>
          <w:rFonts w:ascii="Calibri" w:eastAsia="MS Mincho" w:hAnsi="Calibri" w:cs="Arial"/>
          <w:rtl/>
          <w:lang w:val="en-NZ"/>
        </w:rPr>
        <w:commentReference w:id="5"/>
      </w:r>
      <w:r w:rsidRPr="00385485">
        <w:rPr>
          <w:rFonts w:asciiTheme="minorBidi" w:hAnsiTheme="minorBidi"/>
          <w:sz w:val="18"/>
          <w:szCs w:val="18"/>
        </w:rPr>
        <w:t xml:space="preserve">. Therefore, maintaining appropriate levels of these physicochemical parameters is essential for sustaining optimal water hygiene. </w:t>
      </w:r>
    </w:p>
    <w:p w14:paraId="311E6F21" w14:textId="47EF3DBA" w:rsidR="00385485" w:rsidRPr="00385485" w:rsidRDefault="00385485" w:rsidP="00385485">
      <w:pPr>
        <w:pStyle w:val="ListParagraph"/>
        <w:numPr>
          <w:ilvl w:val="1"/>
          <w:numId w:val="19"/>
        </w:numPr>
        <w:suppressAutoHyphens/>
        <w:autoSpaceDN w:val="0"/>
        <w:spacing w:after="160" w:line="240" w:lineRule="auto"/>
        <w:jc w:val="both"/>
        <w:textAlignment w:val="baseline"/>
        <w:rPr>
          <w:rFonts w:asciiTheme="minorBidi" w:hAnsiTheme="minorBidi"/>
          <w:b/>
          <w:bCs/>
          <w:sz w:val="18"/>
          <w:szCs w:val="18"/>
        </w:rPr>
      </w:pPr>
      <w:r w:rsidRPr="00385485">
        <w:rPr>
          <w:rFonts w:asciiTheme="minorBidi" w:hAnsiTheme="minorBidi"/>
          <w:b/>
          <w:bCs/>
          <w:sz w:val="18"/>
          <w:szCs w:val="18"/>
        </w:rPr>
        <w:t>Bacteriological Parameters</w:t>
      </w:r>
    </w:p>
    <w:p w14:paraId="1ECAA53E" w14:textId="6B228AD6" w:rsidR="000E02B6" w:rsidRPr="009C438B" w:rsidRDefault="00385485" w:rsidP="009C438B">
      <w:pPr>
        <w:spacing w:line="240" w:lineRule="auto"/>
        <w:jc w:val="both"/>
        <w:rPr>
          <w:rFonts w:asciiTheme="minorBidi" w:hAnsiTheme="minorBidi"/>
          <w:sz w:val="18"/>
          <w:szCs w:val="18"/>
        </w:rPr>
      </w:pPr>
      <w:r w:rsidRPr="00385485">
        <w:rPr>
          <w:rFonts w:asciiTheme="minorBidi" w:hAnsiTheme="minorBidi"/>
          <w:sz w:val="18"/>
          <w:szCs w:val="18"/>
        </w:rPr>
        <w:t>Bacteriological water quality is crucial in poultry farming, as its contamination affects its safety. Microorganisms in drinking water pose a high risk of waterborne gastroenteritis (Doyle and Erickson, 2006). Multiple investigations found that water samples from poultry farms often exceeded acceptable standards for microbial content, with high levels of total coliforms, fecal Enterococci, and other pathogens (Bengoumi et al., 2015; Kassem Agha et al., 2022; Haddad and Masoud, 2024). Common contaminants included E. coli, Salmonella spp., and Campylobacter showed deteriorating quality along distribution systems, with higher contamination at endpoints (Di Martino et al., 2018). To ensure poultry health and prevent contamination of animal products, regular water quality assessments and proper cleaning of rearing equipment are recommended (Augusto et al., 2022). According to the Austrian Poultry Hygiene Regulation, bacteria levels in drinking water of poultry should not exceed a total aerobic mesophilic count of 2.0 log</w:t>
      </w:r>
      <w:r w:rsidRPr="00385485">
        <w:rPr>
          <w:rFonts w:ascii="Cambria Math" w:hAnsi="Cambria Math" w:cs="Cambria Math"/>
          <w:sz w:val="18"/>
          <w:szCs w:val="18"/>
        </w:rPr>
        <w:t>₁₀</w:t>
      </w:r>
      <w:r w:rsidRPr="00385485">
        <w:rPr>
          <w:rFonts w:asciiTheme="minorBidi" w:hAnsiTheme="minorBidi"/>
          <w:sz w:val="18"/>
          <w:szCs w:val="18"/>
        </w:rPr>
        <w:t xml:space="preserve"> CFU/mL at 22</w:t>
      </w:r>
      <w:r w:rsidRPr="00385485">
        <w:rPr>
          <w:rFonts w:ascii="Arial" w:hAnsi="Arial" w:cs="Arial"/>
          <w:sz w:val="18"/>
          <w:szCs w:val="18"/>
        </w:rPr>
        <w:t>°</w:t>
      </w:r>
      <w:r w:rsidRPr="00385485">
        <w:rPr>
          <w:rFonts w:asciiTheme="minorBidi" w:hAnsiTheme="minorBidi"/>
          <w:sz w:val="18"/>
          <w:szCs w:val="18"/>
        </w:rPr>
        <w:t>C and 1.3 log</w:t>
      </w:r>
      <w:r w:rsidRPr="00385485">
        <w:rPr>
          <w:rFonts w:ascii="Cambria Math" w:hAnsi="Cambria Math" w:cs="Cambria Math"/>
          <w:sz w:val="18"/>
          <w:szCs w:val="18"/>
        </w:rPr>
        <w:t>₁₀</w:t>
      </w:r>
      <w:r w:rsidRPr="00385485">
        <w:rPr>
          <w:rFonts w:asciiTheme="minorBidi" w:hAnsiTheme="minorBidi"/>
          <w:sz w:val="18"/>
          <w:szCs w:val="18"/>
        </w:rPr>
        <w:t xml:space="preserve"> CFU/mL at 37</w:t>
      </w:r>
      <w:r w:rsidRPr="00385485">
        <w:rPr>
          <w:rFonts w:ascii="Arial" w:hAnsi="Arial" w:cs="Arial"/>
          <w:sz w:val="18"/>
          <w:szCs w:val="18"/>
        </w:rPr>
        <w:t>°</w:t>
      </w:r>
      <w:r w:rsidRPr="00385485">
        <w:rPr>
          <w:rFonts w:asciiTheme="minorBidi" w:hAnsiTheme="minorBidi"/>
          <w:sz w:val="18"/>
          <w:szCs w:val="18"/>
        </w:rPr>
        <w:t>C.</w:t>
      </w:r>
      <w:r w:rsidRPr="00385485">
        <w:rPr>
          <w:rFonts w:ascii="Arial" w:hAnsi="Arial" w:cs="Arial"/>
          <w:sz w:val="18"/>
          <w:szCs w:val="18"/>
        </w:rPr>
        <w:t>​</w:t>
      </w:r>
      <w:r w:rsidRPr="00385485">
        <w:rPr>
          <w:rFonts w:asciiTheme="minorBidi" w:hAnsiTheme="minorBidi"/>
          <w:sz w:val="18"/>
          <w:szCs w:val="18"/>
        </w:rPr>
        <w:t xml:space="preserve"> Brian and Casey (2006) reported that the maximum acceptable levels of total heterotrophic bacteria and coliform bacteria are 100 CFU/100 ml and 50 CFU/100 ml, respectively. To maintain acceptable microbiological water quality in poultry production, water treatment methods such as chlorination, as well as combined chemical-mechanical approaches and other biocidal interventions, have been increasingly adopted and refined (Valias and Silva, 2001; Calente et al., 2021; Mustedanagic et al., 2023).</w:t>
      </w:r>
    </w:p>
    <w:p w14:paraId="56CE945A" w14:textId="77777777" w:rsidR="00D149E4" w:rsidRPr="00D149E4" w:rsidRDefault="00D149E4" w:rsidP="00D149E4">
      <w:pPr>
        <w:spacing w:after="0" w:line="240" w:lineRule="auto"/>
        <w:ind w:hanging="270"/>
        <w:jc w:val="both"/>
        <w:rPr>
          <w:rFonts w:ascii="Arial" w:eastAsia="Times New Roman" w:hAnsi="Arial" w:cs="Arial"/>
          <w:b/>
          <w:caps/>
          <w:sz w:val="18"/>
          <w:szCs w:val="18"/>
          <w:lang w:bidi="bn-IN"/>
        </w:rPr>
      </w:pPr>
    </w:p>
    <w:p w14:paraId="46D24D80" w14:textId="77777777" w:rsidR="009C438B" w:rsidRPr="009C438B" w:rsidRDefault="009C438B" w:rsidP="009C438B">
      <w:pPr>
        <w:pStyle w:val="ListParagraph"/>
        <w:numPr>
          <w:ilvl w:val="0"/>
          <w:numId w:val="19"/>
        </w:numPr>
        <w:suppressAutoHyphens/>
        <w:autoSpaceDN w:val="0"/>
        <w:spacing w:after="160" w:line="360" w:lineRule="auto"/>
        <w:jc w:val="both"/>
        <w:textAlignment w:val="baseline"/>
        <w:rPr>
          <w:rFonts w:ascii="Arial" w:eastAsia="Times New Roman" w:hAnsi="Arial" w:cstheme="majorBidi"/>
          <w:b/>
          <w:bCs/>
          <w:sz w:val="20"/>
          <w:szCs w:val="24"/>
          <w:lang w:bidi="bn-IN"/>
        </w:rPr>
      </w:pPr>
      <w:bookmarkStart w:id="6" w:name="_bookmark2"/>
      <w:bookmarkEnd w:id="6"/>
      <w:r w:rsidRPr="009C438B">
        <w:rPr>
          <w:rFonts w:ascii="Arial" w:eastAsia="Times New Roman" w:hAnsi="Arial" w:cstheme="majorBidi"/>
          <w:b/>
          <w:bCs/>
          <w:sz w:val="20"/>
          <w:szCs w:val="24"/>
          <w:lang w:bidi="bn-IN"/>
        </w:rPr>
        <w:t>IMPACT OF POOR WATER QUALITY</w:t>
      </w:r>
    </w:p>
    <w:p w14:paraId="0CF4064A" w14:textId="77777777" w:rsidR="009C438B" w:rsidRPr="007C3567" w:rsidRDefault="009C438B" w:rsidP="007C3567">
      <w:pPr>
        <w:pStyle w:val="ListParagraph"/>
        <w:numPr>
          <w:ilvl w:val="1"/>
          <w:numId w:val="19"/>
        </w:numPr>
        <w:suppressAutoHyphens/>
        <w:autoSpaceDN w:val="0"/>
        <w:spacing w:after="160" w:line="240" w:lineRule="auto"/>
        <w:jc w:val="both"/>
        <w:textAlignment w:val="baseline"/>
        <w:rPr>
          <w:rFonts w:asciiTheme="minorBidi" w:hAnsiTheme="minorBidi"/>
          <w:b/>
          <w:bCs/>
          <w:sz w:val="18"/>
          <w:szCs w:val="18"/>
          <w:lang w:val="fr-FR"/>
        </w:rPr>
      </w:pPr>
      <w:r w:rsidRPr="00CD4ECB">
        <w:rPr>
          <w:rFonts w:ascii="Times New Roman" w:hAnsi="Times New Roman"/>
          <w:b/>
          <w:bCs/>
          <w:sz w:val="24"/>
          <w:szCs w:val="24"/>
        </w:rPr>
        <w:t xml:space="preserve"> </w:t>
      </w:r>
      <w:r w:rsidRPr="007C3567">
        <w:rPr>
          <w:rFonts w:asciiTheme="minorBidi" w:hAnsiTheme="minorBidi"/>
          <w:b/>
          <w:bCs/>
          <w:sz w:val="18"/>
          <w:szCs w:val="18"/>
          <w:lang w:val="fr-FR"/>
        </w:rPr>
        <w:t xml:space="preserve">On </w:t>
      </w:r>
      <w:proofErr w:type="spellStart"/>
      <w:r w:rsidRPr="007C3567">
        <w:rPr>
          <w:rFonts w:asciiTheme="minorBidi" w:hAnsiTheme="minorBidi"/>
          <w:b/>
          <w:bCs/>
          <w:sz w:val="18"/>
          <w:szCs w:val="18"/>
          <w:lang w:val="fr-FR"/>
        </w:rPr>
        <w:t>Poultry</w:t>
      </w:r>
      <w:proofErr w:type="spellEnd"/>
      <w:r w:rsidRPr="007C3567">
        <w:rPr>
          <w:rFonts w:asciiTheme="minorBidi" w:hAnsiTheme="minorBidi"/>
          <w:b/>
          <w:bCs/>
          <w:sz w:val="18"/>
          <w:szCs w:val="18"/>
          <w:lang w:val="fr-FR"/>
        </w:rPr>
        <w:t xml:space="preserve"> </w:t>
      </w:r>
      <w:proofErr w:type="spellStart"/>
      <w:r w:rsidRPr="007C3567">
        <w:rPr>
          <w:rFonts w:asciiTheme="minorBidi" w:hAnsiTheme="minorBidi"/>
          <w:b/>
          <w:bCs/>
          <w:sz w:val="18"/>
          <w:szCs w:val="18"/>
          <w:lang w:val="fr-FR"/>
        </w:rPr>
        <w:t>Health</w:t>
      </w:r>
      <w:proofErr w:type="spellEnd"/>
    </w:p>
    <w:p w14:paraId="08A1EFBF" w14:textId="77777777" w:rsidR="009C438B" w:rsidRPr="007C3567" w:rsidRDefault="009C438B" w:rsidP="007C3567">
      <w:pPr>
        <w:spacing w:line="240" w:lineRule="auto"/>
        <w:jc w:val="both"/>
        <w:rPr>
          <w:rFonts w:asciiTheme="minorBidi" w:hAnsiTheme="minorBidi"/>
          <w:sz w:val="18"/>
          <w:szCs w:val="18"/>
        </w:rPr>
      </w:pPr>
      <w:r w:rsidRPr="007C3567">
        <w:rPr>
          <w:rFonts w:asciiTheme="minorBidi" w:hAnsiTheme="minorBidi"/>
          <w:sz w:val="18"/>
          <w:szCs w:val="18"/>
        </w:rPr>
        <w:t xml:space="preserve">Contaminated water serves as a transmission route for bacterial, viral, and protozoan diseases in poultry. Diseases caused by bacteria, viruses, and protozoa are among the most prevalent in the poultry industry. Among bacterial diseases, </w:t>
      </w:r>
      <w:r w:rsidRPr="007C3567">
        <w:rPr>
          <w:rFonts w:asciiTheme="minorBidi" w:hAnsiTheme="minorBidi"/>
          <w:i/>
          <w:iCs/>
          <w:sz w:val="18"/>
          <w:szCs w:val="18"/>
        </w:rPr>
        <w:t xml:space="preserve">Mycoplasma </w:t>
      </w:r>
      <w:proofErr w:type="spellStart"/>
      <w:r w:rsidRPr="007C3567">
        <w:rPr>
          <w:rFonts w:asciiTheme="minorBidi" w:hAnsiTheme="minorBidi"/>
          <w:i/>
          <w:iCs/>
          <w:sz w:val="18"/>
          <w:szCs w:val="18"/>
        </w:rPr>
        <w:t>gallisepticum</w:t>
      </w:r>
      <w:proofErr w:type="spellEnd"/>
      <w:r w:rsidRPr="007C3567">
        <w:rPr>
          <w:rFonts w:asciiTheme="minorBidi" w:hAnsiTheme="minorBidi"/>
          <w:sz w:val="18"/>
          <w:szCs w:val="18"/>
        </w:rPr>
        <w:t xml:space="preserve">, the causative agent of Chronic Respiratory Disease (CRD), may contaminate water through respiratory secretions, while </w:t>
      </w:r>
      <w:r w:rsidRPr="007C3567">
        <w:rPr>
          <w:rFonts w:asciiTheme="minorBidi" w:hAnsiTheme="minorBidi"/>
          <w:i/>
          <w:iCs/>
          <w:sz w:val="18"/>
          <w:szCs w:val="18"/>
        </w:rPr>
        <w:t xml:space="preserve">Escherichia </w:t>
      </w:r>
      <w:proofErr w:type="spellStart"/>
      <w:r w:rsidRPr="007C3567">
        <w:rPr>
          <w:rFonts w:asciiTheme="minorBidi" w:hAnsiTheme="minorBidi"/>
          <w:i/>
          <w:iCs/>
          <w:sz w:val="18"/>
          <w:szCs w:val="18"/>
        </w:rPr>
        <w:t>coli</w:t>
      </w:r>
      <w:proofErr w:type="gramStart"/>
      <w:r w:rsidRPr="007C3567">
        <w:rPr>
          <w:rFonts w:asciiTheme="minorBidi" w:hAnsiTheme="minorBidi"/>
          <w:sz w:val="18"/>
          <w:szCs w:val="18"/>
        </w:rPr>
        <w:t>,frequently</w:t>
      </w:r>
      <w:proofErr w:type="spellEnd"/>
      <w:proofErr w:type="gramEnd"/>
      <w:r w:rsidRPr="007C3567">
        <w:rPr>
          <w:rFonts w:asciiTheme="minorBidi" w:hAnsiTheme="minorBidi"/>
          <w:sz w:val="18"/>
          <w:szCs w:val="18"/>
        </w:rPr>
        <w:t xml:space="preserve"> implicated in </w:t>
      </w:r>
      <w:proofErr w:type="spellStart"/>
      <w:r w:rsidRPr="007C3567">
        <w:rPr>
          <w:rFonts w:asciiTheme="minorBidi" w:hAnsiTheme="minorBidi"/>
          <w:sz w:val="18"/>
          <w:szCs w:val="18"/>
        </w:rPr>
        <w:t>colibacillosis</w:t>
      </w:r>
      <w:proofErr w:type="spellEnd"/>
      <w:r w:rsidRPr="007C3567">
        <w:rPr>
          <w:rFonts w:asciiTheme="minorBidi" w:hAnsiTheme="minorBidi"/>
          <w:sz w:val="18"/>
          <w:szCs w:val="18"/>
        </w:rPr>
        <w:t xml:space="preserve"> and often associated with </w:t>
      </w:r>
      <w:proofErr w:type="spellStart"/>
      <w:r w:rsidRPr="007C3567">
        <w:rPr>
          <w:rFonts w:asciiTheme="minorBidi" w:hAnsiTheme="minorBidi"/>
          <w:sz w:val="18"/>
          <w:szCs w:val="18"/>
        </w:rPr>
        <w:t>CRD,can</w:t>
      </w:r>
      <w:proofErr w:type="spellEnd"/>
      <w:r w:rsidRPr="007C3567">
        <w:rPr>
          <w:rFonts w:asciiTheme="minorBidi" w:hAnsiTheme="minorBidi"/>
          <w:sz w:val="18"/>
          <w:szCs w:val="18"/>
        </w:rPr>
        <w:t xml:space="preserve"> enter the water system via fecal contamination, leading to respiratory exacerbations and septicemia. </w:t>
      </w:r>
      <w:proofErr w:type="spellStart"/>
      <w:r w:rsidRPr="007C3567">
        <w:rPr>
          <w:rFonts w:asciiTheme="minorBidi" w:hAnsiTheme="minorBidi"/>
          <w:i/>
          <w:iCs/>
          <w:sz w:val="18"/>
          <w:szCs w:val="18"/>
        </w:rPr>
        <w:t>Pasteurella</w:t>
      </w:r>
      <w:proofErr w:type="spellEnd"/>
      <w:r w:rsidRPr="007C3567">
        <w:rPr>
          <w:rFonts w:asciiTheme="minorBidi" w:hAnsiTheme="minorBidi"/>
          <w:i/>
          <w:iCs/>
          <w:sz w:val="18"/>
          <w:szCs w:val="18"/>
        </w:rPr>
        <w:t xml:space="preserve"> </w:t>
      </w:r>
      <w:proofErr w:type="spellStart"/>
      <w:r w:rsidRPr="007C3567">
        <w:rPr>
          <w:rFonts w:asciiTheme="minorBidi" w:hAnsiTheme="minorBidi"/>
          <w:i/>
          <w:iCs/>
          <w:sz w:val="18"/>
          <w:szCs w:val="18"/>
        </w:rPr>
        <w:t>multocida</w:t>
      </w:r>
      <w:proofErr w:type="spellEnd"/>
      <w:r w:rsidRPr="007C3567">
        <w:rPr>
          <w:rFonts w:asciiTheme="minorBidi" w:hAnsiTheme="minorBidi"/>
          <w:sz w:val="18"/>
          <w:szCs w:val="18"/>
        </w:rPr>
        <w:t xml:space="preserve">, responsible for avian cholera, and </w:t>
      </w:r>
      <w:r w:rsidRPr="007C3567">
        <w:rPr>
          <w:rFonts w:asciiTheme="minorBidi" w:hAnsiTheme="minorBidi"/>
          <w:i/>
          <w:iCs/>
          <w:sz w:val="18"/>
          <w:szCs w:val="18"/>
        </w:rPr>
        <w:t>Salmonella Gallinarum</w:t>
      </w:r>
      <w:r w:rsidRPr="007C3567">
        <w:rPr>
          <w:rFonts w:asciiTheme="minorBidi" w:hAnsiTheme="minorBidi"/>
          <w:sz w:val="18"/>
          <w:szCs w:val="18"/>
        </w:rPr>
        <w:t xml:space="preserve">, the agent of fowl typhoid, are also shed in feces and can infect birds through polluted drinking water, causing systemic illness and significant mortality. Viral diseases are similarly transmissible through contaminated water: </w:t>
      </w:r>
      <w:r w:rsidRPr="007C3567">
        <w:rPr>
          <w:rFonts w:asciiTheme="minorBidi" w:hAnsiTheme="minorBidi"/>
          <w:i/>
          <w:iCs/>
          <w:sz w:val="18"/>
          <w:szCs w:val="18"/>
        </w:rPr>
        <w:t>Paramyxovirus</w:t>
      </w:r>
      <w:r w:rsidRPr="007C3567">
        <w:rPr>
          <w:rFonts w:asciiTheme="minorBidi" w:hAnsiTheme="minorBidi"/>
          <w:sz w:val="18"/>
          <w:szCs w:val="18"/>
        </w:rPr>
        <w:t xml:space="preserve"> (Newcastle Disease), </w:t>
      </w:r>
      <w:r w:rsidRPr="007C3567">
        <w:rPr>
          <w:rFonts w:asciiTheme="minorBidi" w:hAnsiTheme="minorBidi"/>
          <w:i/>
          <w:iCs/>
          <w:sz w:val="18"/>
          <w:szCs w:val="18"/>
        </w:rPr>
        <w:t>Coronavirus</w:t>
      </w:r>
      <w:r w:rsidRPr="007C3567">
        <w:rPr>
          <w:rFonts w:asciiTheme="minorBidi" w:hAnsiTheme="minorBidi"/>
          <w:sz w:val="18"/>
          <w:szCs w:val="18"/>
        </w:rPr>
        <w:t xml:space="preserve"> (Infectious Bronchitis), </w:t>
      </w:r>
      <w:r w:rsidRPr="007C3567">
        <w:rPr>
          <w:rFonts w:asciiTheme="minorBidi" w:hAnsiTheme="minorBidi"/>
          <w:i/>
          <w:iCs/>
          <w:sz w:val="18"/>
          <w:szCs w:val="18"/>
        </w:rPr>
        <w:t>Herpesvirus</w:t>
      </w:r>
      <w:r w:rsidRPr="007C3567">
        <w:rPr>
          <w:rFonts w:asciiTheme="minorBidi" w:hAnsiTheme="minorBidi"/>
          <w:sz w:val="18"/>
          <w:szCs w:val="18"/>
        </w:rPr>
        <w:t xml:space="preserve"> (Marek’s Disease), </w:t>
      </w:r>
      <w:r w:rsidRPr="007C3567">
        <w:rPr>
          <w:rFonts w:asciiTheme="minorBidi" w:hAnsiTheme="minorBidi"/>
          <w:i/>
          <w:iCs/>
          <w:sz w:val="18"/>
          <w:szCs w:val="18"/>
        </w:rPr>
        <w:t>Picornavirus</w:t>
      </w:r>
      <w:r w:rsidRPr="007C3567">
        <w:rPr>
          <w:rFonts w:asciiTheme="minorBidi" w:hAnsiTheme="minorBidi"/>
          <w:sz w:val="18"/>
          <w:szCs w:val="18"/>
        </w:rPr>
        <w:t xml:space="preserve"> (Avian Encephalomyelitis), and </w:t>
      </w:r>
      <w:proofErr w:type="spellStart"/>
      <w:r w:rsidRPr="007C3567">
        <w:rPr>
          <w:rFonts w:asciiTheme="minorBidi" w:hAnsiTheme="minorBidi"/>
          <w:i/>
          <w:iCs/>
          <w:sz w:val="18"/>
          <w:szCs w:val="18"/>
        </w:rPr>
        <w:t>Birnavirus</w:t>
      </w:r>
      <w:proofErr w:type="spellEnd"/>
      <w:r w:rsidRPr="007C3567">
        <w:rPr>
          <w:rFonts w:asciiTheme="minorBidi" w:hAnsiTheme="minorBidi"/>
          <w:sz w:val="18"/>
          <w:szCs w:val="18"/>
        </w:rPr>
        <w:t xml:space="preserve"> (</w:t>
      </w:r>
      <w:proofErr w:type="spellStart"/>
      <w:r w:rsidRPr="007C3567">
        <w:rPr>
          <w:rFonts w:asciiTheme="minorBidi" w:hAnsiTheme="minorBidi"/>
          <w:sz w:val="18"/>
          <w:szCs w:val="18"/>
        </w:rPr>
        <w:t>Gumboro</w:t>
      </w:r>
      <w:proofErr w:type="spellEnd"/>
      <w:r w:rsidRPr="007C3567">
        <w:rPr>
          <w:rFonts w:asciiTheme="minorBidi" w:hAnsiTheme="minorBidi"/>
          <w:sz w:val="18"/>
          <w:szCs w:val="18"/>
        </w:rPr>
        <w:t xml:space="preserve"> Disease) may all be introduced into drinking systems through feces or respiratory discharges, leading to symptoms ranging from respiratory distress and immunosuppression to paralysis and high mortality. Protozoan pathogens also pose a considerable risk. </w:t>
      </w:r>
      <w:proofErr w:type="spellStart"/>
      <w:r w:rsidRPr="007C3567">
        <w:rPr>
          <w:rFonts w:asciiTheme="minorBidi" w:hAnsiTheme="minorBidi"/>
          <w:i/>
          <w:iCs/>
          <w:sz w:val="18"/>
          <w:szCs w:val="18"/>
        </w:rPr>
        <w:t>Histomonas</w:t>
      </w:r>
      <w:proofErr w:type="spellEnd"/>
      <w:r w:rsidRPr="007C3567">
        <w:rPr>
          <w:rFonts w:asciiTheme="minorBidi" w:hAnsiTheme="minorBidi"/>
          <w:i/>
          <w:iCs/>
          <w:sz w:val="18"/>
          <w:szCs w:val="18"/>
        </w:rPr>
        <w:t xml:space="preserve"> </w:t>
      </w:r>
      <w:proofErr w:type="spellStart"/>
      <w:r w:rsidRPr="007C3567">
        <w:rPr>
          <w:rFonts w:asciiTheme="minorBidi" w:hAnsiTheme="minorBidi"/>
          <w:i/>
          <w:iCs/>
          <w:sz w:val="18"/>
          <w:szCs w:val="18"/>
        </w:rPr>
        <w:t>meleagridis</w:t>
      </w:r>
      <w:proofErr w:type="spellEnd"/>
      <w:r w:rsidRPr="007C3567">
        <w:rPr>
          <w:rFonts w:asciiTheme="minorBidi" w:hAnsiTheme="minorBidi"/>
          <w:sz w:val="18"/>
          <w:szCs w:val="18"/>
        </w:rPr>
        <w:t xml:space="preserve">, the agent of </w:t>
      </w:r>
      <w:proofErr w:type="spellStart"/>
      <w:r w:rsidRPr="007C3567">
        <w:rPr>
          <w:rFonts w:asciiTheme="minorBidi" w:hAnsiTheme="minorBidi"/>
          <w:sz w:val="18"/>
          <w:szCs w:val="18"/>
        </w:rPr>
        <w:t>histomoniasis</w:t>
      </w:r>
      <w:proofErr w:type="spellEnd"/>
      <w:r w:rsidRPr="007C3567">
        <w:rPr>
          <w:rFonts w:asciiTheme="minorBidi" w:hAnsiTheme="minorBidi"/>
          <w:sz w:val="18"/>
          <w:szCs w:val="18"/>
        </w:rPr>
        <w:t xml:space="preserve">, and </w:t>
      </w:r>
      <w:proofErr w:type="spellStart"/>
      <w:r w:rsidRPr="007C3567">
        <w:rPr>
          <w:rFonts w:asciiTheme="minorBidi" w:hAnsiTheme="minorBidi"/>
          <w:i/>
          <w:iCs/>
          <w:sz w:val="18"/>
          <w:szCs w:val="18"/>
        </w:rPr>
        <w:t>Eimeria</w:t>
      </w:r>
      <w:proofErr w:type="spellEnd"/>
      <w:r w:rsidRPr="007C3567">
        <w:rPr>
          <w:rFonts w:asciiTheme="minorBidi" w:hAnsiTheme="minorBidi"/>
          <w:sz w:val="18"/>
          <w:szCs w:val="18"/>
        </w:rPr>
        <w:t xml:space="preserve"> spp., responsible for coccidiosis, are commonly spread through fecal-contaminated water, causing gastrointestinal damage, poor weight gain, and reduced flock performance </w:t>
      </w:r>
      <w:r w:rsidRPr="007C3567">
        <w:rPr>
          <w:rFonts w:asciiTheme="minorBidi" w:hAnsiTheme="minorBidi"/>
          <w:noProof/>
          <w:sz w:val="18"/>
          <w:szCs w:val="18"/>
        </w:rPr>
        <w:t>(Amaral, 2004)</w:t>
      </w:r>
      <w:r w:rsidRPr="007C3567">
        <w:rPr>
          <w:rFonts w:asciiTheme="minorBidi" w:hAnsiTheme="minorBidi"/>
          <w:sz w:val="18"/>
          <w:szCs w:val="18"/>
        </w:rPr>
        <w:t>. These examples underscore the importance of maintaining strict hygiene and regular microbiological monitoring of drinking water systems to prevent the spread of waterborne poultry diseases.</w:t>
      </w:r>
    </w:p>
    <w:p w14:paraId="477721F7" w14:textId="77777777" w:rsidR="009C438B" w:rsidRPr="007C3567" w:rsidRDefault="009C438B" w:rsidP="007C3567">
      <w:pPr>
        <w:pStyle w:val="ListParagraph"/>
        <w:numPr>
          <w:ilvl w:val="1"/>
          <w:numId w:val="19"/>
        </w:numPr>
        <w:suppressAutoHyphens/>
        <w:autoSpaceDN w:val="0"/>
        <w:spacing w:after="160" w:line="240" w:lineRule="auto"/>
        <w:jc w:val="both"/>
        <w:textAlignment w:val="baseline"/>
        <w:rPr>
          <w:rFonts w:asciiTheme="minorBidi" w:hAnsiTheme="minorBidi"/>
          <w:b/>
          <w:bCs/>
          <w:sz w:val="18"/>
          <w:szCs w:val="18"/>
          <w:lang w:val="fr-FR"/>
        </w:rPr>
      </w:pPr>
      <w:r w:rsidRPr="007C3567">
        <w:rPr>
          <w:rFonts w:asciiTheme="minorBidi" w:hAnsiTheme="minorBidi"/>
          <w:b/>
          <w:bCs/>
          <w:sz w:val="18"/>
          <w:szCs w:val="18"/>
        </w:rPr>
        <w:t xml:space="preserve"> </w:t>
      </w:r>
      <w:r w:rsidRPr="007C3567">
        <w:rPr>
          <w:rFonts w:asciiTheme="minorBidi" w:hAnsiTheme="minorBidi"/>
          <w:b/>
          <w:bCs/>
          <w:sz w:val="18"/>
          <w:szCs w:val="18"/>
          <w:lang w:val="fr-FR"/>
        </w:rPr>
        <w:t xml:space="preserve">On </w:t>
      </w:r>
      <w:proofErr w:type="spellStart"/>
      <w:r w:rsidRPr="007C3567">
        <w:rPr>
          <w:rFonts w:asciiTheme="minorBidi" w:hAnsiTheme="minorBidi"/>
          <w:b/>
          <w:bCs/>
          <w:sz w:val="18"/>
          <w:szCs w:val="18"/>
          <w:lang w:val="fr-FR"/>
        </w:rPr>
        <w:t>Growth</w:t>
      </w:r>
      <w:proofErr w:type="spellEnd"/>
      <w:r w:rsidRPr="007C3567">
        <w:rPr>
          <w:rFonts w:asciiTheme="minorBidi" w:hAnsiTheme="minorBidi"/>
          <w:b/>
          <w:bCs/>
          <w:sz w:val="18"/>
          <w:szCs w:val="18"/>
          <w:lang w:val="fr-FR"/>
        </w:rPr>
        <w:t xml:space="preserve"> Performance</w:t>
      </w:r>
    </w:p>
    <w:p w14:paraId="405EE7AF" w14:textId="01E0B85C" w:rsidR="009C438B" w:rsidRDefault="009C438B" w:rsidP="007C3567">
      <w:pPr>
        <w:spacing w:line="240" w:lineRule="auto"/>
        <w:jc w:val="both"/>
        <w:rPr>
          <w:rFonts w:asciiTheme="minorBidi" w:hAnsiTheme="minorBidi"/>
          <w:sz w:val="18"/>
          <w:szCs w:val="18"/>
        </w:rPr>
      </w:pPr>
      <w:r w:rsidRPr="007C3567">
        <w:rPr>
          <w:rFonts w:asciiTheme="minorBidi" w:hAnsiTheme="minorBidi"/>
          <w:sz w:val="18"/>
          <w:szCs w:val="18"/>
        </w:rPr>
        <w:t xml:space="preserve">Several studies have explored how water quality influences chicken performance. Regarding total dissolved solids (TDS) concentrations, </w:t>
      </w:r>
      <w:proofErr w:type="spellStart"/>
      <w:r w:rsidRPr="007C3567">
        <w:rPr>
          <w:rFonts w:asciiTheme="minorBidi" w:hAnsiTheme="minorBidi"/>
          <w:sz w:val="18"/>
          <w:szCs w:val="18"/>
        </w:rPr>
        <w:t>Pourreza</w:t>
      </w:r>
      <w:proofErr w:type="spellEnd"/>
      <w:r w:rsidRPr="007C3567">
        <w:rPr>
          <w:rFonts w:asciiTheme="minorBidi" w:hAnsiTheme="minorBidi"/>
          <w:sz w:val="18"/>
          <w:szCs w:val="18"/>
        </w:rPr>
        <w:t xml:space="preserve"> et al. (2000) divided broilers into six groups exposed to TDS levels of less than 1000, 1000–2000, 2000–3000, 3000–4000, 4000–5000, and over 5000 ppm and they noted a strong positive correlation between TDS levels and both water intake (r = +0.74) and litter moisture (r = +0.65). Furthermore, mortality reached 56.2% at the highest TDS level, and birds in the highest TDS group showed significantly reduced body weights compared to the control group. Similarly, Al-Salhie and Hussain (2022) reported that high levels of TDS in drinking water can lead to decreased body weight, weight gain, and feed intake in broiler chickens and Ahmed (2013) tested TDS levels of 265, 2610, 3154, and 3448 ppm under hot, dry conditions and found that 2610 ppm led to the highest weight gain, while 3448 ppm negatively affected both feed efficiency and growth. However, supplementation with vitamin C (100 mg/L) in high TDS water can improve growth parameters and physiological status of broilers </w:t>
      </w:r>
      <w:r w:rsidRPr="007C3567">
        <w:rPr>
          <w:rFonts w:asciiTheme="minorBidi" w:hAnsiTheme="minorBidi"/>
          <w:noProof/>
          <w:sz w:val="18"/>
          <w:szCs w:val="18"/>
        </w:rPr>
        <w:t>(Al-Salhie and Hussain, 2022)</w:t>
      </w:r>
      <w:r w:rsidRPr="007C3567">
        <w:rPr>
          <w:rFonts w:asciiTheme="minorBidi" w:hAnsiTheme="minorBidi"/>
          <w:sz w:val="18"/>
          <w:szCs w:val="18"/>
        </w:rPr>
        <w:t xml:space="preserve">. Regarding other water parameters, Borges et al. (2003) showed that increased saline water consumption, meant to stabilize plasma osmolarity, sped up digesta transit and lowered nutrient absorption. Mushtaq et al. (2007) linked increased chloride intake to higher litter moisture and reduced dressing and organ weights. </w:t>
      </w:r>
      <w:commentRangeStart w:id="7"/>
      <w:proofErr w:type="spellStart"/>
      <w:r w:rsidRPr="007C3567">
        <w:rPr>
          <w:rFonts w:asciiTheme="minorBidi" w:hAnsiTheme="minorBidi"/>
          <w:sz w:val="18"/>
          <w:szCs w:val="18"/>
        </w:rPr>
        <w:t>Berghaus</w:t>
      </w:r>
      <w:proofErr w:type="spellEnd"/>
      <w:r w:rsidRPr="007C3567">
        <w:rPr>
          <w:rFonts w:asciiTheme="minorBidi" w:hAnsiTheme="minorBidi"/>
          <w:sz w:val="18"/>
          <w:szCs w:val="18"/>
        </w:rPr>
        <w:t xml:space="preserve"> and Stewart-Brown (2013</w:t>
      </w:r>
      <w:commentRangeEnd w:id="7"/>
      <w:r w:rsidR="009610E6">
        <w:rPr>
          <w:rStyle w:val="CommentReference"/>
          <w:rFonts w:ascii="Calibri" w:eastAsia="MS Mincho" w:hAnsi="Calibri" w:cs="Arial"/>
          <w:lang w:val="en-NZ"/>
        </w:rPr>
        <w:commentReference w:id="7"/>
      </w:r>
      <w:r w:rsidRPr="007C3567">
        <w:rPr>
          <w:rFonts w:asciiTheme="minorBidi" w:hAnsiTheme="minorBidi"/>
          <w:sz w:val="18"/>
          <w:szCs w:val="18"/>
        </w:rPr>
        <w:t xml:space="preserve">) found that water pH influences consumption rates. Abdou et al. (2018) highlighted that contaminants such as lead nitrate, ammonium chloride, and microbial agents like </w:t>
      </w:r>
      <w:r w:rsidRPr="007C3567">
        <w:rPr>
          <w:rFonts w:asciiTheme="minorBidi" w:hAnsiTheme="minorBidi"/>
          <w:i/>
          <w:iCs/>
          <w:sz w:val="18"/>
          <w:szCs w:val="18"/>
        </w:rPr>
        <w:t>E. coli</w:t>
      </w:r>
      <w:r w:rsidRPr="007C3567">
        <w:rPr>
          <w:rFonts w:asciiTheme="minorBidi" w:hAnsiTheme="minorBidi"/>
          <w:sz w:val="18"/>
          <w:szCs w:val="18"/>
        </w:rPr>
        <w:t xml:space="preserve"> O157:H7 can accumulate in poultry tissues, impair immune response, and threaten consumer health when present above safe levels. It should also be noted that contaminated water negatively affects broiler survival and production of broilers </w:t>
      </w:r>
      <w:r w:rsidRPr="007C3567">
        <w:rPr>
          <w:rFonts w:asciiTheme="minorBidi" w:hAnsiTheme="minorBidi"/>
          <w:noProof/>
          <w:sz w:val="18"/>
          <w:szCs w:val="18"/>
        </w:rPr>
        <w:t>(Saleh et al., 2023)</w:t>
      </w:r>
      <w:r w:rsidRPr="007C3567">
        <w:rPr>
          <w:rFonts w:asciiTheme="minorBidi" w:hAnsiTheme="minorBidi"/>
          <w:sz w:val="18"/>
          <w:szCs w:val="18"/>
        </w:rPr>
        <w:t xml:space="preserve">, and mineral and microbial content of water influences poultry performance, with substances like nitrate and magnesium in drinking water depressing performance in broilers </w:t>
      </w:r>
      <w:r w:rsidRPr="007C3567">
        <w:rPr>
          <w:rFonts w:asciiTheme="minorBidi" w:hAnsiTheme="minorBidi"/>
          <w:noProof/>
          <w:sz w:val="18"/>
          <w:szCs w:val="18"/>
        </w:rPr>
        <w:t>(King, 1996)</w:t>
      </w:r>
      <w:r w:rsidRPr="007C3567">
        <w:rPr>
          <w:rFonts w:asciiTheme="minorBidi" w:hAnsiTheme="minorBidi"/>
          <w:sz w:val="18"/>
          <w:szCs w:val="18"/>
        </w:rPr>
        <w:t>. Hence, proper management of water quality is crucial for poultry production, as it impacts the quality of animal products and food production economics (Saleh et al., 2023; King, 1996).</w:t>
      </w:r>
    </w:p>
    <w:p w14:paraId="09A2B12D" w14:textId="77777777" w:rsidR="00834755" w:rsidRPr="007C3567" w:rsidRDefault="00834755" w:rsidP="007C3567">
      <w:pPr>
        <w:spacing w:line="240" w:lineRule="auto"/>
        <w:jc w:val="both"/>
        <w:rPr>
          <w:rFonts w:asciiTheme="minorBidi" w:hAnsiTheme="minorBidi"/>
          <w:sz w:val="18"/>
          <w:szCs w:val="18"/>
        </w:rPr>
      </w:pPr>
    </w:p>
    <w:p w14:paraId="13EAEE15" w14:textId="77777777" w:rsidR="009C438B" w:rsidRPr="007C3567" w:rsidRDefault="009C438B" w:rsidP="007C3567">
      <w:pPr>
        <w:pStyle w:val="ListParagraph"/>
        <w:numPr>
          <w:ilvl w:val="1"/>
          <w:numId w:val="19"/>
        </w:numPr>
        <w:suppressAutoHyphens/>
        <w:autoSpaceDN w:val="0"/>
        <w:spacing w:after="160" w:line="240" w:lineRule="auto"/>
        <w:jc w:val="both"/>
        <w:textAlignment w:val="baseline"/>
        <w:rPr>
          <w:rFonts w:asciiTheme="minorBidi" w:hAnsiTheme="minorBidi"/>
          <w:b/>
          <w:bCs/>
          <w:sz w:val="18"/>
          <w:szCs w:val="18"/>
          <w:lang w:val="fr-FR"/>
        </w:rPr>
      </w:pPr>
      <w:r w:rsidRPr="007C3567">
        <w:rPr>
          <w:rFonts w:asciiTheme="minorBidi" w:hAnsiTheme="minorBidi"/>
          <w:b/>
          <w:bCs/>
          <w:sz w:val="18"/>
          <w:szCs w:val="18"/>
        </w:rPr>
        <w:t xml:space="preserve"> </w:t>
      </w:r>
      <w:r w:rsidRPr="007C3567">
        <w:rPr>
          <w:rFonts w:asciiTheme="minorBidi" w:hAnsiTheme="minorBidi"/>
          <w:b/>
          <w:bCs/>
          <w:sz w:val="18"/>
          <w:szCs w:val="18"/>
          <w:lang w:val="fr-FR"/>
        </w:rPr>
        <w:t xml:space="preserve">On </w:t>
      </w:r>
      <w:proofErr w:type="spellStart"/>
      <w:r w:rsidRPr="007C3567">
        <w:rPr>
          <w:rFonts w:asciiTheme="minorBidi" w:hAnsiTheme="minorBidi"/>
          <w:b/>
          <w:bCs/>
          <w:sz w:val="18"/>
          <w:szCs w:val="18"/>
          <w:lang w:val="fr-FR"/>
        </w:rPr>
        <w:t>Farm</w:t>
      </w:r>
      <w:proofErr w:type="spellEnd"/>
      <w:r w:rsidRPr="007C3567">
        <w:rPr>
          <w:rFonts w:asciiTheme="minorBidi" w:hAnsiTheme="minorBidi"/>
          <w:b/>
          <w:bCs/>
          <w:sz w:val="18"/>
          <w:szCs w:val="18"/>
          <w:lang w:val="fr-FR"/>
        </w:rPr>
        <w:t xml:space="preserve"> </w:t>
      </w:r>
      <w:proofErr w:type="spellStart"/>
      <w:r w:rsidRPr="007C3567">
        <w:rPr>
          <w:rFonts w:asciiTheme="minorBidi" w:hAnsiTheme="minorBidi"/>
          <w:b/>
          <w:bCs/>
          <w:sz w:val="18"/>
          <w:szCs w:val="18"/>
          <w:lang w:val="fr-FR"/>
        </w:rPr>
        <w:t>Biosecurity</w:t>
      </w:r>
      <w:proofErr w:type="spellEnd"/>
    </w:p>
    <w:p w14:paraId="162B3269" w14:textId="77777777" w:rsidR="001F5A6A" w:rsidRDefault="009C438B" w:rsidP="007C3567">
      <w:pPr>
        <w:spacing w:line="240" w:lineRule="auto"/>
        <w:jc w:val="both"/>
        <w:rPr>
          <w:rFonts w:asciiTheme="minorBidi" w:hAnsiTheme="minorBidi"/>
          <w:sz w:val="18"/>
          <w:szCs w:val="18"/>
        </w:rPr>
      </w:pPr>
      <w:r w:rsidRPr="007C3567">
        <w:rPr>
          <w:rFonts w:asciiTheme="minorBidi" w:hAnsiTheme="minorBidi"/>
          <w:sz w:val="18"/>
          <w:szCs w:val="18"/>
        </w:rPr>
        <w:t xml:space="preserve">In the context of farm biosecurity, water quality plays a fundamental role in either preventing or enabling the spread of infectious agents. When water sources are contaminated, they become a continuous and invisible route for the transmission of pathogens within and between poultry houses </w:t>
      </w:r>
      <w:r w:rsidRPr="007C3567">
        <w:rPr>
          <w:rFonts w:asciiTheme="minorBidi" w:hAnsiTheme="minorBidi"/>
          <w:noProof/>
          <w:sz w:val="18"/>
          <w:szCs w:val="18"/>
        </w:rPr>
        <w:t>(Amaral, 2004)</w:t>
      </w:r>
      <w:r w:rsidRPr="007C3567">
        <w:rPr>
          <w:rFonts w:asciiTheme="minorBidi" w:hAnsiTheme="minorBidi"/>
          <w:sz w:val="18"/>
          <w:szCs w:val="18"/>
        </w:rPr>
        <w:t xml:space="preserve">. Shared pipelines, drinkers, and storage tanks can facilitate the rapid distribution of bacteria, viruses, and parasites across the flock, undermining biosecurity protocols designed to contain disease </w:t>
      </w:r>
      <w:r w:rsidRPr="007C3567">
        <w:rPr>
          <w:rFonts w:asciiTheme="minorBidi" w:hAnsiTheme="minorBidi"/>
          <w:noProof/>
          <w:sz w:val="18"/>
          <w:szCs w:val="18"/>
        </w:rPr>
        <w:t>(Scott et al., 2018)</w:t>
      </w:r>
      <w:r w:rsidRPr="007C3567">
        <w:rPr>
          <w:rFonts w:asciiTheme="minorBidi" w:hAnsiTheme="minorBidi"/>
          <w:sz w:val="18"/>
          <w:szCs w:val="18"/>
        </w:rPr>
        <w:t xml:space="preserve">. Moreover, inadequate water sanitation can compromise the efficacy of disinfection routines, as biofilms forming in poorly maintained water lines protect pathogens from chemical agents, allowing microbial populations to persist despite surface cleaning efforts </w:t>
      </w:r>
      <w:r w:rsidRPr="007C3567">
        <w:rPr>
          <w:rFonts w:asciiTheme="minorBidi" w:hAnsiTheme="minorBidi"/>
          <w:noProof/>
          <w:sz w:val="18"/>
          <w:szCs w:val="18"/>
        </w:rPr>
        <w:t>(Melo et al., 2017; Maes et al., 2019)</w:t>
      </w:r>
      <w:r w:rsidRPr="007C3567">
        <w:rPr>
          <w:rFonts w:asciiTheme="minorBidi" w:hAnsiTheme="minorBidi"/>
          <w:sz w:val="18"/>
          <w:szCs w:val="18"/>
        </w:rPr>
        <w:t xml:space="preserve">. Studies have shown that biofilms can quickly reestablish in waterlines after cleaning, harboring pathogens like </w:t>
      </w:r>
      <w:r w:rsidRPr="007C3567">
        <w:rPr>
          <w:rFonts w:asciiTheme="minorBidi" w:hAnsiTheme="minorBidi"/>
          <w:i/>
          <w:iCs/>
          <w:sz w:val="18"/>
          <w:szCs w:val="18"/>
        </w:rPr>
        <w:t>Salmonella</w:t>
      </w:r>
      <w:r w:rsidRPr="007C3567">
        <w:rPr>
          <w:rFonts w:asciiTheme="minorBidi" w:hAnsiTheme="minorBidi"/>
          <w:sz w:val="18"/>
          <w:szCs w:val="18"/>
        </w:rPr>
        <w:t xml:space="preserve">, </w:t>
      </w:r>
      <w:r w:rsidRPr="007C3567">
        <w:rPr>
          <w:rFonts w:asciiTheme="minorBidi" w:hAnsiTheme="minorBidi"/>
          <w:i/>
          <w:iCs/>
          <w:sz w:val="18"/>
          <w:szCs w:val="18"/>
        </w:rPr>
        <w:t>E. coli</w:t>
      </w:r>
      <w:r w:rsidRPr="007C3567">
        <w:rPr>
          <w:rFonts w:asciiTheme="minorBidi" w:hAnsiTheme="minorBidi"/>
          <w:sz w:val="18"/>
          <w:szCs w:val="18"/>
        </w:rPr>
        <w:t xml:space="preserve">, and </w:t>
      </w:r>
      <w:r w:rsidRPr="007C3567">
        <w:rPr>
          <w:rFonts w:asciiTheme="minorBidi" w:hAnsiTheme="minorBidi"/>
          <w:i/>
          <w:iCs/>
          <w:sz w:val="18"/>
          <w:szCs w:val="18"/>
        </w:rPr>
        <w:t>Listeria</w:t>
      </w:r>
      <w:r w:rsidRPr="007C3567">
        <w:rPr>
          <w:rFonts w:asciiTheme="minorBidi" w:hAnsiTheme="minorBidi"/>
          <w:sz w:val="18"/>
          <w:szCs w:val="18"/>
        </w:rPr>
        <w:t xml:space="preserve"> </w:t>
      </w:r>
      <w:r w:rsidRPr="007C3567">
        <w:rPr>
          <w:rFonts w:asciiTheme="minorBidi" w:hAnsiTheme="minorBidi"/>
          <w:noProof/>
          <w:sz w:val="18"/>
          <w:szCs w:val="18"/>
        </w:rPr>
        <w:t>(Melo et al., 2017; Raut et al., 2024)</w:t>
      </w:r>
      <w:r w:rsidRPr="007C3567">
        <w:rPr>
          <w:rFonts w:asciiTheme="minorBidi" w:hAnsiTheme="minorBidi"/>
          <w:sz w:val="18"/>
          <w:szCs w:val="18"/>
        </w:rPr>
        <w:t xml:space="preserve">. Another major concern is the diminished effectiveness of vaccination programs </w:t>
      </w:r>
      <w:r w:rsidRPr="007C3567">
        <w:rPr>
          <w:rFonts w:asciiTheme="minorBidi" w:hAnsiTheme="minorBidi"/>
          <w:noProof/>
          <w:sz w:val="18"/>
          <w:szCs w:val="18"/>
        </w:rPr>
        <w:t>(Saleh et al., 2023)</w:t>
      </w:r>
      <w:r w:rsidRPr="007C3567">
        <w:rPr>
          <w:rFonts w:asciiTheme="minorBidi" w:hAnsiTheme="minorBidi"/>
          <w:sz w:val="18"/>
          <w:szCs w:val="18"/>
        </w:rPr>
        <w:t xml:space="preserve">. Vaccines rely on the immune system’s ability to mount a controlled response, but when birds are continuously exposed to pathogens through their drinking water, this baseline immunological stress may render vaccines less effective or even counterproductive </w:t>
      </w:r>
      <w:r w:rsidRPr="007C3567">
        <w:rPr>
          <w:rFonts w:asciiTheme="minorBidi" w:hAnsiTheme="minorBidi"/>
          <w:noProof/>
          <w:sz w:val="18"/>
          <w:szCs w:val="18"/>
        </w:rPr>
        <w:t>(Fairbrother et al., 2004)</w:t>
      </w:r>
      <w:r w:rsidRPr="007C3567">
        <w:rPr>
          <w:rFonts w:asciiTheme="minorBidi" w:hAnsiTheme="minorBidi"/>
          <w:sz w:val="18"/>
          <w:szCs w:val="18"/>
        </w:rPr>
        <w:t xml:space="preserve">. Further complicating the issue is the risk of antimicrobial resistance (AMR) emerging within the water system itself. Chronic exposure to low doses of antibiotics, whether from residues or environmental contamination, can select for resistant strains within biofilms or standing water. These resistant organisms not only threaten treatment efficacy but can also be transmitted between farms via equipment, staff, or water runoff, thereby breaching the farm’s biosecurity perimeter </w:t>
      </w:r>
      <w:r w:rsidRPr="007C3567">
        <w:rPr>
          <w:rFonts w:asciiTheme="minorBidi" w:hAnsiTheme="minorBidi"/>
          <w:noProof/>
          <w:sz w:val="18"/>
          <w:szCs w:val="18"/>
        </w:rPr>
        <w:t>(Piccirillo et al., 2024)</w:t>
      </w:r>
      <w:r w:rsidRPr="007C3567">
        <w:rPr>
          <w:rFonts w:asciiTheme="minorBidi" w:hAnsiTheme="minorBidi"/>
          <w:sz w:val="18"/>
          <w:szCs w:val="18"/>
        </w:rPr>
        <w:t xml:space="preserve"> which contributes to making poultry one of the animal species with the highest level of antimicrobial resistance </w:t>
      </w:r>
      <w:r w:rsidRPr="007C3567">
        <w:rPr>
          <w:rFonts w:asciiTheme="minorBidi" w:hAnsiTheme="minorBidi"/>
          <w:noProof/>
          <w:sz w:val="18"/>
          <w:szCs w:val="18"/>
        </w:rPr>
        <w:t>(Saidani et al., 2019)</w:t>
      </w:r>
      <w:r w:rsidRPr="007C3567">
        <w:rPr>
          <w:rFonts w:asciiTheme="minorBidi" w:hAnsiTheme="minorBidi"/>
          <w:sz w:val="18"/>
          <w:szCs w:val="18"/>
        </w:rPr>
        <w:t xml:space="preserve">. Lastly, ensuring good water quality is crucial for maintaining biosecurity in poultry production, which encompasses hygiene practices and bird health status </w:t>
      </w:r>
      <w:r w:rsidRPr="007C3567">
        <w:rPr>
          <w:rFonts w:asciiTheme="minorBidi" w:hAnsiTheme="minorBidi"/>
          <w:noProof/>
          <w:sz w:val="18"/>
          <w:szCs w:val="18"/>
        </w:rPr>
        <w:t>(Wlaźlak et al., 2023)</w:t>
      </w:r>
      <w:r w:rsidRPr="007C3567">
        <w:rPr>
          <w:rFonts w:asciiTheme="minorBidi" w:hAnsiTheme="minorBidi"/>
          <w:sz w:val="18"/>
          <w:szCs w:val="18"/>
        </w:rPr>
        <w:t>.</w:t>
      </w:r>
    </w:p>
    <w:p w14:paraId="06D0E7E4" w14:textId="74B0DBF6" w:rsidR="002F4CD0" w:rsidRPr="002F4CD0" w:rsidRDefault="002F4CD0" w:rsidP="00834755">
      <w:pPr>
        <w:pStyle w:val="Heading2"/>
        <w:numPr>
          <w:ilvl w:val="0"/>
          <w:numId w:val="19"/>
        </w:numPr>
        <w:spacing w:after="240"/>
        <w:rPr>
          <w:rFonts w:eastAsia="Times New Roman"/>
          <w:sz w:val="20"/>
          <w:szCs w:val="24"/>
          <w:lang w:bidi="bn-IN"/>
        </w:rPr>
      </w:pPr>
      <w:r w:rsidRPr="002F4CD0">
        <w:rPr>
          <w:rFonts w:eastAsia="Times New Roman"/>
          <w:sz w:val="20"/>
          <w:szCs w:val="24"/>
          <w:lang w:bidi="bn-IN"/>
        </w:rPr>
        <w:t>USE OF BIOCIDES TO IMPROVE WATER QUALITY IN POULTRY FARMING</w:t>
      </w:r>
    </w:p>
    <w:p w14:paraId="0F12DA38" w14:textId="67DFEAD2" w:rsidR="009A50A4" w:rsidRPr="00E52553" w:rsidRDefault="002F4CD0" w:rsidP="002F4CD0">
      <w:pPr>
        <w:spacing w:line="240" w:lineRule="auto"/>
        <w:jc w:val="both"/>
        <w:rPr>
          <w:rFonts w:asciiTheme="minorBidi" w:hAnsiTheme="minorBidi"/>
          <w:sz w:val="18"/>
          <w:szCs w:val="18"/>
        </w:rPr>
      </w:pPr>
      <w:r w:rsidRPr="002F4CD0">
        <w:rPr>
          <w:rFonts w:asciiTheme="minorBidi" w:hAnsiTheme="minorBidi"/>
          <w:sz w:val="18"/>
          <w:szCs w:val="18"/>
        </w:rPr>
        <w:t xml:space="preserve">To mitigate issues related to poor water quality, farmers should focus on protecting water supply sources, implementing disinfection measures, and regularly monitoring water quality parameters </w:t>
      </w:r>
      <w:r w:rsidRPr="002F4CD0">
        <w:rPr>
          <w:rFonts w:asciiTheme="minorBidi" w:hAnsiTheme="minorBidi"/>
          <w:noProof/>
          <w:sz w:val="18"/>
          <w:szCs w:val="18"/>
        </w:rPr>
        <w:t>(Amaral, 2004)</w:t>
      </w:r>
      <w:r w:rsidRPr="002F4CD0">
        <w:rPr>
          <w:rFonts w:asciiTheme="minorBidi" w:hAnsiTheme="minorBidi"/>
          <w:sz w:val="18"/>
          <w:szCs w:val="18"/>
        </w:rPr>
        <w:t xml:space="preserve">. To improve water quality, various biocides and disinfection methods have been evaluated. Chlorination, cleaning, and disinfection were identified as significant factors in reducing contamination </w:t>
      </w:r>
      <w:r w:rsidRPr="002F4CD0">
        <w:rPr>
          <w:rFonts w:asciiTheme="minorBidi" w:hAnsiTheme="minorBidi"/>
          <w:noProof/>
          <w:sz w:val="18"/>
          <w:szCs w:val="18"/>
        </w:rPr>
        <w:t>(</w:t>
      </w:r>
      <w:commentRangeStart w:id="8"/>
      <w:r w:rsidRPr="002F4CD0">
        <w:rPr>
          <w:rFonts w:asciiTheme="minorBidi" w:hAnsiTheme="minorBidi"/>
          <w:noProof/>
          <w:sz w:val="18"/>
          <w:szCs w:val="18"/>
        </w:rPr>
        <w:t>e</w:t>
      </w:r>
      <w:commentRangeEnd w:id="8"/>
      <w:r w:rsidR="00681A5F">
        <w:rPr>
          <w:rStyle w:val="CommentReference"/>
          <w:rFonts w:ascii="Calibri" w:eastAsia="MS Mincho" w:hAnsi="Calibri" w:cs="Arial"/>
          <w:rtl/>
          <w:lang w:val="en-NZ"/>
        </w:rPr>
        <w:commentReference w:id="8"/>
      </w:r>
      <w:r w:rsidRPr="002F4CD0">
        <w:rPr>
          <w:rFonts w:asciiTheme="minorBidi" w:hAnsiTheme="minorBidi"/>
          <w:noProof/>
          <w:sz w:val="18"/>
          <w:szCs w:val="18"/>
        </w:rPr>
        <w:t>l Allaoui et al., 2016)</w:t>
      </w:r>
      <w:r w:rsidRPr="002F4CD0">
        <w:rPr>
          <w:rFonts w:asciiTheme="minorBidi" w:hAnsiTheme="minorBidi"/>
          <w:sz w:val="18"/>
          <w:szCs w:val="18"/>
        </w:rPr>
        <w:t xml:space="preserve">. Various biocides, including sodium hypochlorite and alkaline detergents like "Sandez," have demonstrated efficacy against pathogens such as </w:t>
      </w:r>
      <w:r w:rsidRPr="002F4CD0">
        <w:rPr>
          <w:rFonts w:asciiTheme="minorBidi" w:hAnsiTheme="minorBidi"/>
          <w:i/>
          <w:iCs/>
          <w:sz w:val="18"/>
          <w:szCs w:val="18"/>
        </w:rPr>
        <w:t>Salmonella</w:t>
      </w:r>
      <w:r w:rsidRPr="002F4CD0">
        <w:rPr>
          <w:rFonts w:asciiTheme="minorBidi" w:hAnsiTheme="minorBidi"/>
          <w:sz w:val="18"/>
          <w:szCs w:val="18"/>
        </w:rPr>
        <w:t xml:space="preserve">, </w:t>
      </w:r>
      <w:r w:rsidRPr="002F4CD0">
        <w:rPr>
          <w:rFonts w:asciiTheme="minorBidi" w:hAnsiTheme="minorBidi"/>
          <w:i/>
          <w:iCs/>
          <w:sz w:val="18"/>
          <w:szCs w:val="18"/>
        </w:rPr>
        <w:t>E. coli</w:t>
      </w:r>
      <w:r w:rsidRPr="002F4CD0">
        <w:rPr>
          <w:rFonts w:asciiTheme="minorBidi" w:hAnsiTheme="minorBidi"/>
          <w:sz w:val="18"/>
          <w:szCs w:val="18"/>
        </w:rPr>
        <w:t xml:space="preserve">, and </w:t>
      </w:r>
      <w:r w:rsidRPr="002F4CD0">
        <w:rPr>
          <w:rFonts w:asciiTheme="minorBidi" w:hAnsiTheme="minorBidi"/>
          <w:i/>
          <w:iCs/>
          <w:sz w:val="18"/>
          <w:szCs w:val="18"/>
        </w:rPr>
        <w:t>Listeria</w:t>
      </w:r>
      <w:r w:rsidRPr="002F4CD0">
        <w:rPr>
          <w:rFonts w:asciiTheme="minorBidi" w:hAnsiTheme="minorBidi"/>
          <w:sz w:val="18"/>
          <w:szCs w:val="18"/>
        </w:rPr>
        <w:t xml:space="preserve"> </w:t>
      </w:r>
      <w:r w:rsidRPr="002F4CD0">
        <w:rPr>
          <w:rFonts w:asciiTheme="minorBidi" w:hAnsiTheme="minorBidi"/>
          <w:noProof/>
          <w:sz w:val="18"/>
          <w:szCs w:val="18"/>
        </w:rPr>
        <w:t>(Kasianenko and Nesterenko, 2023; Raut et al., 2024)</w:t>
      </w:r>
      <w:r w:rsidRPr="002F4CD0">
        <w:rPr>
          <w:rFonts w:asciiTheme="minorBidi" w:hAnsiTheme="minorBidi"/>
          <w:sz w:val="18"/>
          <w:szCs w:val="18"/>
        </w:rPr>
        <w:t>. </w:t>
      </w:r>
      <w:proofErr w:type="spellStart"/>
      <w:r w:rsidRPr="002F4CD0">
        <w:rPr>
          <w:rFonts w:asciiTheme="minorBidi" w:hAnsiTheme="minorBidi"/>
          <w:sz w:val="18"/>
          <w:szCs w:val="18"/>
        </w:rPr>
        <w:t>Klorsept</w:t>
      </w:r>
      <w:proofErr w:type="spellEnd"/>
      <w:r w:rsidRPr="002F4CD0">
        <w:rPr>
          <w:rFonts w:asciiTheme="minorBidi" w:hAnsiTheme="minorBidi"/>
          <w:sz w:val="18"/>
          <w:szCs w:val="18"/>
        </w:rPr>
        <w:t xml:space="preserve"> 25, calcium hypochlorite, and hydrogen peroxide were also found effective against pathogenic bacteria </w:t>
      </w:r>
      <w:r w:rsidRPr="002F4CD0">
        <w:rPr>
          <w:rFonts w:asciiTheme="minorBidi" w:hAnsiTheme="minorBidi"/>
          <w:noProof/>
          <w:sz w:val="18"/>
          <w:szCs w:val="18"/>
        </w:rPr>
        <w:t>(Mohammed, 2019)</w:t>
      </w:r>
      <w:r w:rsidRPr="002F4CD0">
        <w:rPr>
          <w:rFonts w:asciiTheme="minorBidi" w:hAnsiTheme="minorBidi"/>
          <w:sz w:val="18"/>
          <w:szCs w:val="18"/>
        </w:rPr>
        <w:t xml:space="preserve">. However, biofilm regrowth remains a challenge, emphasizing the need for robust sanitation protocols </w:t>
      </w:r>
      <w:r w:rsidRPr="002F4CD0">
        <w:rPr>
          <w:rFonts w:asciiTheme="minorBidi" w:hAnsiTheme="minorBidi"/>
          <w:noProof/>
          <w:sz w:val="18"/>
          <w:szCs w:val="18"/>
        </w:rPr>
        <w:t>(Raut et al., 2024)</w:t>
      </w:r>
      <w:r w:rsidRPr="002F4CD0">
        <w:rPr>
          <w:rFonts w:asciiTheme="minorBidi" w:hAnsiTheme="minorBidi"/>
          <w:sz w:val="18"/>
          <w:szCs w:val="18"/>
        </w:rPr>
        <w:t xml:space="preserve">. Proper dosing is crucial, as underdosing may foster resistance while overdosing can negatively affect bird health and water intake. Regular rotation of biocidal agents is also recommended to avoid microbial adaptation </w:t>
      </w:r>
      <w:r w:rsidRPr="002F4CD0">
        <w:rPr>
          <w:rFonts w:asciiTheme="minorBidi" w:hAnsiTheme="minorBidi"/>
          <w:noProof/>
          <w:sz w:val="18"/>
          <w:szCs w:val="18"/>
        </w:rPr>
        <w:t>(Murtough et al., 2001)</w:t>
      </w:r>
      <w:r w:rsidRPr="002F4CD0">
        <w:rPr>
          <w:rFonts w:asciiTheme="minorBidi" w:hAnsiTheme="minorBidi"/>
          <w:sz w:val="18"/>
          <w:szCs w:val="18"/>
        </w:rPr>
        <w:t xml:space="preserve">. Furthermore, the effectiveness of biocides is influenced by water pH, hardness, and organic matter content, necessitating prior water quality assessment </w:t>
      </w:r>
      <w:r w:rsidRPr="002F4CD0">
        <w:rPr>
          <w:rFonts w:asciiTheme="minorBidi" w:hAnsiTheme="minorBidi"/>
          <w:noProof/>
          <w:sz w:val="18"/>
          <w:szCs w:val="18"/>
        </w:rPr>
        <w:t>(Li et al., 2019)</w:t>
      </w:r>
      <w:r w:rsidRPr="002F4CD0">
        <w:rPr>
          <w:rFonts w:asciiTheme="minorBidi" w:hAnsiTheme="minorBidi"/>
          <w:sz w:val="18"/>
          <w:szCs w:val="18"/>
        </w:rPr>
        <w:t>.</w:t>
      </w:r>
    </w:p>
    <w:p w14:paraId="481D6500" w14:textId="30D9C10C" w:rsidR="002F4CD0" w:rsidRPr="002F4CD0" w:rsidRDefault="002F4CD0" w:rsidP="007504FA">
      <w:pPr>
        <w:pStyle w:val="Heading2"/>
        <w:numPr>
          <w:ilvl w:val="0"/>
          <w:numId w:val="19"/>
        </w:numPr>
        <w:spacing w:after="240"/>
        <w:rPr>
          <w:rFonts w:eastAsia="Times New Roman"/>
          <w:sz w:val="20"/>
          <w:szCs w:val="24"/>
          <w:lang w:bidi="bn-IN"/>
        </w:rPr>
      </w:pPr>
      <w:r w:rsidRPr="007504FA">
        <w:rPr>
          <w:rFonts w:eastAsia="Times New Roman"/>
          <w:sz w:val="20"/>
          <w:szCs w:val="24"/>
          <w:lang w:bidi="bn-IN"/>
        </w:rPr>
        <w:t>CONCLUSION</w:t>
      </w:r>
    </w:p>
    <w:p w14:paraId="2AB89A0D" w14:textId="77777777" w:rsidR="002F4CD0" w:rsidRPr="007504FA" w:rsidRDefault="002F4CD0" w:rsidP="007504FA">
      <w:pPr>
        <w:spacing w:line="240" w:lineRule="auto"/>
        <w:jc w:val="both"/>
        <w:rPr>
          <w:rFonts w:asciiTheme="minorBidi" w:hAnsiTheme="minorBidi"/>
          <w:sz w:val="18"/>
          <w:szCs w:val="18"/>
        </w:rPr>
      </w:pPr>
      <w:r w:rsidRPr="007504FA">
        <w:rPr>
          <w:rFonts w:asciiTheme="minorBidi" w:hAnsiTheme="minorBidi"/>
          <w:sz w:val="18"/>
          <w:szCs w:val="18"/>
        </w:rPr>
        <w:t xml:space="preserve">The </w:t>
      </w:r>
      <w:proofErr w:type="spellStart"/>
      <w:r w:rsidRPr="007504FA">
        <w:rPr>
          <w:rFonts w:asciiTheme="minorBidi" w:hAnsiTheme="minorBidi"/>
          <w:sz w:val="18"/>
          <w:szCs w:val="18"/>
        </w:rPr>
        <w:t>physico</w:t>
      </w:r>
      <w:proofErr w:type="spellEnd"/>
      <w:r w:rsidRPr="007504FA">
        <w:rPr>
          <w:rFonts w:asciiTheme="minorBidi" w:hAnsiTheme="minorBidi"/>
          <w:sz w:val="18"/>
          <w:szCs w:val="18"/>
        </w:rPr>
        <w:t xml:space="preserve">-chemical and bacteriological quality of drinking water plays a pivotal role in poultry production systems. Parameters such as pH, total dissolved solids (TDS), hardness, and microbial contamination, including pathogens like </w:t>
      </w:r>
      <w:r w:rsidRPr="007504FA">
        <w:rPr>
          <w:rFonts w:asciiTheme="minorBidi" w:hAnsiTheme="minorBidi"/>
          <w:i/>
          <w:iCs/>
          <w:sz w:val="18"/>
          <w:szCs w:val="18"/>
        </w:rPr>
        <w:t>E. coli</w:t>
      </w:r>
      <w:r w:rsidRPr="007504FA">
        <w:rPr>
          <w:rFonts w:asciiTheme="minorBidi" w:hAnsiTheme="minorBidi"/>
          <w:sz w:val="18"/>
          <w:szCs w:val="18"/>
        </w:rPr>
        <w:t xml:space="preserve"> and </w:t>
      </w:r>
      <w:proofErr w:type="spellStart"/>
      <w:r w:rsidRPr="007504FA">
        <w:rPr>
          <w:rFonts w:asciiTheme="minorBidi" w:hAnsiTheme="minorBidi"/>
          <w:i/>
          <w:iCs/>
          <w:sz w:val="18"/>
          <w:szCs w:val="18"/>
        </w:rPr>
        <w:t>Salomella</w:t>
      </w:r>
      <w:proofErr w:type="spellEnd"/>
      <w:r w:rsidRPr="007504FA">
        <w:rPr>
          <w:rFonts w:asciiTheme="minorBidi" w:hAnsiTheme="minorBidi"/>
          <w:sz w:val="18"/>
          <w:szCs w:val="18"/>
        </w:rPr>
        <w:t xml:space="preserve"> spp., must be carefully monitored and controlled, as they directly affect water palatability, safety, and its suitability for poultry consumption. Poor water quality can lead to reduced feed intake, impaired nutrient absorption, weakened immune responses, and increased mortality rates. Beyond its effect on individual bird health and growth performance, contaminated water also poses a broader threat to farm biosecurity. It serves as a vehicle for pathogen transmission within and between flocks and undermines the effectiveness of preventive measures such as vaccination and disinfection. Moreover, the persistence of microbial contaminants in the water system contributes to the emergence of antimicrobial resistance, further complicating disease management. As discussed, the use of biocides offers an effective method to control microbial loads and biofilm formation in drinking systems. Therefore, maintaining high water quality standards is a strategic necessity for ensuring productive, resilient, and </w:t>
      </w:r>
      <w:proofErr w:type="spellStart"/>
      <w:r w:rsidRPr="007504FA">
        <w:rPr>
          <w:rFonts w:asciiTheme="minorBidi" w:hAnsiTheme="minorBidi"/>
          <w:sz w:val="18"/>
          <w:szCs w:val="18"/>
        </w:rPr>
        <w:t>biosecure</w:t>
      </w:r>
      <w:proofErr w:type="spellEnd"/>
      <w:r w:rsidRPr="007504FA">
        <w:rPr>
          <w:rFonts w:asciiTheme="minorBidi" w:hAnsiTheme="minorBidi"/>
          <w:sz w:val="18"/>
          <w:szCs w:val="18"/>
        </w:rPr>
        <w:t xml:space="preserve"> poultry farming operations.</w:t>
      </w:r>
    </w:p>
    <w:p w14:paraId="587AF99D" w14:textId="1CDDE962" w:rsidR="00D149E4" w:rsidRPr="00D149E4" w:rsidRDefault="004C4A56" w:rsidP="00D149E4">
      <w:pPr>
        <w:spacing w:after="0" w:line="240" w:lineRule="auto"/>
        <w:jc w:val="both"/>
        <w:rPr>
          <w:rFonts w:ascii="Arial" w:eastAsia="Times New Roman" w:hAnsi="Arial" w:cs="Arial"/>
          <w:sz w:val="18"/>
          <w:szCs w:val="18"/>
          <w:lang w:bidi="bn-IN"/>
        </w:rPr>
      </w:pPr>
      <w:commentRangeStart w:id="9"/>
      <w:proofErr w:type="gramStart"/>
      <w:r>
        <w:rPr>
          <w:rFonts w:ascii="Arial" w:eastAsia="Times New Roman" w:hAnsi="Arial" w:cs="Arial"/>
          <w:sz w:val="18"/>
          <w:szCs w:val="18"/>
          <w:lang w:bidi="bn-IN"/>
        </w:rPr>
        <w:t>f</w:t>
      </w:r>
      <w:commentRangeEnd w:id="9"/>
      <w:proofErr w:type="gramEnd"/>
      <w:r w:rsidR="004E474E">
        <w:rPr>
          <w:rStyle w:val="CommentReference"/>
          <w:rFonts w:ascii="Calibri" w:eastAsia="MS Mincho" w:hAnsi="Calibri" w:cs="Arial"/>
          <w:rtl/>
          <w:lang w:val="en-NZ"/>
        </w:rPr>
        <w:commentReference w:id="9"/>
      </w:r>
    </w:p>
    <w:p w14:paraId="50BCBBD5" w14:textId="1029DF3F" w:rsidR="00843BDD" w:rsidRPr="006247BC" w:rsidRDefault="00D149E4" w:rsidP="006247BC">
      <w:pPr>
        <w:spacing w:line="240" w:lineRule="auto"/>
        <w:jc w:val="both"/>
        <w:rPr>
          <w:rFonts w:ascii="Arial" w:eastAsia="Times New Roman" w:hAnsi="Arial" w:cs="Arial"/>
          <w:b/>
          <w:caps/>
          <w:sz w:val="18"/>
          <w:szCs w:val="18"/>
        </w:rPr>
      </w:pPr>
      <w:r w:rsidRPr="00D149E4">
        <w:rPr>
          <w:rFonts w:ascii="Arial" w:eastAsia="Times New Roman" w:hAnsi="Arial" w:cs="Arial"/>
          <w:b/>
          <w:caps/>
          <w:sz w:val="18"/>
          <w:szCs w:val="18"/>
        </w:rPr>
        <w:t>References</w:t>
      </w:r>
      <w:r w:rsidR="00843BDD" w:rsidRPr="00843BDD">
        <w:rPr>
          <w:rFonts w:asciiTheme="minorBidi" w:eastAsia="Times New Roman" w:hAnsiTheme="minorBidi"/>
          <w:bCs/>
          <w:noProof/>
          <w:sz w:val="18"/>
          <w:szCs w:val="18"/>
        </w:rPr>
        <w:fldChar w:fldCharType="begin"/>
      </w:r>
      <w:r w:rsidR="00843BDD" w:rsidRPr="00843BDD">
        <w:rPr>
          <w:rFonts w:asciiTheme="minorBidi" w:eastAsia="Times New Roman" w:hAnsiTheme="minorBidi"/>
          <w:bCs/>
          <w:sz w:val="18"/>
          <w:szCs w:val="18"/>
        </w:rPr>
        <w:instrText xml:space="preserve"> ADDIN EN.REFLIST </w:instrText>
      </w:r>
      <w:r w:rsidR="00843BDD" w:rsidRPr="00843BDD">
        <w:rPr>
          <w:rFonts w:asciiTheme="minorBidi" w:eastAsia="Times New Roman" w:hAnsiTheme="minorBidi"/>
          <w:bCs/>
          <w:noProof/>
          <w:sz w:val="18"/>
          <w:szCs w:val="18"/>
        </w:rPr>
        <w:fldChar w:fldCharType="end"/>
      </w:r>
    </w:p>
    <w:p w14:paraId="737EC24D"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Abdou, K.H., A.R. Moselhy, W., Manal, M.M., and Ehdaa, O.H. (2018). Estimation of Some Heavy Metals Concentration in Layer Farms at El-Fayoum Governorate. </w:t>
      </w:r>
      <w:r w:rsidRPr="00843BDD">
        <w:rPr>
          <w:rFonts w:asciiTheme="minorBidi" w:hAnsiTheme="minorBidi" w:cstheme="minorBidi"/>
          <w:i/>
          <w:sz w:val="18"/>
          <w:szCs w:val="18"/>
        </w:rPr>
        <w:t>Journal of Veterinary Medical Research</w:t>
      </w:r>
      <w:r w:rsidRPr="00843BDD">
        <w:rPr>
          <w:rFonts w:asciiTheme="minorBidi" w:hAnsiTheme="minorBidi" w:cstheme="minorBidi"/>
          <w:sz w:val="18"/>
          <w:szCs w:val="18"/>
        </w:rPr>
        <w:t xml:space="preserve"> 25</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238-248.</w:t>
      </w:r>
    </w:p>
    <w:p w14:paraId="60F101B3"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Ahmed, A.S. (2013). Performance and immune response of broiler chicks as affected by different levels of total dissolved solids in drinking water under hot arid environments. </w:t>
      </w:r>
      <w:r w:rsidRPr="00843BDD">
        <w:rPr>
          <w:rFonts w:asciiTheme="minorBidi" w:hAnsiTheme="minorBidi" w:cstheme="minorBidi"/>
          <w:i/>
          <w:sz w:val="18"/>
          <w:szCs w:val="18"/>
        </w:rPr>
        <w:t>Animal Production Science</w:t>
      </w:r>
      <w:r w:rsidRPr="00843BDD">
        <w:rPr>
          <w:rFonts w:asciiTheme="minorBidi" w:hAnsiTheme="minorBidi" w:cstheme="minorBidi"/>
          <w:sz w:val="18"/>
          <w:szCs w:val="18"/>
        </w:rPr>
        <w:t xml:space="preserve"> 53</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322-327.</w:t>
      </w:r>
    </w:p>
    <w:p w14:paraId="18DB2871"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Al-Salhie, K., and Hussain, S. (2022). Effect of Water Quality and Vitamin C on the Growth Performance and Haematological Parameters of Broiler Chickens. </w:t>
      </w:r>
      <w:r w:rsidRPr="00843BDD">
        <w:rPr>
          <w:rFonts w:asciiTheme="minorBidi" w:hAnsiTheme="minorBidi" w:cstheme="minorBidi"/>
          <w:i/>
          <w:sz w:val="18"/>
          <w:szCs w:val="18"/>
        </w:rPr>
        <w:t>Basrah Journal of Agricultural Sciences</w:t>
      </w:r>
      <w:r w:rsidRPr="00843BDD">
        <w:rPr>
          <w:rFonts w:asciiTheme="minorBidi" w:hAnsiTheme="minorBidi" w:cstheme="minorBidi"/>
          <w:sz w:val="18"/>
          <w:szCs w:val="18"/>
        </w:rPr>
        <w:t xml:space="preserve"> 35</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248-258.</w:t>
      </w:r>
    </w:p>
    <w:p w14:paraId="2AAB268F"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Amaral, L.A. (2004). Drinking water as a risk factor to poultry health. </w:t>
      </w:r>
      <w:r w:rsidRPr="00843BDD">
        <w:rPr>
          <w:rFonts w:asciiTheme="minorBidi" w:hAnsiTheme="minorBidi" w:cstheme="minorBidi"/>
          <w:i/>
          <w:sz w:val="18"/>
          <w:szCs w:val="18"/>
        </w:rPr>
        <w:t>Brazilian Journal of Poultry Science - BRAZ J POULT SCI</w:t>
      </w:r>
      <w:r w:rsidRPr="00843BDD">
        <w:rPr>
          <w:rFonts w:asciiTheme="minorBidi" w:hAnsiTheme="minorBidi" w:cstheme="minorBidi"/>
          <w:sz w:val="18"/>
          <w:szCs w:val="18"/>
        </w:rPr>
        <w:t xml:space="preserve"> 6.</w:t>
      </w:r>
    </w:p>
    <w:p w14:paraId="02F2F593"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Augusto, E., Aleixo, J., Chilala, F.D., Chilundo, A.G., Gaspar, B., and Bila, C.G. (2022). Physical, chemical and microbiological assessments of drinking water of small-layer farms. </w:t>
      </w:r>
      <w:r w:rsidRPr="00843BDD">
        <w:rPr>
          <w:rFonts w:asciiTheme="minorBidi" w:hAnsiTheme="minorBidi" w:cstheme="minorBidi"/>
          <w:i/>
          <w:sz w:val="18"/>
          <w:szCs w:val="18"/>
        </w:rPr>
        <w:t>2022</w:t>
      </w:r>
      <w:r w:rsidRPr="00843BDD">
        <w:rPr>
          <w:rFonts w:asciiTheme="minorBidi" w:hAnsiTheme="minorBidi" w:cstheme="minorBidi"/>
          <w:sz w:val="18"/>
          <w:szCs w:val="18"/>
        </w:rPr>
        <w:t xml:space="preserve"> 89.</w:t>
      </w:r>
    </w:p>
    <w:p w14:paraId="3DC3AFAA"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Balogun, A., Akinseye, F., and Abgede, J.O. (2013). Water and feed consumption in broiler birds during a typical hot weather condition in Akure, Ondo State, Nigeria. </w:t>
      </w:r>
      <w:r w:rsidRPr="00843BDD">
        <w:rPr>
          <w:rFonts w:asciiTheme="minorBidi" w:hAnsiTheme="minorBidi" w:cstheme="minorBidi"/>
          <w:i/>
          <w:sz w:val="18"/>
          <w:szCs w:val="18"/>
        </w:rPr>
        <w:t>International Journal of Biological and Chemical Sciences</w:t>
      </w:r>
      <w:r w:rsidRPr="00843BDD">
        <w:rPr>
          <w:rFonts w:asciiTheme="minorBidi" w:hAnsiTheme="minorBidi" w:cstheme="minorBidi"/>
          <w:sz w:val="18"/>
          <w:szCs w:val="18"/>
        </w:rPr>
        <w:t xml:space="preserve"> 7</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1119-1125.</w:t>
      </w:r>
    </w:p>
    <w:p w14:paraId="2940B428" w14:textId="77777777" w:rsid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Bengoumi, D., Chahlaoui, A., Belghiti, L., Taha, I., Samih, M., and Moustaine, R.E. (2015). </w:t>
      </w:r>
      <w:r w:rsidRPr="00843BDD">
        <w:rPr>
          <w:rFonts w:asciiTheme="minorBidi" w:hAnsiTheme="minorBidi" w:cstheme="minorBidi"/>
          <w:sz w:val="18"/>
          <w:szCs w:val="18"/>
          <w:lang w:val="fr-FR"/>
        </w:rPr>
        <w:t xml:space="preserve">ETUDE DE LA QUALITE BACTERIOLOGIQUE DE L’EAU DE CERTAINS PUITS DANS LES ELEVAGES AVICOLE (MEKNES ET GHARB -MAROC). </w:t>
      </w:r>
      <w:r w:rsidRPr="00843BDD">
        <w:rPr>
          <w:rFonts w:asciiTheme="minorBidi" w:hAnsiTheme="minorBidi" w:cstheme="minorBidi"/>
          <w:i/>
          <w:sz w:val="18"/>
          <w:szCs w:val="18"/>
        </w:rPr>
        <w:t>LARHYSS Journal</w:t>
      </w:r>
      <w:r w:rsidRPr="00843BDD">
        <w:rPr>
          <w:rFonts w:asciiTheme="minorBidi" w:hAnsiTheme="minorBidi" w:cstheme="minorBidi"/>
          <w:sz w:val="18"/>
          <w:szCs w:val="18"/>
        </w:rPr>
        <w:t xml:space="preserve"> 12</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209-226.</w:t>
      </w:r>
    </w:p>
    <w:p w14:paraId="3141D85C" w14:textId="400209DA" w:rsidR="00843BDD" w:rsidRPr="00843BDD" w:rsidRDefault="00843BDD" w:rsidP="00843BDD">
      <w:pPr>
        <w:pStyle w:val="EndNoteBibliography"/>
        <w:spacing w:after="0"/>
        <w:ind w:left="720" w:hanging="720"/>
        <w:rPr>
          <w:rFonts w:asciiTheme="minorBidi" w:hAnsiTheme="minorBidi" w:cstheme="minorBidi"/>
          <w:sz w:val="18"/>
          <w:szCs w:val="18"/>
        </w:rPr>
      </w:pPr>
      <w:commentRangeStart w:id="10"/>
      <w:r w:rsidRPr="00843BDD">
        <w:rPr>
          <w:rFonts w:asciiTheme="minorBidi" w:hAnsiTheme="minorBidi" w:cstheme="minorBidi"/>
          <w:sz w:val="18"/>
          <w:szCs w:val="18"/>
        </w:rPr>
        <w:t>BGBl.</w:t>
      </w:r>
      <w:commentRangeEnd w:id="10"/>
      <w:r w:rsidR="004E474E">
        <w:rPr>
          <w:rStyle w:val="CommentReference"/>
          <w:rFonts w:eastAsia="MS Mincho" w:cs="Arial"/>
          <w:noProof w:val="0"/>
          <w:lang w:val="en-NZ"/>
        </w:rPr>
        <w:commentReference w:id="10"/>
      </w:r>
      <w:r w:rsidRPr="00843BDD">
        <w:rPr>
          <w:rFonts w:asciiTheme="minorBidi" w:hAnsiTheme="minorBidi" w:cstheme="minorBidi"/>
          <w:sz w:val="18"/>
          <w:szCs w:val="18"/>
        </w:rPr>
        <w:t xml:space="preserve"> II Nr. 100/2007. Gesamte Rechtsvorschrift für Geflügelhygieneverordnung; (2007). Available at: </w:t>
      </w:r>
      <w:hyperlink r:id="rId10" w:history="1">
        <w:r w:rsidRPr="00843BDD">
          <w:rPr>
            <w:rStyle w:val="Hyperlink"/>
            <w:rFonts w:asciiTheme="minorBidi" w:hAnsiTheme="minorBidi" w:cstheme="minorBidi"/>
            <w:sz w:val="18"/>
            <w:szCs w:val="18"/>
          </w:rPr>
          <w:t>https://www.ris.bka.gv.at/GeltendeFassung.wxe?Abfrage=Bundesnormen&amp;Gesetzesnummer=20005323</w:t>
        </w:r>
      </w:hyperlink>
      <w:r w:rsidRPr="00843BDD">
        <w:rPr>
          <w:rFonts w:asciiTheme="minorBidi" w:hAnsiTheme="minorBidi" w:cstheme="minorBidi"/>
          <w:sz w:val="18"/>
          <w:szCs w:val="18"/>
        </w:rPr>
        <w:t xml:space="preserve"> (Accessed May 01, 2025).</w:t>
      </w:r>
    </w:p>
    <w:p w14:paraId="4616163E"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Borges, S.A., Fischer Da Silva, A.V., Ariki, J., Hooge, D.M., and Cummings, K.R. (2003). Dietary electrolyte balance for broiler chickens exposed to thermoneutral or heat-stress environments. </w:t>
      </w:r>
      <w:r w:rsidRPr="00843BDD">
        <w:rPr>
          <w:rFonts w:asciiTheme="minorBidi" w:hAnsiTheme="minorBidi" w:cstheme="minorBidi"/>
          <w:i/>
          <w:sz w:val="18"/>
          <w:szCs w:val="18"/>
        </w:rPr>
        <w:t>Poult Sci</w:t>
      </w:r>
      <w:r w:rsidRPr="00843BDD">
        <w:rPr>
          <w:rFonts w:asciiTheme="minorBidi" w:hAnsiTheme="minorBidi" w:cstheme="minorBidi"/>
          <w:sz w:val="18"/>
          <w:szCs w:val="18"/>
        </w:rPr>
        <w:t xml:space="preserve"> 82</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428-435.</w:t>
      </w:r>
    </w:p>
    <w:p w14:paraId="586013AD"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Brian, D.F., and Casey, W.R. (2006). Poultry Drinking Water Primer. </w:t>
      </w:r>
      <w:r w:rsidRPr="00843BDD">
        <w:rPr>
          <w:rFonts w:asciiTheme="minorBidi" w:hAnsiTheme="minorBidi" w:cstheme="minorBidi"/>
          <w:i/>
          <w:sz w:val="18"/>
          <w:szCs w:val="18"/>
        </w:rPr>
        <w:t>Extension Poultry Scientists, The University of Georgia</w:t>
      </w:r>
      <w:r w:rsidRPr="00843BDD">
        <w:rPr>
          <w:rFonts w:asciiTheme="minorBidi" w:hAnsiTheme="minorBidi" w:cstheme="minorBidi"/>
          <w:sz w:val="18"/>
          <w:szCs w:val="18"/>
        </w:rPr>
        <w:t>.</w:t>
      </w:r>
    </w:p>
    <w:p w14:paraId="78DFB4CD"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lang w:val="fr-FR"/>
        </w:rPr>
        <w:t xml:space="preserve">Calente, T., Santos, G., and Nogueira, W. (2021). </w:t>
      </w:r>
      <w:r w:rsidRPr="00843BDD">
        <w:rPr>
          <w:rFonts w:asciiTheme="minorBidi" w:hAnsiTheme="minorBidi" w:cstheme="minorBidi"/>
          <w:sz w:val="18"/>
          <w:szCs w:val="18"/>
        </w:rPr>
        <w:t xml:space="preserve">Physical-chemical and microbiological quality of water used for public supply in the municipality of Alvorada D’Oeste, Rondônia, Brazil. </w:t>
      </w:r>
      <w:r w:rsidRPr="00843BDD">
        <w:rPr>
          <w:rFonts w:asciiTheme="minorBidi" w:hAnsiTheme="minorBidi" w:cstheme="minorBidi"/>
          <w:i/>
          <w:sz w:val="18"/>
          <w:szCs w:val="18"/>
        </w:rPr>
        <w:t>Research, Society and Development</w:t>
      </w:r>
      <w:r w:rsidRPr="00843BDD">
        <w:rPr>
          <w:rFonts w:asciiTheme="minorBidi" w:hAnsiTheme="minorBidi" w:cstheme="minorBidi"/>
          <w:sz w:val="18"/>
          <w:szCs w:val="18"/>
        </w:rPr>
        <w:t xml:space="preserve"> 10</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e198101119357.</w:t>
      </w:r>
    </w:p>
    <w:p w14:paraId="39281E53"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Di Martino, G., Piccirillo, A., Giacomelli, M., Comin, D., Gallina, A., Capello, K., Buniolo, F., Montesissa, C., and Bonfanti, L. (2018). Microbiological, chemical and physical quality of drinking water for commercial turkeys: a cross-sectional study. </w:t>
      </w:r>
      <w:r w:rsidRPr="00843BDD">
        <w:rPr>
          <w:rFonts w:asciiTheme="minorBidi" w:hAnsiTheme="minorBidi" w:cstheme="minorBidi"/>
          <w:i/>
          <w:sz w:val="18"/>
          <w:szCs w:val="18"/>
        </w:rPr>
        <w:t>Poultry Science</w:t>
      </w:r>
      <w:r w:rsidRPr="00843BDD">
        <w:rPr>
          <w:rFonts w:asciiTheme="minorBidi" w:hAnsiTheme="minorBidi" w:cstheme="minorBidi"/>
          <w:sz w:val="18"/>
          <w:szCs w:val="18"/>
        </w:rPr>
        <w:t xml:space="preserve"> 97</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2880-2886.</w:t>
      </w:r>
    </w:p>
    <w:p w14:paraId="532027C0" w14:textId="77777777" w:rsidR="00843BDD" w:rsidRPr="00843BDD" w:rsidRDefault="00843BDD" w:rsidP="00843BDD">
      <w:pPr>
        <w:pStyle w:val="EndNoteBibliography"/>
        <w:spacing w:after="0"/>
        <w:ind w:left="720" w:hanging="720"/>
        <w:rPr>
          <w:rFonts w:asciiTheme="minorBidi" w:hAnsiTheme="minorBidi" w:cstheme="minorBidi"/>
          <w:sz w:val="18"/>
          <w:szCs w:val="18"/>
          <w:lang w:val="fr-FR"/>
        </w:rPr>
      </w:pPr>
      <w:r w:rsidRPr="00843BDD">
        <w:rPr>
          <w:rFonts w:asciiTheme="minorBidi" w:hAnsiTheme="minorBidi" w:cstheme="minorBidi"/>
          <w:sz w:val="18"/>
          <w:szCs w:val="18"/>
        </w:rPr>
        <w:t xml:space="preserve">Doyle, M., and Erickson, M. (2006). Closing the Door on the Fecal Coliform Assay. </w:t>
      </w:r>
      <w:r w:rsidRPr="00843BDD">
        <w:rPr>
          <w:rFonts w:asciiTheme="minorBidi" w:hAnsiTheme="minorBidi" w:cstheme="minorBidi"/>
          <w:i/>
          <w:sz w:val="18"/>
          <w:szCs w:val="18"/>
          <w:lang w:val="fr-FR"/>
        </w:rPr>
        <w:t>Microbe</w:t>
      </w:r>
      <w:r w:rsidRPr="00843BDD">
        <w:rPr>
          <w:rFonts w:asciiTheme="minorBidi" w:hAnsiTheme="minorBidi" w:cstheme="minorBidi"/>
          <w:sz w:val="18"/>
          <w:szCs w:val="18"/>
          <w:lang w:val="fr-FR"/>
        </w:rPr>
        <w:t xml:space="preserve"> 1</w:t>
      </w:r>
      <w:r w:rsidRPr="00843BDD">
        <w:rPr>
          <w:rFonts w:asciiTheme="minorBidi" w:hAnsiTheme="minorBidi" w:cstheme="minorBidi"/>
          <w:b/>
          <w:sz w:val="18"/>
          <w:szCs w:val="18"/>
          <w:lang w:val="fr-FR"/>
        </w:rPr>
        <w:t>,</w:t>
      </w:r>
      <w:r w:rsidRPr="00843BDD">
        <w:rPr>
          <w:rFonts w:asciiTheme="minorBidi" w:hAnsiTheme="minorBidi" w:cstheme="minorBidi"/>
          <w:sz w:val="18"/>
          <w:szCs w:val="18"/>
          <w:lang w:val="fr-FR"/>
        </w:rPr>
        <w:t xml:space="preserve"> 162-163.</w:t>
      </w:r>
    </w:p>
    <w:p w14:paraId="13A1C32D" w14:textId="77777777" w:rsidR="00843BDD" w:rsidRPr="00843BDD" w:rsidRDefault="00843BDD" w:rsidP="00843BDD">
      <w:pPr>
        <w:pStyle w:val="EndNoteBibliography"/>
        <w:spacing w:after="0"/>
        <w:ind w:left="720" w:hanging="720"/>
        <w:rPr>
          <w:rFonts w:asciiTheme="minorBidi" w:hAnsiTheme="minorBidi" w:cstheme="minorBidi"/>
          <w:sz w:val="18"/>
          <w:szCs w:val="18"/>
          <w:lang w:val="fr-FR"/>
        </w:rPr>
      </w:pPr>
      <w:r w:rsidRPr="00843BDD">
        <w:rPr>
          <w:rFonts w:asciiTheme="minorBidi" w:hAnsiTheme="minorBidi" w:cstheme="minorBidi"/>
          <w:sz w:val="18"/>
          <w:szCs w:val="18"/>
        </w:rPr>
        <w:t xml:space="preserve">El Allaoui, A., Rhazi Filali, F., and Derouich, A. (2016). </w:t>
      </w:r>
      <w:r w:rsidRPr="00843BDD">
        <w:rPr>
          <w:rFonts w:asciiTheme="minorBidi" w:hAnsiTheme="minorBidi" w:cstheme="minorBidi"/>
          <w:sz w:val="18"/>
          <w:szCs w:val="18"/>
          <w:lang w:val="fr-FR"/>
        </w:rPr>
        <w:t xml:space="preserve">Qualité des eaux en élevage de dinde à Khémisset (Maroc) et hypothèses sur les facteurs de risques: -EN- Water quality in turkey farms in Khemisset (Morocco) and potential risk factors -FR- -ES- Calidad del agua en explotaciones de cría de pavos de Khemisset (Marruecos) e hipótesis sobre los factores de riesgo. </w:t>
      </w:r>
      <w:r w:rsidRPr="00843BDD">
        <w:rPr>
          <w:rFonts w:asciiTheme="minorBidi" w:hAnsiTheme="minorBidi" w:cstheme="minorBidi"/>
          <w:i/>
          <w:sz w:val="18"/>
          <w:szCs w:val="18"/>
          <w:lang w:val="fr-FR"/>
        </w:rPr>
        <w:t>Revue Scientifique et Technique de l'OIE</w:t>
      </w:r>
      <w:r w:rsidRPr="00843BDD">
        <w:rPr>
          <w:rFonts w:asciiTheme="minorBidi" w:hAnsiTheme="minorBidi" w:cstheme="minorBidi"/>
          <w:sz w:val="18"/>
          <w:szCs w:val="18"/>
          <w:lang w:val="fr-FR"/>
        </w:rPr>
        <w:t xml:space="preserve"> 35</w:t>
      </w:r>
      <w:r w:rsidRPr="00843BDD">
        <w:rPr>
          <w:rFonts w:asciiTheme="minorBidi" w:hAnsiTheme="minorBidi" w:cstheme="minorBidi"/>
          <w:b/>
          <w:sz w:val="18"/>
          <w:szCs w:val="18"/>
          <w:lang w:val="fr-FR"/>
        </w:rPr>
        <w:t>,</w:t>
      </w:r>
      <w:r w:rsidRPr="00843BDD">
        <w:rPr>
          <w:rFonts w:asciiTheme="minorBidi" w:hAnsiTheme="minorBidi" w:cstheme="minorBidi"/>
          <w:sz w:val="18"/>
          <w:szCs w:val="18"/>
          <w:lang w:val="fr-FR"/>
        </w:rPr>
        <w:t xml:space="preserve"> 947-964.</w:t>
      </w:r>
    </w:p>
    <w:p w14:paraId="3FC94155"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Fairbrother, A., Judit, S., and And Grasman, K.A. (2004). AVIAN IMMUNOTOXICOLOGY. </w:t>
      </w:r>
      <w:r w:rsidRPr="00843BDD">
        <w:rPr>
          <w:rFonts w:asciiTheme="minorBidi" w:hAnsiTheme="minorBidi" w:cstheme="minorBidi"/>
          <w:i/>
          <w:sz w:val="18"/>
          <w:szCs w:val="18"/>
        </w:rPr>
        <w:t>Journal of Toxicology and Environmental Health, Part B</w:t>
      </w:r>
      <w:r w:rsidRPr="00843BDD">
        <w:rPr>
          <w:rFonts w:asciiTheme="minorBidi" w:hAnsiTheme="minorBidi" w:cstheme="minorBidi"/>
          <w:sz w:val="18"/>
          <w:szCs w:val="18"/>
        </w:rPr>
        <w:t xml:space="preserve"> 7</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105-137.</w:t>
      </w:r>
    </w:p>
    <w:p w14:paraId="26DC2542"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Haddad, B.R., and Masoud, L. (2024). Physicochemical and Microbiological Quality of Poultry Drinking Water in Karak Governorate, Jordan. </w:t>
      </w:r>
      <w:r w:rsidRPr="00843BDD">
        <w:rPr>
          <w:rFonts w:asciiTheme="minorBidi" w:hAnsiTheme="minorBidi" w:cstheme="minorBidi"/>
          <w:i/>
          <w:sz w:val="18"/>
          <w:szCs w:val="18"/>
        </w:rPr>
        <w:t>Egyptian Journal of Veterinary Sciences</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1-8.</w:t>
      </w:r>
    </w:p>
    <w:p w14:paraId="668E2479"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Harris, G.C., Nelson, G.S., Seay, R.L., and Dodgen, W.H. (1975). Effects of Drinking Water Temperature on Broiler Performance1. </w:t>
      </w:r>
      <w:r w:rsidRPr="00843BDD">
        <w:rPr>
          <w:rFonts w:asciiTheme="minorBidi" w:hAnsiTheme="minorBidi" w:cstheme="minorBidi"/>
          <w:i/>
          <w:sz w:val="18"/>
          <w:szCs w:val="18"/>
        </w:rPr>
        <w:t>Poultry Science</w:t>
      </w:r>
      <w:r w:rsidRPr="00843BDD">
        <w:rPr>
          <w:rFonts w:asciiTheme="minorBidi" w:hAnsiTheme="minorBidi" w:cstheme="minorBidi"/>
          <w:sz w:val="18"/>
          <w:szCs w:val="18"/>
        </w:rPr>
        <w:t xml:space="preserve"> 54</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775-779.</w:t>
      </w:r>
    </w:p>
    <w:p w14:paraId="761A2B71"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Kasianenko, O., and Nesterenko, O. (2023). STUDY OF THE EFFICIENCY OF USING THE EXPERIMENTAL BIOCIDE SANDEZ FOR THE SANITATION OF THE POULTRY WATER SUPPLY SYSTEM. </w:t>
      </w:r>
      <w:r w:rsidRPr="00843BDD">
        <w:rPr>
          <w:rFonts w:asciiTheme="minorBidi" w:hAnsiTheme="minorBidi" w:cstheme="minorBidi"/>
          <w:i/>
          <w:sz w:val="18"/>
          <w:szCs w:val="18"/>
        </w:rPr>
        <w:t>Scientific and Technical Bulletin оf State Scientific Research Control Institute of Veterinary Medical Products and Fodder Additives аnd Institute of Animal Biology</w:t>
      </w:r>
      <w:r w:rsidRPr="00843BDD">
        <w:rPr>
          <w:rFonts w:asciiTheme="minorBidi" w:hAnsiTheme="minorBidi" w:cstheme="minorBidi"/>
          <w:sz w:val="18"/>
          <w:szCs w:val="18"/>
        </w:rPr>
        <w:t xml:space="preserve"> 24.</w:t>
      </w:r>
    </w:p>
    <w:p w14:paraId="6501870F"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Kassem Agha, A., Belgasim, A., Nwegi, M., Khashkhosha, A., Milad, H., Alghzewi, H., Salem, K., and Naffati, K. (2022). Evaluation of bacteriological and chemical quality of drinking water used in chicken house in Libya. </w:t>
      </w:r>
      <w:r w:rsidRPr="00843BDD">
        <w:rPr>
          <w:rFonts w:asciiTheme="minorBidi" w:hAnsiTheme="minorBidi" w:cstheme="minorBidi"/>
          <w:i/>
          <w:sz w:val="18"/>
          <w:szCs w:val="18"/>
        </w:rPr>
        <w:t>World Journal of Advanced Research and Reviews</w:t>
      </w:r>
      <w:r w:rsidRPr="00843BDD">
        <w:rPr>
          <w:rFonts w:asciiTheme="minorBidi" w:hAnsiTheme="minorBidi" w:cstheme="minorBidi"/>
          <w:sz w:val="18"/>
          <w:szCs w:val="18"/>
        </w:rPr>
        <w:t xml:space="preserve"> 13</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413-420.</w:t>
      </w:r>
    </w:p>
    <w:p w14:paraId="06A731C7"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Kaya, M., and Dereli Fidan, E. (2023). The Effect of Drinking Water Temperature and Stocking Density on Broiler Performance, Meat Quality and Some Behavioral Traits at High Ambient Temperature. </w:t>
      </w:r>
      <w:r w:rsidRPr="00843BDD">
        <w:rPr>
          <w:rFonts w:asciiTheme="minorBidi" w:hAnsiTheme="minorBidi" w:cstheme="minorBidi"/>
          <w:i/>
          <w:sz w:val="18"/>
          <w:szCs w:val="18"/>
        </w:rPr>
        <w:t>Journal of the Hellenic Veterinary Medical Society</w:t>
      </w:r>
      <w:r w:rsidRPr="00843BDD">
        <w:rPr>
          <w:rFonts w:asciiTheme="minorBidi" w:hAnsiTheme="minorBidi" w:cstheme="minorBidi"/>
          <w:sz w:val="18"/>
          <w:szCs w:val="18"/>
        </w:rPr>
        <w:t xml:space="preserve"> 74</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5315-5324.</w:t>
      </w:r>
    </w:p>
    <w:p w14:paraId="572D6546"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King, A.J. (1996). Water quality and poultry production. </w:t>
      </w:r>
      <w:r w:rsidRPr="00843BDD">
        <w:rPr>
          <w:rFonts w:asciiTheme="minorBidi" w:hAnsiTheme="minorBidi" w:cstheme="minorBidi"/>
          <w:i/>
          <w:sz w:val="18"/>
          <w:szCs w:val="18"/>
        </w:rPr>
        <w:t>Poult Sci</w:t>
      </w:r>
      <w:r w:rsidRPr="00843BDD">
        <w:rPr>
          <w:rFonts w:asciiTheme="minorBidi" w:hAnsiTheme="minorBidi" w:cstheme="minorBidi"/>
          <w:sz w:val="18"/>
          <w:szCs w:val="18"/>
        </w:rPr>
        <w:t xml:space="preserve"> 75</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852-853.</w:t>
      </w:r>
    </w:p>
    <w:p w14:paraId="0393214C"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Li, R.A., Mcdonald, J.A., Sathasivan, A., and Khan, S.J. (2019). Disinfectant residual stability leading to disinfectant decay and by-product formation in drinking water distribution systems: A systematic review. </w:t>
      </w:r>
      <w:r w:rsidRPr="00843BDD">
        <w:rPr>
          <w:rFonts w:asciiTheme="minorBidi" w:hAnsiTheme="minorBidi" w:cstheme="minorBidi"/>
          <w:i/>
          <w:sz w:val="18"/>
          <w:szCs w:val="18"/>
        </w:rPr>
        <w:t>Water Research</w:t>
      </w:r>
      <w:r w:rsidRPr="00843BDD">
        <w:rPr>
          <w:rFonts w:asciiTheme="minorBidi" w:hAnsiTheme="minorBidi" w:cstheme="minorBidi"/>
          <w:sz w:val="18"/>
          <w:szCs w:val="18"/>
        </w:rPr>
        <w:t xml:space="preserve"> 153</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335-348.</w:t>
      </w:r>
    </w:p>
    <w:p w14:paraId="3E71258B"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Maes, S., Vackier, T., Nguyen Huu, S., Heyndrickx, M., Steenackers, H., Sampers, I., Raes, K., Verplaetse, A., and De Reu, K. (2019). Occurrence and characterisation of biofilms in drinking water systems of broiler houses. </w:t>
      </w:r>
      <w:r w:rsidRPr="00843BDD">
        <w:rPr>
          <w:rFonts w:asciiTheme="minorBidi" w:hAnsiTheme="minorBidi" w:cstheme="minorBidi"/>
          <w:i/>
          <w:sz w:val="18"/>
          <w:szCs w:val="18"/>
        </w:rPr>
        <w:t>BMC Microbiology</w:t>
      </w:r>
      <w:r w:rsidRPr="00843BDD">
        <w:rPr>
          <w:rFonts w:asciiTheme="minorBidi" w:hAnsiTheme="minorBidi" w:cstheme="minorBidi"/>
          <w:sz w:val="18"/>
          <w:szCs w:val="18"/>
        </w:rPr>
        <w:t xml:space="preserve"> 19</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77.</w:t>
      </w:r>
    </w:p>
    <w:p w14:paraId="15BA2389"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Melo, R.T., Mendonca, E.P., Monteiro, G.P., Rossi, D.A., Rossi, D.A., and Melo, R.T. (2017). "Biofilms of Salmonella and Campylobacter in the Poultry Industry," in </w:t>
      </w:r>
      <w:r w:rsidRPr="00843BDD">
        <w:rPr>
          <w:rFonts w:asciiTheme="minorBidi" w:hAnsiTheme="minorBidi" w:cstheme="minorBidi"/>
          <w:i/>
          <w:sz w:val="18"/>
          <w:szCs w:val="18"/>
        </w:rPr>
        <w:t>Poultry Science,</w:t>
      </w:r>
      <w:r w:rsidRPr="00843BDD">
        <w:rPr>
          <w:rFonts w:asciiTheme="minorBidi" w:hAnsiTheme="minorBidi" w:cstheme="minorBidi"/>
          <w:sz w:val="18"/>
          <w:szCs w:val="18"/>
        </w:rPr>
        <w:t xml:space="preserve"> ed. M. Manafi.</w:t>
      </w:r>
      <w:r w:rsidRPr="00843BDD">
        <w:rPr>
          <w:rFonts w:asciiTheme="minorBidi" w:hAnsiTheme="minorBidi" w:cstheme="minorBidi"/>
          <w:i/>
          <w:sz w:val="18"/>
          <w:szCs w:val="18"/>
        </w:rPr>
        <w:t xml:space="preserve"> </w:t>
      </w:r>
      <w:r w:rsidRPr="00843BDD">
        <w:rPr>
          <w:rFonts w:asciiTheme="minorBidi" w:hAnsiTheme="minorBidi" w:cstheme="minorBidi"/>
          <w:sz w:val="18"/>
          <w:szCs w:val="18"/>
        </w:rPr>
        <w:t xml:space="preserve"> (Rijeka: IntechOpen).</w:t>
      </w:r>
    </w:p>
    <w:p w14:paraId="20F1F0AD"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Mohammed, A.N. (2019). Resistance of bacterial pathogens to calcium hypochlorite disinfectant and evaluation of the usability of treated filter paper impregnated with nanosilver composite for drinking water purification. </w:t>
      </w:r>
      <w:r w:rsidRPr="00843BDD">
        <w:rPr>
          <w:rFonts w:asciiTheme="minorBidi" w:hAnsiTheme="minorBidi" w:cstheme="minorBidi"/>
          <w:i/>
          <w:sz w:val="18"/>
          <w:szCs w:val="18"/>
        </w:rPr>
        <w:t>Journal of Global Antimicrobial Resistance</w:t>
      </w:r>
      <w:r w:rsidRPr="00843BDD">
        <w:rPr>
          <w:rFonts w:asciiTheme="minorBidi" w:hAnsiTheme="minorBidi" w:cstheme="minorBidi"/>
          <w:sz w:val="18"/>
          <w:szCs w:val="18"/>
        </w:rPr>
        <w:t xml:space="preserve"> 16</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28-35.</w:t>
      </w:r>
    </w:p>
    <w:p w14:paraId="7CAACF45"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Murtough, S.M., Hiom, S.J., Palmer, M., and Russell, A.D. (2001). Biocide rotation in the healthcare setting: is there a case for policy implementation? </w:t>
      </w:r>
      <w:r w:rsidRPr="00843BDD">
        <w:rPr>
          <w:rFonts w:asciiTheme="minorBidi" w:hAnsiTheme="minorBidi" w:cstheme="minorBidi"/>
          <w:i/>
          <w:sz w:val="18"/>
          <w:szCs w:val="18"/>
        </w:rPr>
        <w:t>Journal of Hospital Infection</w:t>
      </w:r>
      <w:r w:rsidRPr="00843BDD">
        <w:rPr>
          <w:rFonts w:asciiTheme="minorBidi" w:hAnsiTheme="minorBidi" w:cstheme="minorBidi"/>
          <w:sz w:val="18"/>
          <w:szCs w:val="18"/>
        </w:rPr>
        <w:t xml:space="preserve"> 48</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1-6.</w:t>
      </w:r>
    </w:p>
    <w:p w14:paraId="3FDE93A3"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Mushtaq, T., Mirza, M.A., Athar, M., Hooge, D.M., Ahmad, T., Ahmad, G., Mushtaq, M.M.H., and Noreen, U. (2007). Dietary Sodium and Chloride for Twenty-Nine-to Forty-Two-Day-Old Broiler Chickens at Constant Electrolyte Balance Under Subtropical Summer Conditions. </w:t>
      </w:r>
      <w:r w:rsidRPr="00843BDD">
        <w:rPr>
          <w:rFonts w:asciiTheme="minorBidi" w:hAnsiTheme="minorBidi" w:cstheme="minorBidi"/>
          <w:i/>
          <w:sz w:val="18"/>
          <w:szCs w:val="18"/>
        </w:rPr>
        <w:t>Journal of Applied Poultry Research</w:t>
      </w:r>
      <w:r w:rsidRPr="00843BDD">
        <w:rPr>
          <w:rFonts w:asciiTheme="minorBidi" w:hAnsiTheme="minorBidi" w:cstheme="minorBidi"/>
          <w:sz w:val="18"/>
          <w:szCs w:val="18"/>
        </w:rPr>
        <w:t xml:space="preserve"> 16</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161-170.</w:t>
      </w:r>
    </w:p>
    <w:p w14:paraId="58D29A92"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Mustedanagic, A., Matt, M., Weyermair, K., Schrattenecker, A., Kubitza, I., Firth, C.L., Loncaric, I., Wagner, M., and Stessl, B. (2023). Assessment of microbial quality in poultry drinking water on farms in Austria. </w:t>
      </w:r>
      <w:r w:rsidRPr="00843BDD">
        <w:rPr>
          <w:rFonts w:asciiTheme="minorBidi" w:hAnsiTheme="minorBidi" w:cstheme="minorBidi"/>
          <w:i/>
          <w:sz w:val="18"/>
          <w:szCs w:val="18"/>
        </w:rPr>
        <w:t>Frontiers in Veterinary Science</w:t>
      </w:r>
      <w:r w:rsidRPr="00843BDD">
        <w:rPr>
          <w:rFonts w:asciiTheme="minorBidi" w:hAnsiTheme="minorBidi" w:cstheme="minorBidi"/>
          <w:sz w:val="18"/>
          <w:szCs w:val="18"/>
        </w:rPr>
        <w:t xml:space="preserve"> Volume 10 - 2023.</w:t>
      </w:r>
    </w:p>
    <w:p w14:paraId="2280C262"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Piccirillo, A., Tolosi, R., Mughini-Gras, L., Kers, J.G., and Laconi, A. (2024). Drinking Water and Biofilm as Sources of Antimicrobial Resistance in Free-Range Organic Broiler Farms. </w:t>
      </w:r>
      <w:r w:rsidRPr="00843BDD">
        <w:rPr>
          <w:rFonts w:asciiTheme="minorBidi" w:hAnsiTheme="minorBidi" w:cstheme="minorBidi"/>
          <w:i/>
          <w:sz w:val="18"/>
          <w:szCs w:val="18"/>
        </w:rPr>
        <w:t>Antibiotics</w:t>
      </w:r>
      <w:r w:rsidRPr="00843BDD">
        <w:rPr>
          <w:rFonts w:asciiTheme="minorBidi" w:hAnsiTheme="minorBidi" w:cstheme="minorBidi"/>
          <w:sz w:val="18"/>
          <w:szCs w:val="18"/>
        </w:rPr>
        <w:t xml:space="preserve"> 13</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808.</w:t>
      </w:r>
    </w:p>
    <w:p w14:paraId="40AE004B"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lang w:val="fr-FR"/>
        </w:rPr>
        <w:t xml:space="preserve">Pourreza, J., Nasrollahi, H., Samie, A., Mohammadalipour, M., and Assadian, A. (2000). </w:t>
      </w:r>
      <w:r w:rsidRPr="00843BDD">
        <w:rPr>
          <w:rFonts w:asciiTheme="minorBidi" w:hAnsiTheme="minorBidi" w:cstheme="minorBidi"/>
          <w:sz w:val="18"/>
          <w:szCs w:val="18"/>
        </w:rPr>
        <w:t xml:space="preserve">The effects of total dissolved solids (TDS) on performance of broiler chickens. </w:t>
      </w:r>
      <w:r w:rsidRPr="00843BDD">
        <w:rPr>
          <w:rFonts w:asciiTheme="minorBidi" w:hAnsiTheme="minorBidi" w:cstheme="minorBidi"/>
          <w:i/>
          <w:sz w:val="18"/>
          <w:szCs w:val="18"/>
        </w:rPr>
        <w:t>Journal of Science and Technology of Agriculture and Natural Resources</w:t>
      </w:r>
      <w:r w:rsidRPr="00843BDD">
        <w:rPr>
          <w:rFonts w:asciiTheme="minorBidi" w:hAnsiTheme="minorBidi" w:cstheme="minorBidi"/>
          <w:sz w:val="18"/>
          <w:szCs w:val="18"/>
        </w:rPr>
        <w:t xml:space="preserve"> 3</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71–82.</w:t>
      </w:r>
    </w:p>
    <w:p w14:paraId="6E4E1D27"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Raut, R., Kilonzo-Nthenge, A., Aniume, T., Basnet, A., Watkins, S., and Maharjan, P. (2024). Impacts of on-farm water sanitation practices on microbial hygiene in poultry waterlines and efficacy of sodium hypochlorite-based product on foodborne pathogens. </w:t>
      </w:r>
      <w:r w:rsidRPr="00843BDD">
        <w:rPr>
          <w:rFonts w:asciiTheme="minorBidi" w:hAnsiTheme="minorBidi" w:cstheme="minorBidi"/>
          <w:i/>
          <w:sz w:val="18"/>
          <w:szCs w:val="18"/>
        </w:rPr>
        <w:t>Journal of Applied Poultry Research</w:t>
      </w:r>
      <w:r w:rsidRPr="00843BDD">
        <w:rPr>
          <w:rFonts w:asciiTheme="minorBidi" w:hAnsiTheme="minorBidi" w:cstheme="minorBidi"/>
          <w:sz w:val="18"/>
          <w:szCs w:val="18"/>
        </w:rPr>
        <w:t xml:space="preserve"> 33</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100425.</w:t>
      </w:r>
    </w:p>
    <w:p w14:paraId="45C14E30"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Saidani, M., Messadi, L., Chaouechi, A., Tabib, I., Saras, E., Soudani, A., Daaloul-Jedidi, M., Mamlouk, A., Ben Chehida, F., Chakroun, C., Madec, J.Y., and Haenni, M. (2019). High Genetic Diversity of Enterobacteriaceae Clones and Plasmids Disseminating Resistance to Extended-Spectrum Cephalosporins and Colistin in Healthy Chicken in Tunisia. </w:t>
      </w:r>
      <w:r w:rsidRPr="00843BDD">
        <w:rPr>
          <w:rFonts w:asciiTheme="minorBidi" w:hAnsiTheme="minorBidi" w:cstheme="minorBidi"/>
          <w:i/>
          <w:sz w:val="18"/>
          <w:szCs w:val="18"/>
        </w:rPr>
        <w:t>Microb Drug Resist</w:t>
      </w:r>
      <w:r w:rsidRPr="00843BDD">
        <w:rPr>
          <w:rFonts w:asciiTheme="minorBidi" w:hAnsiTheme="minorBidi" w:cstheme="minorBidi"/>
          <w:sz w:val="18"/>
          <w:szCs w:val="18"/>
        </w:rPr>
        <w:t xml:space="preserve"> 25</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1507-1513.</w:t>
      </w:r>
    </w:p>
    <w:p w14:paraId="23E16C5E"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Saleh, N., Ayoub, M., Nossair, M., Alqhtani, A., Swelum, A., Khojah, H., Gamal, M., Imam, M., Khafaga, A., Arif, M., Abd El-Hack, M., Saleh, N., and El-Hack, A. (2023). Influence of water quality and pollution on broiler's performance, vaccine and antibiotic efficiencies. </w:t>
      </w:r>
      <w:r w:rsidRPr="00843BDD">
        <w:rPr>
          <w:rFonts w:asciiTheme="minorBidi" w:hAnsiTheme="minorBidi" w:cstheme="minorBidi"/>
          <w:i/>
          <w:sz w:val="18"/>
          <w:szCs w:val="18"/>
        </w:rPr>
        <w:t>Annals of Animal Science</w:t>
      </w:r>
      <w:r w:rsidRPr="00843BDD">
        <w:rPr>
          <w:rFonts w:asciiTheme="minorBidi" w:hAnsiTheme="minorBidi" w:cstheme="minorBidi"/>
          <w:sz w:val="18"/>
          <w:szCs w:val="18"/>
        </w:rPr>
        <w:t>.</w:t>
      </w:r>
    </w:p>
    <w:p w14:paraId="1A071F54"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Scott, A.B., Singh, M., Groves, P., Hernandez-Jover, M., Barnes, B., Glass, K., Moloney, B., Black, A., and Toribio, J.A. (2018). Biosecurity practices on Australian commercial layer and meat chicken farms: Performance and perceptions of farmers. </w:t>
      </w:r>
      <w:r w:rsidRPr="00843BDD">
        <w:rPr>
          <w:rFonts w:asciiTheme="minorBidi" w:hAnsiTheme="minorBidi" w:cstheme="minorBidi"/>
          <w:i/>
          <w:sz w:val="18"/>
          <w:szCs w:val="18"/>
        </w:rPr>
        <w:t>PLoS One</w:t>
      </w:r>
      <w:r w:rsidRPr="00843BDD">
        <w:rPr>
          <w:rFonts w:asciiTheme="minorBidi" w:hAnsiTheme="minorBidi" w:cstheme="minorBidi"/>
          <w:sz w:val="18"/>
          <w:szCs w:val="18"/>
        </w:rPr>
        <w:t xml:space="preserve"> 13</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e0195582.</w:t>
      </w:r>
    </w:p>
    <w:p w14:paraId="1E499071"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Spinu, M., A., D.A., and And Rosenstrauch, A. (1993). Effect of warm drinking water on the performance and immunological responses of broiler breeder hens raised at low air temperatures. </w:t>
      </w:r>
      <w:r w:rsidRPr="00843BDD">
        <w:rPr>
          <w:rFonts w:asciiTheme="minorBidi" w:hAnsiTheme="minorBidi" w:cstheme="minorBidi"/>
          <w:i/>
          <w:sz w:val="18"/>
          <w:szCs w:val="18"/>
        </w:rPr>
        <w:t>British Poultry Science</w:t>
      </w:r>
      <w:r w:rsidRPr="00843BDD">
        <w:rPr>
          <w:rFonts w:asciiTheme="minorBidi" w:hAnsiTheme="minorBidi" w:cstheme="minorBidi"/>
          <w:sz w:val="18"/>
          <w:szCs w:val="18"/>
        </w:rPr>
        <w:t xml:space="preserve"> 34</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361-366.</w:t>
      </w:r>
    </w:p>
    <w:p w14:paraId="0736F800"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Valias, A., and Silva, E.N. (2001). Estudo Comparativo de Sistemas de Bebedouros na Qualidade Microbiológica da Água Consumida por Frangos de Corte. </w:t>
      </w:r>
      <w:r w:rsidRPr="00843BDD">
        <w:rPr>
          <w:rFonts w:asciiTheme="minorBidi" w:hAnsiTheme="minorBidi" w:cstheme="minorBidi"/>
          <w:i/>
          <w:sz w:val="18"/>
          <w:szCs w:val="18"/>
        </w:rPr>
        <w:t>Revista Brasileira de Ciência Avícola</w:t>
      </w:r>
      <w:r w:rsidRPr="00843BDD">
        <w:rPr>
          <w:rFonts w:asciiTheme="minorBidi" w:hAnsiTheme="minorBidi" w:cstheme="minorBidi"/>
          <w:sz w:val="18"/>
          <w:szCs w:val="18"/>
        </w:rPr>
        <w:t xml:space="preserve"> 3.</w:t>
      </w:r>
    </w:p>
    <w:p w14:paraId="62D4CD46" w14:textId="77777777" w:rsidR="00843BDD" w:rsidRPr="00843BDD" w:rsidRDefault="00843BDD" w:rsidP="00843BDD">
      <w:pPr>
        <w:pStyle w:val="EndNoteBibliography"/>
        <w:spacing w:after="0"/>
        <w:ind w:left="720" w:hanging="720"/>
        <w:rPr>
          <w:rFonts w:asciiTheme="minorBidi" w:hAnsiTheme="minorBidi" w:cstheme="minorBidi"/>
          <w:sz w:val="18"/>
          <w:szCs w:val="18"/>
        </w:rPr>
      </w:pPr>
      <w:r w:rsidRPr="00843BDD">
        <w:rPr>
          <w:rFonts w:asciiTheme="minorBidi" w:hAnsiTheme="minorBidi" w:cstheme="minorBidi"/>
          <w:sz w:val="18"/>
          <w:szCs w:val="18"/>
        </w:rPr>
        <w:t xml:space="preserve">Wlaźlak, S., Pietrzak, E., Biesek, J., and Dunislawska, A. (2023). Modulation of the immune system of chickens a key factor in maintaining poultry production-a review. </w:t>
      </w:r>
      <w:r w:rsidRPr="00843BDD">
        <w:rPr>
          <w:rFonts w:asciiTheme="minorBidi" w:hAnsiTheme="minorBidi" w:cstheme="minorBidi"/>
          <w:i/>
          <w:sz w:val="18"/>
          <w:szCs w:val="18"/>
        </w:rPr>
        <w:t>Poult Sci</w:t>
      </w:r>
      <w:r w:rsidRPr="00843BDD">
        <w:rPr>
          <w:rFonts w:asciiTheme="minorBidi" w:hAnsiTheme="minorBidi" w:cstheme="minorBidi"/>
          <w:sz w:val="18"/>
          <w:szCs w:val="18"/>
        </w:rPr>
        <w:t xml:space="preserve"> 102</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102785.</w:t>
      </w:r>
    </w:p>
    <w:p w14:paraId="18D3D5E4" w14:textId="77777777" w:rsidR="00843BDD" w:rsidRPr="00843BDD" w:rsidRDefault="00843BDD" w:rsidP="00843BDD">
      <w:pPr>
        <w:pStyle w:val="EndNoteBibliography"/>
        <w:ind w:left="720" w:hanging="720"/>
        <w:rPr>
          <w:rFonts w:asciiTheme="minorBidi" w:hAnsiTheme="minorBidi" w:cstheme="minorBidi"/>
          <w:sz w:val="18"/>
          <w:szCs w:val="18"/>
        </w:rPr>
      </w:pPr>
      <w:r w:rsidRPr="00843BDD">
        <w:rPr>
          <w:rFonts w:asciiTheme="minorBidi" w:hAnsiTheme="minorBidi" w:cstheme="minorBidi"/>
          <w:sz w:val="18"/>
          <w:szCs w:val="18"/>
        </w:rPr>
        <w:t xml:space="preserve">Xin, H., Gates, R.S., Puma, M.C., and Ahn, D.U. (2002). Drinking water temperature effects on laying hens subjected to warm cyclic environments. </w:t>
      </w:r>
      <w:r w:rsidRPr="00843BDD">
        <w:rPr>
          <w:rFonts w:asciiTheme="minorBidi" w:hAnsiTheme="minorBidi" w:cstheme="minorBidi"/>
          <w:i/>
          <w:sz w:val="18"/>
          <w:szCs w:val="18"/>
        </w:rPr>
        <w:t>Poultry Science</w:t>
      </w:r>
      <w:r w:rsidRPr="00843BDD">
        <w:rPr>
          <w:rFonts w:asciiTheme="minorBidi" w:hAnsiTheme="minorBidi" w:cstheme="minorBidi"/>
          <w:sz w:val="18"/>
          <w:szCs w:val="18"/>
        </w:rPr>
        <w:t xml:space="preserve"> 81</w:t>
      </w:r>
      <w:r w:rsidRPr="00843BDD">
        <w:rPr>
          <w:rFonts w:asciiTheme="minorBidi" w:hAnsiTheme="minorBidi" w:cstheme="minorBidi"/>
          <w:b/>
          <w:sz w:val="18"/>
          <w:szCs w:val="18"/>
        </w:rPr>
        <w:t>,</w:t>
      </w:r>
      <w:r w:rsidRPr="00843BDD">
        <w:rPr>
          <w:rFonts w:asciiTheme="minorBidi" w:hAnsiTheme="minorBidi" w:cstheme="minorBidi"/>
          <w:sz w:val="18"/>
          <w:szCs w:val="18"/>
        </w:rPr>
        <w:t xml:space="preserve"> 608-617.</w:t>
      </w:r>
    </w:p>
    <w:sectPr w:rsidR="00843BDD" w:rsidRPr="00843BDD" w:rsidSect="00CC6FAA">
      <w:headerReference w:type="even" r:id="rId11"/>
      <w:headerReference w:type="default" r:id="rId12"/>
      <w:footerReference w:type="even" r:id="rId13"/>
      <w:footerReference w:type="default" r:id="rId14"/>
      <w:headerReference w:type="first" r:id="rId15"/>
      <w:footerReference w:type="first" r:id="rId16"/>
      <w:pgSz w:w="9360" w:h="13680" w:code="6"/>
      <w:pgMar w:top="1440" w:right="1440" w:bottom="1440" w:left="1440" w:header="720" w:footer="864"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ENOVO X1 YOGA" w:date="2025-05-06T20:36:00Z" w:initials="LXY">
    <w:p w14:paraId="0C2ED0E0" w14:textId="36523D60" w:rsidR="00AE7A57" w:rsidRPr="00AE7A57" w:rsidRDefault="00AE7A57">
      <w:pPr>
        <w:pStyle w:val="CommentText"/>
        <w:rPr>
          <w:rFonts w:hint="cs"/>
          <w:b/>
          <w:bCs/>
          <w:rtl/>
          <w:lang w:bidi="ar-IQ"/>
        </w:rPr>
      </w:pPr>
      <w:r>
        <w:rPr>
          <w:rStyle w:val="CommentReference"/>
        </w:rPr>
        <w:annotationRef/>
      </w:r>
      <w:r w:rsidRPr="00AE7A57">
        <w:rPr>
          <w:lang w:bidi="ar-IQ"/>
        </w:rPr>
        <w:t>It is preferable to use short keywords that are not present in the title; to ensure an increased chance of finding the contents of the scientific article during searches via search engines, so we suggest adding these keywords:</w:t>
      </w:r>
      <w:r w:rsidRPr="00AE7A57">
        <w:t xml:space="preserve"> </w:t>
      </w:r>
      <w:r w:rsidRPr="00AE7A57">
        <w:rPr>
          <w:b/>
          <w:bCs/>
          <w:lang w:bidi="ar-IQ"/>
        </w:rPr>
        <w:t>Disinfection, Pathogen transmission, Poultry welfare, Waterline management.</w:t>
      </w:r>
    </w:p>
  </w:comment>
  <w:comment w:id="1" w:author="LENOVO X1 YOGA" w:date="2025-05-06T20:40:00Z" w:initials="LXY">
    <w:p w14:paraId="6DCA1ADD" w14:textId="7A8BC381" w:rsidR="00681A5F" w:rsidRDefault="00681A5F">
      <w:pPr>
        <w:pStyle w:val="CommentText"/>
        <w:rPr>
          <w:rFonts w:hint="cs"/>
          <w:rtl/>
          <w:lang w:bidi="ar-IQ"/>
        </w:rPr>
      </w:pPr>
      <w:r>
        <w:rPr>
          <w:rStyle w:val="CommentReference"/>
        </w:rPr>
        <w:annotationRef/>
      </w:r>
      <w:r w:rsidRPr="00681A5F">
        <w:rPr>
          <w:lang w:bidi="ar-IQ"/>
        </w:rPr>
        <w:t>It is preferable to delete the brackets to standardize the number format in the article.</w:t>
      </w:r>
    </w:p>
  </w:comment>
  <w:comment w:id="3" w:author="LENOVO X1 YOGA" w:date="2025-05-06T20:41:00Z" w:initials="LXY">
    <w:p w14:paraId="5ED8162F" w14:textId="43F89BF4" w:rsidR="00681A5F" w:rsidRDefault="00681A5F">
      <w:pPr>
        <w:pStyle w:val="CommentText"/>
      </w:pPr>
      <w:r>
        <w:rPr>
          <w:rStyle w:val="CommentReference"/>
        </w:rPr>
        <w:annotationRef/>
      </w:r>
      <w:r w:rsidRPr="00681A5F">
        <w:t>It is preferable to delete the brackets to standardize the number format in the article.</w:t>
      </w:r>
    </w:p>
  </w:comment>
  <w:comment w:id="4" w:author="LENOVO X1 YOGA" w:date="2025-05-06T20:41:00Z" w:initials="LXY">
    <w:p w14:paraId="3383C77E" w14:textId="263B04BB" w:rsidR="00681A5F" w:rsidRDefault="00681A5F">
      <w:pPr>
        <w:pStyle w:val="CommentText"/>
      </w:pPr>
      <w:r>
        <w:rPr>
          <w:rStyle w:val="CommentReference"/>
        </w:rPr>
        <w:annotationRef/>
      </w:r>
      <w:r w:rsidRPr="00681A5F">
        <w:t>It is preferable to delete the brackets to standardize the number format in the article.</w:t>
      </w:r>
    </w:p>
  </w:comment>
  <w:comment w:id="5" w:author="LENOVO X1 YOGA" w:date="2025-05-06T20:43:00Z" w:initials="LXY">
    <w:p w14:paraId="41314B02" w14:textId="7AC10778" w:rsidR="00681A5F" w:rsidRDefault="00681A5F">
      <w:pPr>
        <w:pStyle w:val="CommentText"/>
      </w:pPr>
      <w:r>
        <w:rPr>
          <w:rStyle w:val="CommentReference"/>
        </w:rPr>
        <w:annotationRef/>
      </w:r>
      <w:r w:rsidRPr="00681A5F">
        <w:t>It is better to cite the reference once or twice at most if it is in the same period; therefore, it is preferable to combine the paragraph and reduce mentioning it to one or two times instead of four times, as indicated in yellow.</w:t>
      </w:r>
    </w:p>
  </w:comment>
  <w:comment w:id="7" w:author="LENOVO X1 YOGA" w:date="2025-05-06T20:49:00Z" w:initials="LXY">
    <w:p w14:paraId="667571F8" w14:textId="7D2B134B" w:rsidR="009610E6" w:rsidRDefault="009610E6">
      <w:pPr>
        <w:pStyle w:val="CommentText"/>
      </w:pPr>
      <w:r>
        <w:rPr>
          <w:rStyle w:val="CommentReference"/>
        </w:rPr>
        <w:annotationRef/>
      </w:r>
      <w:r w:rsidRPr="009610E6">
        <w:t>Not found in the reference list</w:t>
      </w:r>
    </w:p>
  </w:comment>
  <w:comment w:id="8" w:author="LENOVO X1 YOGA" w:date="2025-05-06T20:46:00Z" w:initials="LXY">
    <w:p w14:paraId="5A487124" w14:textId="218DF713" w:rsidR="00681A5F" w:rsidRPr="00681A5F" w:rsidRDefault="00681A5F">
      <w:pPr>
        <w:pStyle w:val="CommentText"/>
        <w:rPr>
          <w:lang w:val="en-US"/>
        </w:rPr>
      </w:pPr>
      <w:r>
        <w:rPr>
          <w:rStyle w:val="CommentReference"/>
        </w:rPr>
        <w:annotationRef/>
      </w:r>
      <w:r w:rsidRPr="00681A5F">
        <w:t>Capitalize as it appears in the reference list.</w:t>
      </w:r>
      <w:r>
        <w:t>”</w:t>
      </w:r>
      <w:r>
        <w:rPr>
          <w:rFonts w:hint="cs"/>
          <w:rtl/>
        </w:rPr>
        <w:t xml:space="preserve"> </w:t>
      </w:r>
      <w:r w:rsidRPr="00681A5F">
        <w:rPr>
          <w:b/>
          <w:bCs/>
          <w:lang w:val="en-US"/>
        </w:rPr>
        <w:t>E</w:t>
      </w:r>
      <w:r>
        <w:rPr>
          <w:lang w:val="en-US"/>
        </w:rPr>
        <w:t>”</w:t>
      </w:r>
    </w:p>
  </w:comment>
  <w:comment w:id="9" w:author="LENOVO X1 YOGA" w:date="2025-05-06T20:52:00Z" w:initials="LXY">
    <w:p w14:paraId="07127ADF" w14:textId="084A86B8" w:rsidR="004E474E" w:rsidRPr="004E474E" w:rsidRDefault="004E474E">
      <w:pPr>
        <w:pStyle w:val="CommentText"/>
        <w:rPr>
          <w:lang w:val="en-US"/>
        </w:rPr>
      </w:pPr>
      <w:r>
        <w:rPr>
          <w:rStyle w:val="CommentReference"/>
        </w:rPr>
        <w:annotationRef/>
      </w:r>
      <w:r>
        <w:rPr>
          <w:lang w:val="en-US"/>
        </w:rPr>
        <w:t>Delete</w:t>
      </w:r>
    </w:p>
  </w:comment>
  <w:comment w:id="10" w:author="LENOVO X1 YOGA" w:date="2025-05-06T20:51:00Z" w:initials="LXY">
    <w:p w14:paraId="29A8C691" w14:textId="013C72F3" w:rsidR="004E474E" w:rsidRDefault="004E474E">
      <w:pPr>
        <w:pStyle w:val="CommentText"/>
        <w:rPr>
          <w:rFonts w:hint="cs"/>
          <w:rtl/>
          <w:lang w:bidi="ar-IQ"/>
        </w:rPr>
      </w:pPr>
      <w:r>
        <w:rPr>
          <w:rStyle w:val="CommentReference"/>
        </w:rPr>
        <w:annotationRef/>
      </w:r>
      <w:r w:rsidRPr="004E474E">
        <w:rPr>
          <w:lang w:bidi="ar-IQ"/>
        </w:rPr>
        <w:t>Not found in text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2ED0E0" w15:done="0"/>
  <w15:commentEx w15:paraId="6DCA1ADD" w15:done="0"/>
  <w15:commentEx w15:paraId="5ED8162F" w15:done="0"/>
  <w15:commentEx w15:paraId="3383C77E" w15:done="0"/>
  <w15:commentEx w15:paraId="41314B02" w15:done="0"/>
  <w15:commentEx w15:paraId="667571F8" w15:done="0"/>
  <w15:commentEx w15:paraId="5A487124" w15:done="0"/>
  <w15:commentEx w15:paraId="07127ADF" w15:done="0"/>
  <w15:commentEx w15:paraId="29A8C6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73830" w14:textId="77777777" w:rsidR="001E2438" w:rsidRDefault="001E2438" w:rsidP="00BC3A09">
      <w:pPr>
        <w:spacing w:after="0" w:line="240" w:lineRule="auto"/>
      </w:pPr>
      <w:r>
        <w:separator/>
      </w:r>
    </w:p>
  </w:endnote>
  <w:endnote w:type="continuationSeparator" w:id="0">
    <w:p w14:paraId="4B9A369C" w14:textId="77777777" w:rsidR="001E2438" w:rsidRDefault="001E2438" w:rsidP="00BC3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70CF7" w14:textId="77777777" w:rsidR="004C4A56" w:rsidRDefault="004C4A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098"/>
      <w:docPartObj>
        <w:docPartGallery w:val="Page Numbers (Bottom of Page)"/>
        <w:docPartUnique/>
      </w:docPartObj>
    </w:sdtPr>
    <w:sdtEndPr/>
    <w:sdtContent>
      <w:p w14:paraId="3BCD08DD" w14:textId="77777777" w:rsidR="00766215" w:rsidRPr="00FD5522" w:rsidRDefault="00766215">
        <w:pPr>
          <w:pStyle w:val="Footer"/>
          <w:jc w:val="center"/>
          <w:rPr>
            <w:rFonts w:ascii="Arial" w:hAnsi="Arial" w:cs="Arial"/>
            <w:sz w:val="28"/>
          </w:rPr>
        </w:pPr>
      </w:p>
      <w:p w14:paraId="43D9E2BF" w14:textId="77777777" w:rsidR="00766215" w:rsidRPr="005B2DF9" w:rsidRDefault="00FB4143">
        <w:pPr>
          <w:pStyle w:val="Footer"/>
          <w:jc w:val="center"/>
          <w:rPr>
            <w:rFonts w:ascii="Arial" w:hAnsi="Arial" w:cs="Arial"/>
            <w:sz w:val="18"/>
          </w:rPr>
        </w:pPr>
        <w:r w:rsidRPr="005B2DF9">
          <w:rPr>
            <w:rFonts w:ascii="Arial" w:hAnsi="Arial" w:cs="Arial"/>
            <w:sz w:val="18"/>
          </w:rPr>
          <w:fldChar w:fldCharType="begin"/>
        </w:r>
        <w:r w:rsidR="00766215" w:rsidRPr="005B2DF9">
          <w:rPr>
            <w:rFonts w:ascii="Arial" w:hAnsi="Arial" w:cs="Arial"/>
            <w:sz w:val="18"/>
          </w:rPr>
          <w:instrText xml:space="preserve"> PAGE   \* MERGEFORMAT </w:instrText>
        </w:r>
        <w:r w:rsidRPr="005B2DF9">
          <w:rPr>
            <w:rFonts w:ascii="Arial" w:hAnsi="Arial" w:cs="Arial"/>
            <w:sz w:val="18"/>
          </w:rPr>
          <w:fldChar w:fldCharType="separate"/>
        </w:r>
        <w:r w:rsidR="004E474E">
          <w:rPr>
            <w:rFonts w:ascii="Arial" w:hAnsi="Arial" w:cs="Arial"/>
            <w:noProof/>
            <w:sz w:val="18"/>
          </w:rPr>
          <w:t>9</w:t>
        </w:r>
        <w:r w:rsidRPr="005B2DF9">
          <w:rPr>
            <w:rFonts w:ascii="Arial" w:hAnsi="Arial" w:cs="Arial"/>
            <w:sz w:val="18"/>
          </w:rPr>
          <w:fldChar w:fldCharType="end"/>
        </w:r>
      </w:p>
      <w:p w14:paraId="18DC98C6" w14:textId="77777777" w:rsidR="00766215" w:rsidRPr="005B2DF9" w:rsidRDefault="001E2438">
        <w:pPr>
          <w:pStyle w:val="Footer"/>
          <w:jc w:val="center"/>
          <w:rPr>
            <w:rFonts w:ascii="Arial" w:hAnsi="Arial" w:cs="Arial"/>
            <w:sz w:val="18"/>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69353" w14:textId="77777777" w:rsidR="00766215" w:rsidRPr="00F322DF" w:rsidRDefault="00766215" w:rsidP="006647CD">
    <w:pPr>
      <w:pStyle w:val="Footer"/>
      <w:rPr>
        <w:rFonts w:ascii="Arial" w:hAnsi="Arial" w:cs="Arial"/>
        <w:i/>
        <w:sz w:val="16"/>
      </w:rPr>
    </w:pPr>
    <w:r w:rsidRPr="00F322DF">
      <w:rPr>
        <w:rFonts w:ascii="Arial" w:hAnsi="Arial" w:cs="Arial"/>
        <w:i/>
        <w:sz w:val="16"/>
      </w:rPr>
      <w:t>_____________________________________________</w:t>
    </w:r>
    <w:r>
      <w:rPr>
        <w:rFonts w:ascii="Arial" w:hAnsi="Arial" w:cs="Arial"/>
        <w:i/>
        <w:sz w:val="16"/>
      </w:rPr>
      <w:t>_________</w:t>
    </w:r>
    <w:r w:rsidRPr="00F322DF">
      <w:rPr>
        <w:rFonts w:ascii="Arial" w:hAnsi="Arial" w:cs="Arial"/>
        <w:i/>
        <w:sz w:val="16"/>
      </w:rPr>
      <w:t>__</w:t>
    </w:r>
    <w:r>
      <w:rPr>
        <w:rFonts w:ascii="Arial" w:hAnsi="Arial" w:cs="Arial"/>
        <w:i/>
        <w:sz w:val="16"/>
      </w:rPr>
      <w:t>________________</w:t>
    </w:r>
  </w:p>
  <w:p w14:paraId="0EFF237A" w14:textId="77777777" w:rsidR="00766215" w:rsidRPr="00FD5522" w:rsidRDefault="00766215" w:rsidP="00F322DF">
    <w:pPr>
      <w:pStyle w:val="Footer"/>
      <w:jc w:val="both"/>
      <w:rPr>
        <w:rFonts w:ascii="Arial" w:hAnsi="Arial" w:cs="Arial"/>
        <w:b/>
        <w:i/>
        <w:color w:val="FF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98910" w14:textId="77777777" w:rsidR="001E2438" w:rsidRDefault="001E2438" w:rsidP="00BC3A09">
      <w:pPr>
        <w:spacing w:after="0" w:line="240" w:lineRule="auto"/>
      </w:pPr>
      <w:r>
        <w:separator/>
      </w:r>
    </w:p>
  </w:footnote>
  <w:footnote w:type="continuationSeparator" w:id="0">
    <w:p w14:paraId="69AFC274" w14:textId="77777777" w:rsidR="001E2438" w:rsidRDefault="001E2438" w:rsidP="00BC3A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C544F" w14:textId="03CB587B" w:rsidR="00766215" w:rsidRDefault="001E2438" w:rsidP="001D1419">
    <w:pPr>
      <w:tabs>
        <w:tab w:val="center" w:pos="4320"/>
        <w:tab w:val="right" w:pos="8640"/>
      </w:tabs>
      <w:spacing w:after="0" w:line="240" w:lineRule="auto"/>
      <w:rPr>
        <w:rFonts w:ascii="Arial" w:eastAsia="Times New Roman" w:hAnsi="Arial" w:cs="Arial"/>
        <w:b/>
        <w:i/>
        <w:sz w:val="16"/>
        <w:szCs w:val="20"/>
      </w:rPr>
    </w:pPr>
    <w:r>
      <w:rPr>
        <w:noProof/>
      </w:rPr>
      <w:pict w14:anchorId="2956D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949297" o:spid="_x0000_s2050" type="#_x0000_t136" style="position:absolute;margin-left:0;margin-top:0;width:384.6pt;height:72.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42FB27BA" w14:textId="77777777" w:rsidR="00766215" w:rsidRDefault="00766215" w:rsidP="001D1419">
    <w:pPr>
      <w:tabs>
        <w:tab w:val="center" w:pos="4320"/>
        <w:tab w:val="right" w:pos="8640"/>
      </w:tabs>
      <w:spacing w:after="0" w:line="240" w:lineRule="auto"/>
      <w:rPr>
        <w:rFonts w:ascii="Arial" w:eastAsia="Times New Roman" w:hAnsi="Arial" w:cs="Arial"/>
        <w:b/>
        <w:i/>
        <w:sz w:val="16"/>
        <w:szCs w:val="20"/>
      </w:rPr>
    </w:pPr>
  </w:p>
  <w:p w14:paraId="382FD9EC" w14:textId="77777777" w:rsidR="00766215" w:rsidRDefault="00766215" w:rsidP="001D1419">
    <w:pPr>
      <w:tabs>
        <w:tab w:val="center" w:pos="4320"/>
        <w:tab w:val="right" w:pos="8640"/>
      </w:tabs>
      <w:spacing w:after="0" w:line="240" w:lineRule="auto"/>
      <w:rPr>
        <w:rFonts w:ascii="Arial" w:eastAsia="Times New Roman" w:hAnsi="Arial" w:cs="Arial"/>
        <w:b/>
        <w:i/>
        <w:sz w:val="16"/>
        <w:szCs w:val="20"/>
      </w:rPr>
    </w:pPr>
  </w:p>
  <w:p w14:paraId="1EC7F3ED" w14:textId="77777777" w:rsidR="00766215" w:rsidRPr="00FA5CD7" w:rsidRDefault="00766215" w:rsidP="001D1419">
    <w:pPr>
      <w:tabs>
        <w:tab w:val="center" w:pos="4320"/>
        <w:tab w:val="right" w:pos="8640"/>
      </w:tabs>
      <w:spacing w:after="0" w:line="240" w:lineRule="auto"/>
      <w:rPr>
        <w:rFonts w:ascii="Arial" w:eastAsia="Times New Roman" w:hAnsi="Arial" w:cs="Arial"/>
        <w:b/>
        <w:i/>
        <w:sz w:val="16"/>
        <w:szCs w:val="20"/>
      </w:rPr>
    </w:pPr>
  </w:p>
  <w:p w14:paraId="77E57F9F" w14:textId="77777777" w:rsidR="00766215" w:rsidRDefault="00766215" w:rsidP="001D1419">
    <w:pPr>
      <w:tabs>
        <w:tab w:val="center" w:pos="4320"/>
        <w:tab w:val="right" w:pos="8640"/>
      </w:tabs>
      <w:spacing w:after="0" w:line="240" w:lineRule="auto"/>
      <w:rPr>
        <w:rFonts w:ascii="Arial" w:eastAsia="Times New Roman" w:hAnsi="Arial" w:cs="Arial"/>
        <w:i/>
        <w:sz w:val="16"/>
        <w:szCs w:val="20"/>
      </w:rPr>
    </w:pPr>
  </w:p>
  <w:p w14:paraId="3A5DDD44" w14:textId="77777777" w:rsidR="00766215" w:rsidRDefault="00766215">
    <w:pPr>
      <w:pStyle w:val="Header"/>
      <w:rPr>
        <w:sz w:val="16"/>
      </w:rPr>
    </w:pPr>
  </w:p>
  <w:p w14:paraId="3DFE3FC3" w14:textId="77777777" w:rsidR="00766215" w:rsidRPr="001D1419" w:rsidRDefault="00766215">
    <w:pPr>
      <w:pStyle w:val="Heade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990E1" w14:textId="1761E39E" w:rsidR="00766215" w:rsidRDefault="001E2438" w:rsidP="0002037D">
    <w:pPr>
      <w:tabs>
        <w:tab w:val="center" w:pos="4320"/>
        <w:tab w:val="right" w:pos="8640"/>
      </w:tabs>
      <w:spacing w:after="0" w:line="240" w:lineRule="auto"/>
      <w:jc w:val="right"/>
      <w:rPr>
        <w:rFonts w:ascii="Arial" w:eastAsia="Times New Roman" w:hAnsi="Arial" w:cs="Arial"/>
        <w:i/>
        <w:sz w:val="14"/>
        <w:szCs w:val="14"/>
        <w:highlight w:val="yellow"/>
      </w:rPr>
    </w:pPr>
    <w:r>
      <w:rPr>
        <w:noProof/>
      </w:rPr>
      <w:pict w14:anchorId="0F06E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949298" o:spid="_x0000_s2051" type="#_x0000_t136" style="position:absolute;left:0;text-align:left;margin-left:0;margin-top:0;width:384.6pt;height:72.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3647BFC9"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highlight w:val="yellow"/>
      </w:rPr>
    </w:pPr>
  </w:p>
  <w:p w14:paraId="799556C3"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highlight w:val="yellow"/>
      </w:rPr>
    </w:pPr>
  </w:p>
  <w:p w14:paraId="712E6163"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b/>
        <w:i/>
        <w:sz w:val="14"/>
        <w:szCs w:val="14"/>
      </w:rPr>
    </w:pPr>
  </w:p>
  <w:p w14:paraId="1B5AF832" w14:textId="77777777" w:rsidR="00D730C3" w:rsidRDefault="00D730C3" w:rsidP="0002037D">
    <w:pPr>
      <w:tabs>
        <w:tab w:val="center" w:pos="4320"/>
        <w:tab w:val="right" w:pos="8640"/>
      </w:tabs>
      <w:spacing w:after="0" w:line="240" w:lineRule="auto"/>
      <w:jc w:val="right"/>
      <w:rPr>
        <w:rFonts w:ascii="Arial" w:eastAsia="Times New Roman" w:hAnsi="Arial" w:cs="Arial"/>
        <w:i/>
        <w:sz w:val="14"/>
        <w:szCs w:val="14"/>
      </w:rPr>
    </w:pPr>
  </w:p>
  <w:p w14:paraId="0BF058EE"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rPr>
    </w:pPr>
  </w:p>
  <w:p w14:paraId="1E904FDF"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rPr>
    </w:pPr>
  </w:p>
  <w:p w14:paraId="2154D456"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E88EF" w14:textId="1CF8BFEE" w:rsidR="004C4A56" w:rsidRDefault="001E2438">
    <w:pPr>
      <w:pStyle w:val="Header"/>
    </w:pPr>
    <w:r>
      <w:rPr>
        <w:noProof/>
      </w:rPr>
      <w:pict w14:anchorId="7F0C7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949296" o:spid="_x0000_s2049" type="#_x0000_t136" style="position:absolute;margin-left:0;margin-top:0;width:384.6pt;height:72.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5E36"/>
    <w:multiLevelType w:val="hybridMultilevel"/>
    <w:tmpl w:val="F0AA3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571BE"/>
    <w:multiLevelType w:val="multilevel"/>
    <w:tmpl w:val="215C4B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0716C4"/>
    <w:multiLevelType w:val="hybridMultilevel"/>
    <w:tmpl w:val="20FA8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C034B"/>
    <w:multiLevelType w:val="multilevel"/>
    <w:tmpl w:val="FE687A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A02FCF"/>
    <w:multiLevelType w:val="hybridMultilevel"/>
    <w:tmpl w:val="9418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AF748C"/>
    <w:multiLevelType w:val="hybridMultilevel"/>
    <w:tmpl w:val="D2FCCE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B5F3734"/>
    <w:multiLevelType w:val="hybridMultilevel"/>
    <w:tmpl w:val="075EE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781006"/>
    <w:multiLevelType w:val="hybridMultilevel"/>
    <w:tmpl w:val="F698E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EA6"/>
    <w:multiLevelType w:val="hybridMultilevel"/>
    <w:tmpl w:val="DB68D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2395C"/>
    <w:multiLevelType w:val="hybridMultilevel"/>
    <w:tmpl w:val="9C66605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FBE3D8D"/>
    <w:multiLevelType w:val="hybridMultilevel"/>
    <w:tmpl w:val="29AC3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71B75C5"/>
    <w:multiLevelType w:val="hybridMultilevel"/>
    <w:tmpl w:val="B9BE5C9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25356EF"/>
    <w:multiLevelType w:val="hybridMultilevel"/>
    <w:tmpl w:val="7D78F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2C0C98"/>
    <w:multiLevelType w:val="hybridMultilevel"/>
    <w:tmpl w:val="AF304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01F352D"/>
    <w:multiLevelType w:val="hybridMultilevel"/>
    <w:tmpl w:val="9C7231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4361074"/>
    <w:multiLevelType w:val="hybridMultilevel"/>
    <w:tmpl w:val="D8027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E27CC4"/>
    <w:multiLevelType w:val="hybridMultilevel"/>
    <w:tmpl w:val="81F2B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8"/>
  </w:num>
  <w:num w:numId="3">
    <w:abstractNumId w:val="9"/>
  </w:num>
  <w:num w:numId="4">
    <w:abstractNumId w:val="0"/>
  </w:num>
  <w:num w:numId="5">
    <w:abstractNumId w:val="13"/>
  </w:num>
  <w:num w:numId="6">
    <w:abstractNumId w:val="4"/>
  </w:num>
  <w:num w:numId="7">
    <w:abstractNumId w:val="17"/>
  </w:num>
  <w:num w:numId="8">
    <w:abstractNumId w:val="7"/>
  </w:num>
  <w:num w:numId="9">
    <w:abstractNumId w:val="5"/>
  </w:num>
  <w:num w:numId="10">
    <w:abstractNumId w:val="12"/>
  </w:num>
  <w:num w:numId="11">
    <w:abstractNumId w:val="15"/>
  </w:num>
  <w:num w:numId="12">
    <w:abstractNumId w:val="14"/>
  </w:num>
  <w:num w:numId="13">
    <w:abstractNumId w:val="11"/>
  </w:num>
  <w:num w:numId="14">
    <w:abstractNumId w:val="6"/>
  </w:num>
  <w:num w:numId="15">
    <w:abstractNumId w:val="16"/>
  </w:num>
  <w:num w:numId="16">
    <w:abstractNumId w:val="2"/>
  </w:num>
  <w:num w:numId="17">
    <w:abstractNumId w:val="8"/>
  </w:num>
  <w:num w:numId="18">
    <w:abstractNumId w:val="1"/>
  </w:num>
  <w:num w:numId="1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X1 YOGA">
    <w15:presenceInfo w15:providerId="None" w15:userId="LENOVO X1 YO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Frontiers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rpvwv20xzvxcersv4p0fsbzpd0zse2f25w&quot;&gt;Biomolecules My EndNote Library&lt;record-ids&gt;&lt;item&gt;389&lt;/item&gt;&lt;item&gt;393&lt;/item&gt;&lt;item&gt;395&lt;/item&gt;&lt;item&gt;405&lt;/item&gt;&lt;item&gt;406&lt;/item&gt;&lt;item&gt;407&lt;/item&gt;&lt;item&gt;408&lt;/item&gt;&lt;item&gt;412&lt;/item&gt;&lt;item&gt;413&lt;/item&gt;&lt;item&gt;414&lt;/item&gt;&lt;item&gt;415&lt;/item&gt;&lt;item&gt;416&lt;/item&gt;&lt;item&gt;417&lt;/item&gt;&lt;item&gt;418&lt;/item&gt;&lt;item&gt;419&lt;/item&gt;&lt;item&gt;420&lt;/item&gt;&lt;item&gt;421&lt;/item&gt;&lt;item&gt;422&lt;/item&gt;&lt;item&gt;423&lt;/item&gt;&lt;item&gt;424&lt;/item&gt;&lt;item&gt;426&lt;/item&gt;&lt;item&gt;427&lt;/item&gt;&lt;item&gt;429&lt;/item&gt;&lt;item&gt;430&lt;/item&gt;&lt;item&gt;431&lt;/item&gt;&lt;item&gt;432&lt;/item&gt;&lt;item&gt;433&lt;/item&gt;&lt;item&gt;434&lt;/item&gt;&lt;item&gt;435&lt;/item&gt;&lt;item&gt;437&lt;/item&gt;&lt;item&gt;438&lt;/item&gt;&lt;item&gt;439&lt;/item&gt;&lt;item&gt;440&lt;/item&gt;&lt;item&gt;441&lt;/item&gt;&lt;item&gt;442&lt;/item&gt;&lt;item&gt;443&lt;/item&gt;&lt;item&gt;444&lt;/item&gt;&lt;/record-ids&gt;&lt;/item&gt;&lt;/Libraries&gt;"/>
  </w:docVars>
  <w:rsids>
    <w:rsidRoot w:val="00BC3A09"/>
    <w:rsid w:val="00005BA1"/>
    <w:rsid w:val="000102C3"/>
    <w:rsid w:val="00015EF0"/>
    <w:rsid w:val="0002037D"/>
    <w:rsid w:val="00020DBF"/>
    <w:rsid w:val="000300C0"/>
    <w:rsid w:val="00030F1D"/>
    <w:rsid w:val="0003366C"/>
    <w:rsid w:val="0004319C"/>
    <w:rsid w:val="000462FD"/>
    <w:rsid w:val="00070403"/>
    <w:rsid w:val="00070BB0"/>
    <w:rsid w:val="00074041"/>
    <w:rsid w:val="00075156"/>
    <w:rsid w:val="00076C1B"/>
    <w:rsid w:val="0007762A"/>
    <w:rsid w:val="00081731"/>
    <w:rsid w:val="00083CEA"/>
    <w:rsid w:val="00095E5E"/>
    <w:rsid w:val="000A439E"/>
    <w:rsid w:val="000B75DD"/>
    <w:rsid w:val="000D0909"/>
    <w:rsid w:val="000D2DFF"/>
    <w:rsid w:val="000D5740"/>
    <w:rsid w:val="000E02B6"/>
    <w:rsid w:val="000E3672"/>
    <w:rsid w:val="000E5BB1"/>
    <w:rsid w:val="000E7EDB"/>
    <w:rsid w:val="000F1D14"/>
    <w:rsid w:val="000F1DCC"/>
    <w:rsid w:val="000F6BA6"/>
    <w:rsid w:val="00102BC0"/>
    <w:rsid w:val="0010789F"/>
    <w:rsid w:val="001156BD"/>
    <w:rsid w:val="001211E2"/>
    <w:rsid w:val="00123155"/>
    <w:rsid w:val="00124417"/>
    <w:rsid w:val="00127A43"/>
    <w:rsid w:val="00131836"/>
    <w:rsid w:val="001401E6"/>
    <w:rsid w:val="001611B5"/>
    <w:rsid w:val="001622BB"/>
    <w:rsid w:val="00164CD4"/>
    <w:rsid w:val="00166F1A"/>
    <w:rsid w:val="00170EB0"/>
    <w:rsid w:val="00173481"/>
    <w:rsid w:val="00173660"/>
    <w:rsid w:val="00174407"/>
    <w:rsid w:val="00184A40"/>
    <w:rsid w:val="001926BA"/>
    <w:rsid w:val="001928E9"/>
    <w:rsid w:val="001929E6"/>
    <w:rsid w:val="001969F2"/>
    <w:rsid w:val="001B4AFE"/>
    <w:rsid w:val="001B603E"/>
    <w:rsid w:val="001B7997"/>
    <w:rsid w:val="001C1263"/>
    <w:rsid w:val="001C21FB"/>
    <w:rsid w:val="001C3943"/>
    <w:rsid w:val="001C5940"/>
    <w:rsid w:val="001D1419"/>
    <w:rsid w:val="001D4826"/>
    <w:rsid w:val="001D50F4"/>
    <w:rsid w:val="001D5579"/>
    <w:rsid w:val="001D6C89"/>
    <w:rsid w:val="001E2438"/>
    <w:rsid w:val="001E32CC"/>
    <w:rsid w:val="001E5AC6"/>
    <w:rsid w:val="001F029B"/>
    <w:rsid w:val="001F57FF"/>
    <w:rsid w:val="001F5A6A"/>
    <w:rsid w:val="001F7749"/>
    <w:rsid w:val="00202A41"/>
    <w:rsid w:val="00202E1A"/>
    <w:rsid w:val="00205FE1"/>
    <w:rsid w:val="002065A5"/>
    <w:rsid w:val="002069F3"/>
    <w:rsid w:val="00234260"/>
    <w:rsid w:val="0024494C"/>
    <w:rsid w:val="00245E29"/>
    <w:rsid w:val="002467DD"/>
    <w:rsid w:val="0025070C"/>
    <w:rsid w:val="00253760"/>
    <w:rsid w:val="0025448F"/>
    <w:rsid w:val="00254928"/>
    <w:rsid w:val="00254D3F"/>
    <w:rsid w:val="00260588"/>
    <w:rsid w:val="00260783"/>
    <w:rsid w:val="00262F39"/>
    <w:rsid w:val="00265941"/>
    <w:rsid w:val="00274E73"/>
    <w:rsid w:val="002770B7"/>
    <w:rsid w:val="002857A3"/>
    <w:rsid w:val="002909AA"/>
    <w:rsid w:val="00293BC8"/>
    <w:rsid w:val="002973D4"/>
    <w:rsid w:val="00297FD8"/>
    <w:rsid w:val="002A24DF"/>
    <w:rsid w:val="002A671C"/>
    <w:rsid w:val="002B1358"/>
    <w:rsid w:val="002B2426"/>
    <w:rsid w:val="002B26BC"/>
    <w:rsid w:val="002B65F4"/>
    <w:rsid w:val="002C32D0"/>
    <w:rsid w:val="002C42FB"/>
    <w:rsid w:val="002C56CC"/>
    <w:rsid w:val="002C606A"/>
    <w:rsid w:val="002C73FE"/>
    <w:rsid w:val="002D203E"/>
    <w:rsid w:val="002D5C57"/>
    <w:rsid w:val="002D6FAD"/>
    <w:rsid w:val="002E5239"/>
    <w:rsid w:val="002E579A"/>
    <w:rsid w:val="002F4CD0"/>
    <w:rsid w:val="002F5633"/>
    <w:rsid w:val="002F6C44"/>
    <w:rsid w:val="0030437E"/>
    <w:rsid w:val="00311590"/>
    <w:rsid w:val="00315BDD"/>
    <w:rsid w:val="003220AC"/>
    <w:rsid w:val="00327894"/>
    <w:rsid w:val="00333019"/>
    <w:rsid w:val="00335795"/>
    <w:rsid w:val="00336476"/>
    <w:rsid w:val="003365BC"/>
    <w:rsid w:val="00345667"/>
    <w:rsid w:val="00346132"/>
    <w:rsid w:val="00346CB5"/>
    <w:rsid w:val="0035419E"/>
    <w:rsid w:val="00355DEB"/>
    <w:rsid w:val="003576BF"/>
    <w:rsid w:val="00357905"/>
    <w:rsid w:val="00364F1B"/>
    <w:rsid w:val="003653C8"/>
    <w:rsid w:val="003654D1"/>
    <w:rsid w:val="003676B0"/>
    <w:rsid w:val="00375144"/>
    <w:rsid w:val="003819AF"/>
    <w:rsid w:val="00385485"/>
    <w:rsid w:val="00385A2F"/>
    <w:rsid w:val="00386363"/>
    <w:rsid w:val="00387A97"/>
    <w:rsid w:val="003940CD"/>
    <w:rsid w:val="00397809"/>
    <w:rsid w:val="00397F4E"/>
    <w:rsid w:val="003A20AD"/>
    <w:rsid w:val="003A3864"/>
    <w:rsid w:val="003B11B0"/>
    <w:rsid w:val="003B43D6"/>
    <w:rsid w:val="003B7B22"/>
    <w:rsid w:val="003C0541"/>
    <w:rsid w:val="003C4CBC"/>
    <w:rsid w:val="003C6DB6"/>
    <w:rsid w:val="003D30AA"/>
    <w:rsid w:val="003D5B1B"/>
    <w:rsid w:val="003D7949"/>
    <w:rsid w:val="003D7B5F"/>
    <w:rsid w:val="003E7059"/>
    <w:rsid w:val="003F1E14"/>
    <w:rsid w:val="003F2F89"/>
    <w:rsid w:val="003F69C0"/>
    <w:rsid w:val="00406503"/>
    <w:rsid w:val="00411A78"/>
    <w:rsid w:val="00414C80"/>
    <w:rsid w:val="004150AA"/>
    <w:rsid w:val="00427E04"/>
    <w:rsid w:val="0043106C"/>
    <w:rsid w:val="00432795"/>
    <w:rsid w:val="00434494"/>
    <w:rsid w:val="0043775E"/>
    <w:rsid w:val="004429EB"/>
    <w:rsid w:val="00442AED"/>
    <w:rsid w:val="0044483A"/>
    <w:rsid w:val="00445F47"/>
    <w:rsid w:val="004520D0"/>
    <w:rsid w:val="004527DC"/>
    <w:rsid w:val="00453305"/>
    <w:rsid w:val="00453BEF"/>
    <w:rsid w:val="00454755"/>
    <w:rsid w:val="004602CC"/>
    <w:rsid w:val="00460BBC"/>
    <w:rsid w:val="00461F8E"/>
    <w:rsid w:val="004624CB"/>
    <w:rsid w:val="00464638"/>
    <w:rsid w:val="0046639E"/>
    <w:rsid w:val="00466A2B"/>
    <w:rsid w:val="0047473B"/>
    <w:rsid w:val="004753A1"/>
    <w:rsid w:val="004B371B"/>
    <w:rsid w:val="004B417F"/>
    <w:rsid w:val="004B7F30"/>
    <w:rsid w:val="004C4A56"/>
    <w:rsid w:val="004C6A69"/>
    <w:rsid w:val="004D239E"/>
    <w:rsid w:val="004E00D1"/>
    <w:rsid w:val="004E05F4"/>
    <w:rsid w:val="004E22F1"/>
    <w:rsid w:val="004E474E"/>
    <w:rsid w:val="004E78F5"/>
    <w:rsid w:val="004F3956"/>
    <w:rsid w:val="004F6D24"/>
    <w:rsid w:val="005029B4"/>
    <w:rsid w:val="00510744"/>
    <w:rsid w:val="00525E9E"/>
    <w:rsid w:val="00530AE8"/>
    <w:rsid w:val="005452A5"/>
    <w:rsid w:val="00547E21"/>
    <w:rsid w:val="00561754"/>
    <w:rsid w:val="00571AF2"/>
    <w:rsid w:val="00572B7B"/>
    <w:rsid w:val="00576C1D"/>
    <w:rsid w:val="005773CA"/>
    <w:rsid w:val="005929CC"/>
    <w:rsid w:val="00592D2B"/>
    <w:rsid w:val="00592D54"/>
    <w:rsid w:val="005A55A4"/>
    <w:rsid w:val="005B0523"/>
    <w:rsid w:val="005B2DF9"/>
    <w:rsid w:val="005B4F0E"/>
    <w:rsid w:val="005D4559"/>
    <w:rsid w:val="005D5569"/>
    <w:rsid w:val="005D7836"/>
    <w:rsid w:val="005E79FA"/>
    <w:rsid w:val="005F1448"/>
    <w:rsid w:val="005F3AD1"/>
    <w:rsid w:val="005F4C5B"/>
    <w:rsid w:val="00602DF9"/>
    <w:rsid w:val="00604A8D"/>
    <w:rsid w:val="00606448"/>
    <w:rsid w:val="00614FA8"/>
    <w:rsid w:val="00616622"/>
    <w:rsid w:val="00617E4C"/>
    <w:rsid w:val="0062045B"/>
    <w:rsid w:val="006247BC"/>
    <w:rsid w:val="00637EEC"/>
    <w:rsid w:val="00640D2E"/>
    <w:rsid w:val="006443D8"/>
    <w:rsid w:val="00644648"/>
    <w:rsid w:val="00645E4F"/>
    <w:rsid w:val="00647D8F"/>
    <w:rsid w:val="00650D26"/>
    <w:rsid w:val="00652B6D"/>
    <w:rsid w:val="00656BA4"/>
    <w:rsid w:val="00663B00"/>
    <w:rsid w:val="0066457A"/>
    <w:rsid w:val="006647CD"/>
    <w:rsid w:val="00671515"/>
    <w:rsid w:val="00681A5F"/>
    <w:rsid w:val="00686684"/>
    <w:rsid w:val="00692185"/>
    <w:rsid w:val="006A19D0"/>
    <w:rsid w:val="006B321A"/>
    <w:rsid w:val="006B5C1B"/>
    <w:rsid w:val="006E1551"/>
    <w:rsid w:val="007013ED"/>
    <w:rsid w:val="00702298"/>
    <w:rsid w:val="00704880"/>
    <w:rsid w:val="007126E6"/>
    <w:rsid w:val="00724CDF"/>
    <w:rsid w:val="00724D7F"/>
    <w:rsid w:val="00732D81"/>
    <w:rsid w:val="007446AE"/>
    <w:rsid w:val="00745884"/>
    <w:rsid w:val="007504FA"/>
    <w:rsid w:val="00753617"/>
    <w:rsid w:val="00754B6E"/>
    <w:rsid w:val="007574B5"/>
    <w:rsid w:val="00757540"/>
    <w:rsid w:val="007624EA"/>
    <w:rsid w:val="00766215"/>
    <w:rsid w:val="00767FE9"/>
    <w:rsid w:val="00770B96"/>
    <w:rsid w:val="00773525"/>
    <w:rsid w:val="00776D4F"/>
    <w:rsid w:val="007778E0"/>
    <w:rsid w:val="00784586"/>
    <w:rsid w:val="00792599"/>
    <w:rsid w:val="00792919"/>
    <w:rsid w:val="007A400F"/>
    <w:rsid w:val="007C3567"/>
    <w:rsid w:val="007D09E2"/>
    <w:rsid w:val="007D0E9E"/>
    <w:rsid w:val="007D4851"/>
    <w:rsid w:val="007D607F"/>
    <w:rsid w:val="007E3171"/>
    <w:rsid w:val="007E6A27"/>
    <w:rsid w:val="007E6EB7"/>
    <w:rsid w:val="007F07CC"/>
    <w:rsid w:val="007F3FA3"/>
    <w:rsid w:val="007F48B5"/>
    <w:rsid w:val="007F6B3E"/>
    <w:rsid w:val="007F7D5D"/>
    <w:rsid w:val="008179B5"/>
    <w:rsid w:val="00821B8D"/>
    <w:rsid w:val="00825957"/>
    <w:rsid w:val="0083061C"/>
    <w:rsid w:val="00834755"/>
    <w:rsid w:val="008348A2"/>
    <w:rsid w:val="00841744"/>
    <w:rsid w:val="00841957"/>
    <w:rsid w:val="00842431"/>
    <w:rsid w:val="00843BDD"/>
    <w:rsid w:val="00846949"/>
    <w:rsid w:val="00851F12"/>
    <w:rsid w:val="00855C8D"/>
    <w:rsid w:val="008604C8"/>
    <w:rsid w:val="0086641B"/>
    <w:rsid w:val="00866A99"/>
    <w:rsid w:val="00867685"/>
    <w:rsid w:val="00867FC4"/>
    <w:rsid w:val="00874626"/>
    <w:rsid w:val="008853CB"/>
    <w:rsid w:val="00892C62"/>
    <w:rsid w:val="008939AF"/>
    <w:rsid w:val="008A1E18"/>
    <w:rsid w:val="008A5EFF"/>
    <w:rsid w:val="008B267E"/>
    <w:rsid w:val="008B38F6"/>
    <w:rsid w:val="008B7B29"/>
    <w:rsid w:val="008C2DB6"/>
    <w:rsid w:val="008C5FB4"/>
    <w:rsid w:val="008D06B8"/>
    <w:rsid w:val="008D06E2"/>
    <w:rsid w:val="008D217E"/>
    <w:rsid w:val="008D2518"/>
    <w:rsid w:val="008D415A"/>
    <w:rsid w:val="008D670A"/>
    <w:rsid w:val="008E03F3"/>
    <w:rsid w:val="008E0C00"/>
    <w:rsid w:val="008E1D22"/>
    <w:rsid w:val="008E3326"/>
    <w:rsid w:val="008E3C18"/>
    <w:rsid w:val="008E6CAD"/>
    <w:rsid w:val="008F10AC"/>
    <w:rsid w:val="008F1AB3"/>
    <w:rsid w:val="00917590"/>
    <w:rsid w:val="0092126B"/>
    <w:rsid w:val="009236BA"/>
    <w:rsid w:val="0092632F"/>
    <w:rsid w:val="00930D3C"/>
    <w:rsid w:val="00931A6C"/>
    <w:rsid w:val="009343F9"/>
    <w:rsid w:val="00942194"/>
    <w:rsid w:val="00942A40"/>
    <w:rsid w:val="00943F97"/>
    <w:rsid w:val="009447C5"/>
    <w:rsid w:val="00944A6A"/>
    <w:rsid w:val="009525F4"/>
    <w:rsid w:val="00954E28"/>
    <w:rsid w:val="009610E6"/>
    <w:rsid w:val="00963541"/>
    <w:rsid w:val="00963F3C"/>
    <w:rsid w:val="00966F29"/>
    <w:rsid w:val="009675E2"/>
    <w:rsid w:val="0097624F"/>
    <w:rsid w:val="00977DB8"/>
    <w:rsid w:val="009952EB"/>
    <w:rsid w:val="00997A79"/>
    <w:rsid w:val="009A05F6"/>
    <w:rsid w:val="009A3664"/>
    <w:rsid w:val="009A50A4"/>
    <w:rsid w:val="009B10C1"/>
    <w:rsid w:val="009B1499"/>
    <w:rsid w:val="009B1CAD"/>
    <w:rsid w:val="009B5826"/>
    <w:rsid w:val="009C1CFC"/>
    <w:rsid w:val="009C438B"/>
    <w:rsid w:val="009C45B1"/>
    <w:rsid w:val="009C5383"/>
    <w:rsid w:val="009D634A"/>
    <w:rsid w:val="009D7918"/>
    <w:rsid w:val="009E3D04"/>
    <w:rsid w:val="009F0F84"/>
    <w:rsid w:val="00A04FD1"/>
    <w:rsid w:val="00A07C44"/>
    <w:rsid w:val="00A106D8"/>
    <w:rsid w:val="00A12C88"/>
    <w:rsid w:val="00A21222"/>
    <w:rsid w:val="00A229AF"/>
    <w:rsid w:val="00A34505"/>
    <w:rsid w:val="00A419C6"/>
    <w:rsid w:val="00A42435"/>
    <w:rsid w:val="00A446A7"/>
    <w:rsid w:val="00A448ED"/>
    <w:rsid w:val="00A630CE"/>
    <w:rsid w:val="00A7606A"/>
    <w:rsid w:val="00A813FE"/>
    <w:rsid w:val="00A8336F"/>
    <w:rsid w:val="00A8786E"/>
    <w:rsid w:val="00A90F37"/>
    <w:rsid w:val="00A91576"/>
    <w:rsid w:val="00A91C74"/>
    <w:rsid w:val="00A95E2A"/>
    <w:rsid w:val="00AA240C"/>
    <w:rsid w:val="00AB1D0A"/>
    <w:rsid w:val="00AB28FF"/>
    <w:rsid w:val="00AB4068"/>
    <w:rsid w:val="00AB4B93"/>
    <w:rsid w:val="00AD105B"/>
    <w:rsid w:val="00AD11DC"/>
    <w:rsid w:val="00AD4FBA"/>
    <w:rsid w:val="00AE12D4"/>
    <w:rsid w:val="00AE7A57"/>
    <w:rsid w:val="00AF2474"/>
    <w:rsid w:val="00AF2860"/>
    <w:rsid w:val="00AF4731"/>
    <w:rsid w:val="00B1473F"/>
    <w:rsid w:val="00B147F2"/>
    <w:rsid w:val="00B20342"/>
    <w:rsid w:val="00B22E33"/>
    <w:rsid w:val="00B26ED0"/>
    <w:rsid w:val="00B3120B"/>
    <w:rsid w:val="00B33F04"/>
    <w:rsid w:val="00B34445"/>
    <w:rsid w:val="00B34859"/>
    <w:rsid w:val="00B34D3F"/>
    <w:rsid w:val="00B35083"/>
    <w:rsid w:val="00B43B70"/>
    <w:rsid w:val="00B44D3B"/>
    <w:rsid w:val="00B51F25"/>
    <w:rsid w:val="00B54830"/>
    <w:rsid w:val="00B57D59"/>
    <w:rsid w:val="00B66B38"/>
    <w:rsid w:val="00B72393"/>
    <w:rsid w:val="00B77776"/>
    <w:rsid w:val="00B85892"/>
    <w:rsid w:val="00B867B1"/>
    <w:rsid w:val="00B87720"/>
    <w:rsid w:val="00B87A3C"/>
    <w:rsid w:val="00B91620"/>
    <w:rsid w:val="00B93BEB"/>
    <w:rsid w:val="00BA107D"/>
    <w:rsid w:val="00BA6187"/>
    <w:rsid w:val="00BA6448"/>
    <w:rsid w:val="00BA7430"/>
    <w:rsid w:val="00BA7A32"/>
    <w:rsid w:val="00BB4FDD"/>
    <w:rsid w:val="00BB4FF2"/>
    <w:rsid w:val="00BB6601"/>
    <w:rsid w:val="00BC3A09"/>
    <w:rsid w:val="00BC78AE"/>
    <w:rsid w:val="00BD7A95"/>
    <w:rsid w:val="00BE254C"/>
    <w:rsid w:val="00BE67D3"/>
    <w:rsid w:val="00BF1DCA"/>
    <w:rsid w:val="00BF5BA6"/>
    <w:rsid w:val="00BF61D2"/>
    <w:rsid w:val="00C0144B"/>
    <w:rsid w:val="00C0276B"/>
    <w:rsid w:val="00C0276D"/>
    <w:rsid w:val="00C02EA4"/>
    <w:rsid w:val="00C063F5"/>
    <w:rsid w:val="00C07890"/>
    <w:rsid w:val="00C2147A"/>
    <w:rsid w:val="00C303CD"/>
    <w:rsid w:val="00C31F03"/>
    <w:rsid w:val="00C410C6"/>
    <w:rsid w:val="00C45470"/>
    <w:rsid w:val="00C47061"/>
    <w:rsid w:val="00C501F6"/>
    <w:rsid w:val="00C50420"/>
    <w:rsid w:val="00C57718"/>
    <w:rsid w:val="00C61F3E"/>
    <w:rsid w:val="00C61F94"/>
    <w:rsid w:val="00C6322A"/>
    <w:rsid w:val="00C652CF"/>
    <w:rsid w:val="00C65D43"/>
    <w:rsid w:val="00C66E7C"/>
    <w:rsid w:val="00C73BDF"/>
    <w:rsid w:val="00C75CCF"/>
    <w:rsid w:val="00C7752B"/>
    <w:rsid w:val="00C77F06"/>
    <w:rsid w:val="00C804BE"/>
    <w:rsid w:val="00C85FFB"/>
    <w:rsid w:val="00C87457"/>
    <w:rsid w:val="00C95225"/>
    <w:rsid w:val="00C956BD"/>
    <w:rsid w:val="00CA550D"/>
    <w:rsid w:val="00CA59BF"/>
    <w:rsid w:val="00CB28AA"/>
    <w:rsid w:val="00CB5732"/>
    <w:rsid w:val="00CB7D0D"/>
    <w:rsid w:val="00CC057E"/>
    <w:rsid w:val="00CC5551"/>
    <w:rsid w:val="00CC6FAA"/>
    <w:rsid w:val="00CD2E97"/>
    <w:rsid w:val="00CD772F"/>
    <w:rsid w:val="00CE05EE"/>
    <w:rsid w:val="00CE476C"/>
    <w:rsid w:val="00CE5374"/>
    <w:rsid w:val="00CF08A4"/>
    <w:rsid w:val="00CF14D9"/>
    <w:rsid w:val="00CF69AC"/>
    <w:rsid w:val="00D017C3"/>
    <w:rsid w:val="00D048FB"/>
    <w:rsid w:val="00D064E6"/>
    <w:rsid w:val="00D149E4"/>
    <w:rsid w:val="00D2012D"/>
    <w:rsid w:val="00D201DB"/>
    <w:rsid w:val="00D22C76"/>
    <w:rsid w:val="00D44FC0"/>
    <w:rsid w:val="00D51EA8"/>
    <w:rsid w:val="00D617E0"/>
    <w:rsid w:val="00D61924"/>
    <w:rsid w:val="00D62180"/>
    <w:rsid w:val="00D64CBF"/>
    <w:rsid w:val="00D730C3"/>
    <w:rsid w:val="00D76155"/>
    <w:rsid w:val="00D764CA"/>
    <w:rsid w:val="00D8495C"/>
    <w:rsid w:val="00D91390"/>
    <w:rsid w:val="00D92CBC"/>
    <w:rsid w:val="00DA5346"/>
    <w:rsid w:val="00DA7969"/>
    <w:rsid w:val="00DB2039"/>
    <w:rsid w:val="00DB27D4"/>
    <w:rsid w:val="00DB5340"/>
    <w:rsid w:val="00DC4525"/>
    <w:rsid w:val="00DC483B"/>
    <w:rsid w:val="00DD78EB"/>
    <w:rsid w:val="00DE3256"/>
    <w:rsid w:val="00DE77C7"/>
    <w:rsid w:val="00DE794C"/>
    <w:rsid w:val="00DF4866"/>
    <w:rsid w:val="00DF5D9D"/>
    <w:rsid w:val="00DF73D5"/>
    <w:rsid w:val="00E03241"/>
    <w:rsid w:val="00E07FAA"/>
    <w:rsid w:val="00E147CB"/>
    <w:rsid w:val="00E22509"/>
    <w:rsid w:val="00E22BB5"/>
    <w:rsid w:val="00E26EFB"/>
    <w:rsid w:val="00E30F3E"/>
    <w:rsid w:val="00E32C4A"/>
    <w:rsid w:val="00E36164"/>
    <w:rsid w:val="00E4223C"/>
    <w:rsid w:val="00E43EEE"/>
    <w:rsid w:val="00E45203"/>
    <w:rsid w:val="00E52553"/>
    <w:rsid w:val="00E57DD7"/>
    <w:rsid w:val="00E706AE"/>
    <w:rsid w:val="00E71375"/>
    <w:rsid w:val="00E71C49"/>
    <w:rsid w:val="00E7210A"/>
    <w:rsid w:val="00E723E0"/>
    <w:rsid w:val="00E84774"/>
    <w:rsid w:val="00E875FC"/>
    <w:rsid w:val="00E87E2D"/>
    <w:rsid w:val="00E90DD2"/>
    <w:rsid w:val="00E91BB6"/>
    <w:rsid w:val="00E93385"/>
    <w:rsid w:val="00E9412E"/>
    <w:rsid w:val="00E95A1A"/>
    <w:rsid w:val="00EB38DE"/>
    <w:rsid w:val="00ED0402"/>
    <w:rsid w:val="00ED2CF3"/>
    <w:rsid w:val="00ED34B5"/>
    <w:rsid w:val="00ED36BF"/>
    <w:rsid w:val="00ED3C4C"/>
    <w:rsid w:val="00EE65DD"/>
    <w:rsid w:val="00EF06ED"/>
    <w:rsid w:val="00F02E26"/>
    <w:rsid w:val="00F07178"/>
    <w:rsid w:val="00F14425"/>
    <w:rsid w:val="00F164CF"/>
    <w:rsid w:val="00F23F60"/>
    <w:rsid w:val="00F25AA1"/>
    <w:rsid w:val="00F25F28"/>
    <w:rsid w:val="00F322DF"/>
    <w:rsid w:val="00F41582"/>
    <w:rsid w:val="00F41C14"/>
    <w:rsid w:val="00F44A49"/>
    <w:rsid w:val="00F50DD9"/>
    <w:rsid w:val="00F52E0E"/>
    <w:rsid w:val="00F56BA5"/>
    <w:rsid w:val="00F6335F"/>
    <w:rsid w:val="00F63DA1"/>
    <w:rsid w:val="00F66E37"/>
    <w:rsid w:val="00F77C8D"/>
    <w:rsid w:val="00F81A83"/>
    <w:rsid w:val="00F858A3"/>
    <w:rsid w:val="00F93FD6"/>
    <w:rsid w:val="00F97852"/>
    <w:rsid w:val="00F97873"/>
    <w:rsid w:val="00FA5CD7"/>
    <w:rsid w:val="00FA63BB"/>
    <w:rsid w:val="00FB039D"/>
    <w:rsid w:val="00FB3204"/>
    <w:rsid w:val="00FB4143"/>
    <w:rsid w:val="00FC0206"/>
    <w:rsid w:val="00FC0FFE"/>
    <w:rsid w:val="00FC3B64"/>
    <w:rsid w:val="00FC78DC"/>
    <w:rsid w:val="00FD5522"/>
    <w:rsid w:val="00FE3AF5"/>
    <w:rsid w:val="00FE3AFC"/>
    <w:rsid w:val="00FE4A7B"/>
    <w:rsid w:val="00FF4A49"/>
    <w:rsid w:val="00FF5EF3"/>
    <w:rsid w:val="00FF628B"/>
    <w:rsid w:val="00FF6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AutoShape 54"/>
        <o:r id="V:Rule2" type="connector" idref="#_x0000_s1026"/>
      </o:rules>
    </o:shapelayout>
  </w:shapeDefaults>
  <w:decimalSymbol w:val="."/>
  <w:listSeparator w:val=";"/>
  <w14:docId w14:val="7F75CA35"/>
  <w15:docId w15:val="{BB311519-94F5-4671-846E-3FE9E289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DFF"/>
  </w:style>
  <w:style w:type="paragraph" w:styleId="Heading1">
    <w:name w:val="heading 1"/>
    <w:basedOn w:val="Normal"/>
    <w:next w:val="Normal"/>
    <w:link w:val="Heading1Char"/>
    <w:uiPriority w:val="9"/>
    <w:qFormat/>
    <w:rsid w:val="00355DEB"/>
    <w:pPr>
      <w:keepNext/>
      <w:keepLines/>
      <w:spacing w:after="0" w:line="240" w:lineRule="auto"/>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55DEB"/>
    <w:pPr>
      <w:keepNext/>
      <w:keepLines/>
      <w:spacing w:after="0" w:line="240" w:lineRule="auto"/>
      <w:jc w:val="both"/>
      <w:outlineLvl w:val="1"/>
    </w:pPr>
    <w:rPr>
      <w:rFonts w:ascii="Arial" w:eastAsiaTheme="majorEastAsia" w:hAnsi="Arial"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A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A09"/>
  </w:style>
  <w:style w:type="paragraph" w:styleId="Footer">
    <w:name w:val="footer"/>
    <w:basedOn w:val="Normal"/>
    <w:link w:val="FooterChar"/>
    <w:uiPriority w:val="99"/>
    <w:unhideWhenUsed/>
    <w:rsid w:val="00BC3A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A09"/>
  </w:style>
  <w:style w:type="character" w:styleId="Hyperlink">
    <w:name w:val="Hyperlink"/>
    <w:basedOn w:val="DefaultParagraphFont"/>
    <w:uiPriority w:val="99"/>
    <w:rsid w:val="00BD7A95"/>
    <w:rPr>
      <w:color w:val="FF0080"/>
      <w:u w:val="single"/>
    </w:rPr>
  </w:style>
  <w:style w:type="paragraph" w:styleId="BalloonText">
    <w:name w:val="Balloon Text"/>
    <w:basedOn w:val="Normal"/>
    <w:link w:val="BalloonTextChar"/>
    <w:uiPriority w:val="99"/>
    <w:semiHidden/>
    <w:unhideWhenUsed/>
    <w:rsid w:val="002B2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BC"/>
    <w:rPr>
      <w:rFonts w:ascii="Tahoma" w:hAnsi="Tahoma" w:cs="Tahoma"/>
      <w:sz w:val="16"/>
      <w:szCs w:val="16"/>
    </w:rPr>
  </w:style>
  <w:style w:type="paragraph" w:styleId="NoSpacing">
    <w:name w:val="No Spacing"/>
    <w:link w:val="NoSpacingChar"/>
    <w:uiPriority w:val="1"/>
    <w:qFormat/>
    <w:rsid w:val="00D048FB"/>
    <w:pPr>
      <w:spacing w:after="0" w:line="240" w:lineRule="auto"/>
    </w:pPr>
  </w:style>
  <w:style w:type="character" w:customStyle="1" w:styleId="NoSpacingChar">
    <w:name w:val="No Spacing Char"/>
    <w:basedOn w:val="DefaultParagraphFont"/>
    <w:link w:val="NoSpacing"/>
    <w:uiPriority w:val="1"/>
    <w:rsid w:val="00D048FB"/>
  </w:style>
  <w:style w:type="table" w:styleId="TableGrid">
    <w:name w:val="Table Grid"/>
    <w:basedOn w:val="TableNormal"/>
    <w:uiPriority w:val="39"/>
    <w:rsid w:val="00592D54"/>
    <w:pPr>
      <w:spacing w:after="0" w:line="240" w:lineRule="auto"/>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92D54"/>
    <w:pPr>
      <w:ind w:left="720"/>
      <w:contextualSpacing/>
    </w:pPr>
  </w:style>
  <w:style w:type="table" w:customStyle="1" w:styleId="TableGrid1">
    <w:name w:val="Table Grid1"/>
    <w:basedOn w:val="TableNormal"/>
    <w:next w:val="TableGrid"/>
    <w:uiPriority w:val="59"/>
    <w:rsid w:val="00DE325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Head">
    <w:name w:val="Refer Head"/>
    <w:basedOn w:val="Normal"/>
    <w:rsid w:val="001C1263"/>
    <w:pPr>
      <w:keepNext/>
      <w:spacing w:after="240" w:line="240" w:lineRule="auto"/>
    </w:pPr>
    <w:rPr>
      <w:rFonts w:ascii="Helvetica" w:eastAsia="Times New Roman" w:hAnsi="Helvetica" w:cs="Times New Roman"/>
      <w:b/>
      <w:caps/>
      <w:szCs w:val="20"/>
    </w:rPr>
  </w:style>
  <w:style w:type="paragraph" w:styleId="DocumentMap">
    <w:name w:val="Document Map"/>
    <w:basedOn w:val="Normal"/>
    <w:link w:val="DocumentMapChar"/>
    <w:uiPriority w:val="99"/>
    <w:semiHidden/>
    <w:unhideWhenUsed/>
    <w:rsid w:val="000102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102C3"/>
    <w:rPr>
      <w:rFonts w:ascii="Tahoma" w:hAnsi="Tahoma" w:cs="Tahoma"/>
      <w:sz w:val="16"/>
      <w:szCs w:val="16"/>
    </w:rPr>
  </w:style>
  <w:style w:type="character" w:customStyle="1" w:styleId="topic-highlight">
    <w:name w:val="topic-highlight"/>
    <w:basedOn w:val="DefaultParagraphFont"/>
    <w:rsid w:val="003676B0"/>
  </w:style>
  <w:style w:type="paragraph" w:styleId="NormalWeb">
    <w:name w:val="Normal (Web)"/>
    <w:basedOn w:val="Normal"/>
    <w:link w:val="NormalWebChar"/>
    <w:uiPriority w:val="99"/>
    <w:unhideWhenUsed/>
    <w:rsid w:val="00095E5E"/>
    <w:rPr>
      <w:rFonts w:ascii="Times New Roman" w:hAnsi="Times New Roman" w:cs="Times New Roman"/>
      <w:sz w:val="24"/>
      <w:szCs w:val="24"/>
    </w:rPr>
  </w:style>
  <w:style w:type="character" w:customStyle="1" w:styleId="Heading1Char">
    <w:name w:val="Heading 1 Char"/>
    <w:basedOn w:val="DefaultParagraphFont"/>
    <w:link w:val="Heading1"/>
    <w:uiPriority w:val="9"/>
    <w:rsid w:val="00355DEB"/>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55DEB"/>
    <w:rPr>
      <w:rFonts w:ascii="Arial" w:eastAsiaTheme="majorEastAsia" w:hAnsi="Arial" w:cstheme="majorBidi"/>
      <w:b/>
      <w:bCs/>
      <w:szCs w:val="26"/>
    </w:rPr>
  </w:style>
  <w:style w:type="numbering" w:customStyle="1" w:styleId="NoList1">
    <w:name w:val="No List1"/>
    <w:next w:val="NoList"/>
    <w:uiPriority w:val="99"/>
    <w:semiHidden/>
    <w:unhideWhenUsed/>
    <w:rsid w:val="00070BB0"/>
  </w:style>
  <w:style w:type="table" w:customStyle="1" w:styleId="TableGrid2">
    <w:name w:val="Table Grid2"/>
    <w:basedOn w:val="TableNormal"/>
    <w:next w:val="TableGrid"/>
    <w:uiPriority w:val="59"/>
    <w:rsid w:val="00070BB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070BB0"/>
  </w:style>
  <w:style w:type="paragraph" w:customStyle="1" w:styleId="CommentText1">
    <w:name w:val="Comment Text1"/>
    <w:basedOn w:val="Normal"/>
    <w:next w:val="CommentText"/>
    <w:link w:val="CommentTextChar"/>
    <w:uiPriority w:val="99"/>
    <w:unhideWhenUsed/>
    <w:rsid w:val="00070BB0"/>
    <w:pPr>
      <w:spacing w:after="0" w:line="240" w:lineRule="auto"/>
    </w:pPr>
    <w:rPr>
      <w:rFonts w:ascii="Calibri" w:eastAsia="MS Mincho" w:hAnsi="Calibri" w:cs="Arial"/>
      <w:sz w:val="20"/>
      <w:szCs w:val="20"/>
      <w:lang w:val="en-NZ"/>
    </w:rPr>
  </w:style>
  <w:style w:type="character" w:customStyle="1" w:styleId="CommentTextChar">
    <w:name w:val="Comment Text Char"/>
    <w:link w:val="CommentText1"/>
    <w:uiPriority w:val="99"/>
    <w:rsid w:val="00070BB0"/>
    <w:rPr>
      <w:rFonts w:ascii="Calibri" w:eastAsia="MS Mincho" w:hAnsi="Calibri" w:cs="Arial"/>
      <w:sz w:val="20"/>
      <w:szCs w:val="20"/>
      <w:lang w:val="en-NZ"/>
    </w:rPr>
  </w:style>
  <w:style w:type="character" w:styleId="CommentReference">
    <w:name w:val="annotation reference"/>
    <w:uiPriority w:val="99"/>
    <w:semiHidden/>
    <w:unhideWhenUsed/>
    <w:rsid w:val="00070BB0"/>
    <w:rPr>
      <w:sz w:val="16"/>
      <w:szCs w:val="16"/>
    </w:rPr>
  </w:style>
  <w:style w:type="character" w:customStyle="1" w:styleId="readz-c12">
    <w:name w:val="readz-c12"/>
    <w:basedOn w:val="DefaultParagraphFont"/>
    <w:rsid w:val="00070BB0"/>
  </w:style>
  <w:style w:type="character" w:customStyle="1" w:styleId="hgkelc">
    <w:name w:val="hgkelc"/>
    <w:basedOn w:val="DefaultParagraphFont"/>
    <w:rsid w:val="00070BB0"/>
  </w:style>
  <w:style w:type="paragraph" w:customStyle="1" w:styleId="CommentSubject1">
    <w:name w:val="Comment Subject1"/>
    <w:basedOn w:val="CommentText"/>
    <w:next w:val="CommentText"/>
    <w:uiPriority w:val="99"/>
    <w:semiHidden/>
    <w:unhideWhenUsed/>
    <w:rsid w:val="00070BB0"/>
  </w:style>
  <w:style w:type="character" w:customStyle="1" w:styleId="CommentSubjectChar">
    <w:name w:val="Comment Subject Char"/>
    <w:link w:val="CommentSubject"/>
    <w:uiPriority w:val="99"/>
    <w:semiHidden/>
    <w:rsid w:val="00070BB0"/>
    <w:rPr>
      <w:b/>
      <w:sz w:val="20"/>
      <w:szCs w:val="20"/>
    </w:rPr>
  </w:style>
  <w:style w:type="paragraph" w:customStyle="1" w:styleId="Bibliography1">
    <w:name w:val="Bibliography1"/>
    <w:basedOn w:val="Normal"/>
    <w:next w:val="Normal"/>
    <w:uiPriority w:val="37"/>
    <w:unhideWhenUsed/>
    <w:rsid w:val="00070BB0"/>
    <w:pPr>
      <w:tabs>
        <w:tab w:val="left" w:pos="624"/>
      </w:tabs>
      <w:spacing w:after="240" w:line="240" w:lineRule="auto"/>
      <w:ind w:left="624" w:hanging="624"/>
    </w:pPr>
    <w:rPr>
      <w:rFonts w:ascii="Times New Roman" w:eastAsia="Calibri" w:hAnsi="Times New Roman" w:cs="Times New Roman"/>
      <w:sz w:val="24"/>
      <w:szCs w:val="24"/>
      <w:lang w:val="en-NZ"/>
    </w:rPr>
  </w:style>
  <w:style w:type="character" w:customStyle="1" w:styleId="UnresolvedMention1">
    <w:name w:val="Unresolved Mention1"/>
    <w:uiPriority w:val="99"/>
    <w:semiHidden/>
    <w:unhideWhenUsed/>
    <w:rsid w:val="00070BB0"/>
    <w:rPr>
      <w:color w:val="605E5C"/>
      <w:shd w:val="clear" w:color="auto" w:fill="E1DFDD"/>
    </w:rPr>
  </w:style>
  <w:style w:type="paragraph" w:customStyle="1" w:styleId="Revision1">
    <w:name w:val="Revision1"/>
    <w:next w:val="Revision"/>
    <w:hidden/>
    <w:uiPriority w:val="99"/>
    <w:semiHidden/>
    <w:rsid w:val="00070BB0"/>
    <w:pPr>
      <w:spacing w:after="0" w:line="240" w:lineRule="auto"/>
    </w:pPr>
    <w:rPr>
      <w:rFonts w:ascii="Times New Roman" w:eastAsia="Calibri" w:hAnsi="Times New Roman" w:cs="Times New Roman"/>
      <w:sz w:val="24"/>
      <w:szCs w:val="24"/>
      <w:lang w:val="en-NZ"/>
    </w:rPr>
  </w:style>
  <w:style w:type="character" w:styleId="LineNumber">
    <w:name w:val="line number"/>
    <w:basedOn w:val="DefaultParagraphFont"/>
    <w:uiPriority w:val="99"/>
    <w:semiHidden/>
    <w:unhideWhenUsed/>
    <w:rsid w:val="00070BB0"/>
  </w:style>
  <w:style w:type="paragraph" w:customStyle="1" w:styleId="Body">
    <w:name w:val="Body"/>
    <w:basedOn w:val="Normal"/>
    <w:rsid w:val="00070BB0"/>
    <w:pPr>
      <w:spacing w:after="240" w:line="240" w:lineRule="auto"/>
      <w:jc w:val="both"/>
    </w:pPr>
    <w:rPr>
      <w:rFonts w:ascii="Helvetica" w:eastAsia="Times New Roman" w:hAnsi="Helvetica" w:cs="Times New Roman"/>
      <w:bCs/>
      <w:sz w:val="20"/>
      <w:szCs w:val="20"/>
      <w:lang w:val="en-NZ"/>
    </w:rPr>
  </w:style>
  <w:style w:type="paragraph" w:customStyle="1" w:styleId="Default">
    <w:name w:val="Default"/>
    <w:rsid w:val="00070BB0"/>
    <w:pPr>
      <w:autoSpaceDE w:val="0"/>
      <w:autoSpaceDN w:val="0"/>
      <w:adjustRightInd w:val="0"/>
      <w:spacing w:after="0" w:line="240" w:lineRule="auto"/>
    </w:pPr>
    <w:rPr>
      <w:rFonts w:ascii="Arial" w:eastAsia="Calibri" w:hAnsi="Arial" w:cs="Arial"/>
      <w:color w:val="000000"/>
      <w:sz w:val="24"/>
      <w:szCs w:val="24"/>
      <w:lang w:val="en-NZ"/>
    </w:rPr>
  </w:style>
  <w:style w:type="paragraph" w:customStyle="1" w:styleId="FootnoteText1">
    <w:name w:val="Footnote Text1"/>
    <w:basedOn w:val="Normal"/>
    <w:next w:val="FootnoteText"/>
    <w:link w:val="FootnoteTextChar"/>
    <w:uiPriority w:val="99"/>
    <w:semiHidden/>
    <w:unhideWhenUsed/>
    <w:rsid w:val="00070BB0"/>
    <w:pPr>
      <w:spacing w:after="0" w:line="240" w:lineRule="auto"/>
    </w:pPr>
    <w:rPr>
      <w:rFonts w:ascii="Calibri" w:eastAsia="MS Mincho" w:hAnsi="Calibri" w:cs="Arial"/>
      <w:sz w:val="20"/>
      <w:szCs w:val="20"/>
      <w:lang w:val="en-NZ"/>
    </w:rPr>
  </w:style>
  <w:style w:type="character" w:customStyle="1" w:styleId="FootnoteTextChar">
    <w:name w:val="Footnote Text Char"/>
    <w:link w:val="FootnoteText1"/>
    <w:uiPriority w:val="99"/>
    <w:semiHidden/>
    <w:rsid w:val="00070BB0"/>
    <w:rPr>
      <w:rFonts w:ascii="Calibri" w:eastAsia="MS Mincho" w:hAnsi="Calibri" w:cs="Arial"/>
      <w:sz w:val="20"/>
      <w:szCs w:val="20"/>
      <w:lang w:val="en-NZ"/>
    </w:rPr>
  </w:style>
  <w:style w:type="character" w:styleId="FootnoteReference">
    <w:name w:val="footnote reference"/>
    <w:uiPriority w:val="99"/>
    <w:semiHidden/>
    <w:unhideWhenUsed/>
    <w:rsid w:val="00070BB0"/>
    <w:rPr>
      <w:vertAlign w:val="superscript"/>
    </w:rPr>
  </w:style>
  <w:style w:type="paragraph" w:styleId="CommentText">
    <w:name w:val="annotation text"/>
    <w:basedOn w:val="Normal"/>
    <w:link w:val="CommentTextChar1"/>
    <w:uiPriority w:val="99"/>
    <w:semiHidden/>
    <w:unhideWhenUsed/>
    <w:rsid w:val="00070BB0"/>
    <w:pPr>
      <w:spacing w:line="240" w:lineRule="auto"/>
    </w:pPr>
    <w:rPr>
      <w:rFonts w:ascii="Calibri" w:eastAsia="MS Mincho" w:hAnsi="Calibri" w:cs="Arial"/>
      <w:sz w:val="20"/>
      <w:szCs w:val="20"/>
      <w:lang w:val="en-NZ"/>
    </w:rPr>
  </w:style>
  <w:style w:type="character" w:customStyle="1" w:styleId="CommentTextChar1">
    <w:name w:val="Comment Text Char1"/>
    <w:basedOn w:val="DefaultParagraphFont"/>
    <w:link w:val="CommentText"/>
    <w:uiPriority w:val="99"/>
    <w:semiHidden/>
    <w:rsid w:val="00070BB0"/>
    <w:rPr>
      <w:rFonts w:ascii="Calibri" w:eastAsia="MS Mincho" w:hAnsi="Calibri" w:cs="Arial"/>
      <w:sz w:val="20"/>
      <w:szCs w:val="20"/>
      <w:lang w:val="en-NZ"/>
    </w:rPr>
  </w:style>
  <w:style w:type="paragraph" w:styleId="CommentSubject">
    <w:name w:val="annotation subject"/>
    <w:basedOn w:val="CommentText"/>
    <w:next w:val="CommentText"/>
    <w:link w:val="CommentSubjectChar"/>
    <w:uiPriority w:val="99"/>
    <w:semiHidden/>
    <w:unhideWhenUsed/>
    <w:rsid w:val="00070BB0"/>
    <w:rPr>
      <w:rFonts w:asciiTheme="minorHAnsi" w:eastAsiaTheme="minorEastAsia" w:hAnsiTheme="minorHAnsi" w:cstheme="minorBidi"/>
      <w:b/>
      <w:lang w:val="en-US"/>
    </w:rPr>
  </w:style>
  <w:style w:type="character" w:customStyle="1" w:styleId="CommentSubjectChar1">
    <w:name w:val="Comment Subject Char1"/>
    <w:basedOn w:val="CommentTextChar1"/>
    <w:uiPriority w:val="99"/>
    <w:semiHidden/>
    <w:rsid w:val="00070BB0"/>
    <w:rPr>
      <w:rFonts w:ascii="Calibri" w:eastAsia="MS Mincho" w:hAnsi="Calibri" w:cs="Arial"/>
      <w:b/>
      <w:bCs/>
      <w:sz w:val="20"/>
      <w:szCs w:val="20"/>
      <w:lang w:val="en-NZ"/>
    </w:rPr>
  </w:style>
  <w:style w:type="paragraph" w:styleId="Revision">
    <w:name w:val="Revision"/>
    <w:hidden/>
    <w:uiPriority w:val="99"/>
    <w:semiHidden/>
    <w:rsid w:val="00070BB0"/>
    <w:pPr>
      <w:spacing w:after="0" w:line="240" w:lineRule="auto"/>
    </w:pPr>
    <w:rPr>
      <w:rFonts w:ascii="Calibri" w:eastAsia="MS Mincho" w:hAnsi="Calibri" w:cs="Arial"/>
    </w:rPr>
  </w:style>
  <w:style w:type="paragraph" w:styleId="FootnoteText">
    <w:name w:val="footnote text"/>
    <w:basedOn w:val="Normal"/>
    <w:link w:val="FootnoteTextChar1"/>
    <w:uiPriority w:val="99"/>
    <w:semiHidden/>
    <w:unhideWhenUsed/>
    <w:rsid w:val="00070BB0"/>
    <w:pPr>
      <w:spacing w:after="0" w:line="240" w:lineRule="auto"/>
    </w:pPr>
    <w:rPr>
      <w:rFonts w:ascii="Calibri" w:eastAsia="MS Mincho" w:hAnsi="Calibri" w:cs="Arial"/>
      <w:sz w:val="20"/>
      <w:szCs w:val="20"/>
      <w:lang w:val="en-NZ"/>
    </w:rPr>
  </w:style>
  <w:style w:type="character" w:customStyle="1" w:styleId="FootnoteTextChar1">
    <w:name w:val="Footnote Text Char1"/>
    <w:basedOn w:val="DefaultParagraphFont"/>
    <w:link w:val="FootnoteText"/>
    <w:uiPriority w:val="99"/>
    <w:semiHidden/>
    <w:rsid w:val="00070BB0"/>
    <w:rPr>
      <w:rFonts w:ascii="Calibri" w:eastAsia="MS Mincho" w:hAnsi="Calibri" w:cs="Arial"/>
      <w:sz w:val="20"/>
      <w:szCs w:val="20"/>
      <w:lang w:val="en-NZ"/>
    </w:rPr>
  </w:style>
  <w:style w:type="paragraph" w:customStyle="1" w:styleId="va-top">
    <w:name w:val="va-top"/>
    <w:basedOn w:val="Normal"/>
    <w:rsid w:val="00070BB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UnresolvedMention2">
    <w:name w:val="Unresolved Mention2"/>
    <w:uiPriority w:val="99"/>
    <w:semiHidden/>
    <w:unhideWhenUsed/>
    <w:rsid w:val="00070BB0"/>
    <w:rPr>
      <w:color w:val="605E5C"/>
      <w:shd w:val="clear" w:color="auto" w:fill="E1DFDD"/>
    </w:rPr>
  </w:style>
  <w:style w:type="paragraph" w:styleId="Bibliography">
    <w:name w:val="Bibliography"/>
    <w:basedOn w:val="Normal"/>
    <w:next w:val="Normal"/>
    <w:uiPriority w:val="37"/>
    <w:unhideWhenUsed/>
    <w:rsid w:val="00070BB0"/>
    <w:rPr>
      <w:rFonts w:ascii="Calibri" w:eastAsia="MS Mincho" w:hAnsi="Calibri" w:cs="Arial"/>
      <w:lang w:val="en-NZ"/>
    </w:rPr>
  </w:style>
  <w:style w:type="paragraph" w:customStyle="1" w:styleId="TableStyle2A">
    <w:name w:val="Table Style 2 A"/>
    <w:rsid w:val="00070BB0"/>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lang w:eastAsia="en-GB"/>
    </w:rPr>
  </w:style>
  <w:style w:type="paragraph" w:customStyle="1" w:styleId="nova-legacy-e-listitem">
    <w:name w:val="nova-legacy-e-list__item"/>
    <w:basedOn w:val="Normal"/>
    <w:rsid w:val="00070BB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numbering" w:customStyle="1" w:styleId="NoList2">
    <w:name w:val="No List2"/>
    <w:next w:val="NoList"/>
    <w:uiPriority w:val="99"/>
    <w:semiHidden/>
    <w:unhideWhenUsed/>
    <w:rsid w:val="00070BB0"/>
  </w:style>
  <w:style w:type="table" w:customStyle="1" w:styleId="TableGrid3">
    <w:name w:val="Table Grid3"/>
    <w:basedOn w:val="TableNormal"/>
    <w:next w:val="TableGrid"/>
    <w:uiPriority w:val="59"/>
    <w:rsid w:val="00070BB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070BB0"/>
  </w:style>
  <w:style w:type="paragraph" w:customStyle="1" w:styleId="FrameContents">
    <w:name w:val="Frame Contents"/>
    <w:basedOn w:val="Normal"/>
    <w:qFormat/>
    <w:rsid w:val="00A448ED"/>
  </w:style>
  <w:style w:type="character" w:customStyle="1" w:styleId="NormalWebChar">
    <w:name w:val="Normal (Web) Char"/>
    <w:basedOn w:val="DefaultParagraphFont"/>
    <w:link w:val="NormalWeb"/>
    <w:uiPriority w:val="99"/>
    <w:rsid w:val="00FA63BB"/>
    <w:rPr>
      <w:rFonts w:ascii="Times New Roman" w:hAnsi="Times New Roman" w:cs="Times New Roman"/>
      <w:sz w:val="24"/>
      <w:szCs w:val="24"/>
    </w:rPr>
  </w:style>
  <w:style w:type="character" w:styleId="Strong">
    <w:name w:val="Strong"/>
    <w:basedOn w:val="DefaultParagraphFont"/>
    <w:uiPriority w:val="22"/>
    <w:qFormat/>
    <w:rsid w:val="00075156"/>
    <w:rPr>
      <w:b/>
      <w:bCs/>
    </w:rPr>
  </w:style>
  <w:style w:type="character" w:styleId="Emphasis">
    <w:name w:val="Emphasis"/>
    <w:basedOn w:val="DefaultParagraphFont"/>
    <w:uiPriority w:val="20"/>
    <w:qFormat/>
    <w:rsid w:val="00075156"/>
    <w:rPr>
      <w:i/>
      <w:iCs/>
    </w:rPr>
  </w:style>
  <w:style w:type="paragraph" w:styleId="BodyText">
    <w:name w:val="Body Text"/>
    <w:basedOn w:val="Normal"/>
    <w:link w:val="BodyTextChar"/>
    <w:uiPriority w:val="1"/>
    <w:qFormat/>
    <w:rsid w:val="00ED34B5"/>
    <w:pPr>
      <w:widowControl w:val="0"/>
      <w:autoSpaceDE w:val="0"/>
      <w:autoSpaceDN w:val="0"/>
      <w:spacing w:after="0" w:line="240" w:lineRule="auto"/>
    </w:pPr>
    <w:rPr>
      <w:rFonts w:ascii="Times New Roman" w:eastAsia="Times New Roman" w:hAnsi="Times New Roman" w:cs="Times New Roman"/>
      <w:sz w:val="24"/>
      <w:szCs w:val="24"/>
      <w:lang w:val="fr-FR"/>
    </w:rPr>
  </w:style>
  <w:style w:type="character" w:customStyle="1" w:styleId="BodyTextChar">
    <w:name w:val="Body Text Char"/>
    <w:basedOn w:val="DefaultParagraphFont"/>
    <w:link w:val="BodyText"/>
    <w:uiPriority w:val="1"/>
    <w:rsid w:val="00ED34B5"/>
    <w:rPr>
      <w:rFonts w:ascii="Times New Roman" w:eastAsia="Times New Roman" w:hAnsi="Times New Roman" w:cs="Times New Roman"/>
      <w:sz w:val="24"/>
      <w:szCs w:val="24"/>
      <w:lang w:val="fr-FR"/>
    </w:rPr>
  </w:style>
  <w:style w:type="table" w:customStyle="1" w:styleId="TableNormal1">
    <w:name w:val="Table Normal1"/>
    <w:uiPriority w:val="2"/>
    <w:semiHidden/>
    <w:unhideWhenUsed/>
    <w:qFormat/>
    <w:rsid w:val="00997A79"/>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97A79"/>
    <w:pPr>
      <w:widowControl w:val="0"/>
      <w:autoSpaceDE w:val="0"/>
      <w:autoSpaceDN w:val="0"/>
      <w:spacing w:after="0" w:line="240" w:lineRule="auto"/>
      <w:ind w:left="107"/>
    </w:pPr>
    <w:rPr>
      <w:rFonts w:ascii="Times New Roman" w:eastAsia="Times New Roman" w:hAnsi="Times New Roman" w:cs="Times New Roman"/>
      <w:lang w:val="fr-FR"/>
    </w:rPr>
  </w:style>
  <w:style w:type="paragraph" w:customStyle="1" w:styleId="EndNoteBibliographyTitle">
    <w:name w:val="EndNote Bibliography Title"/>
    <w:basedOn w:val="Normal"/>
    <w:link w:val="EndNoteBibliographyTitleCar"/>
    <w:rsid w:val="00AE12D4"/>
    <w:pPr>
      <w:spacing w:after="0"/>
      <w:jc w:val="center"/>
    </w:pPr>
    <w:rPr>
      <w:rFonts w:ascii="Calibri" w:hAnsi="Calibri" w:cs="Calibri"/>
      <w:noProof/>
    </w:rPr>
  </w:style>
  <w:style w:type="character" w:customStyle="1" w:styleId="EndNoteBibliographyTitleCar">
    <w:name w:val="EndNote Bibliography Title Car"/>
    <w:basedOn w:val="DefaultParagraphFont"/>
    <w:link w:val="EndNoteBibliographyTitle"/>
    <w:rsid w:val="00AE12D4"/>
    <w:rPr>
      <w:rFonts w:ascii="Calibri" w:hAnsi="Calibri" w:cs="Calibri"/>
      <w:noProof/>
    </w:rPr>
  </w:style>
  <w:style w:type="paragraph" w:customStyle="1" w:styleId="EndNoteBibliography">
    <w:name w:val="EndNote Bibliography"/>
    <w:basedOn w:val="Normal"/>
    <w:link w:val="EndNoteBibliographyCar"/>
    <w:rsid w:val="00AE12D4"/>
    <w:pPr>
      <w:spacing w:line="240" w:lineRule="auto"/>
      <w:jc w:val="both"/>
    </w:pPr>
    <w:rPr>
      <w:rFonts w:ascii="Calibri" w:hAnsi="Calibri" w:cs="Calibri"/>
      <w:noProof/>
    </w:rPr>
  </w:style>
  <w:style w:type="character" w:customStyle="1" w:styleId="EndNoteBibliographyCar">
    <w:name w:val="EndNote Bibliography Car"/>
    <w:basedOn w:val="DefaultParagraphFont"/>
    <w:link w:val="EndNoteBibliography"/>
    <w:rsid w:val="00AE12D4"/>
    <w:rPr>
      <w:rFonts w:ascii="Calibri" w:hAnsi="Calibri" w:cs="Calibri"/>
      <w:noProof/>
    </w:rPr>
  </w:style>
  <w:style w:type="character" w:customStyle="1" w:styleId="UnresolvedMention">
    <w:name w:val="Unresolved Mention"/>
    <w:basedOn w:val="DefaultParagraphFont"/>
    <w:uiPriority w:val="99"/>
    <w:semiHidden/>
    <w:unhideWhenUsed/>
    <w:rsid w:val="00AE1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846">
      <w:bodyDiv w:val="1"/>
      <w:marLeft w:val="0"/>
      <w:marRight w:val="0"/>
      <w:marTop w:val="0"/>
      <w:marBottom w:val="0"/>
      <w:divBdr>
        <w:top w:val="none" w:sz="0" w:space="0" w:color="auto"/>
        <w:left w:val="none" w:sz="0" w:space="0" w:color="auto"/>
        <w:bottom w:val="none" w:sz="0" w:space="0" w:color="auto"/>
        <w:right w:val="none" w:sz="0" w:space="0" w:color="auto"/>
      </w:divBdr>
    </w:div>
    <w:div w:id="110519538">
      <w:bodyDiv w:val="1"/>
      <w:marLeft w:val="0"/>
      <w:marRight w:val="0"/>
      <w:marTop w:val="0"/>
      <w:marBottom w:val="0"/>
      <w:divBdr>
        <w:top w:val="none" w:sz="0" w:space="0" w:color="auto"/>
        <w:left w:val="none" w:sz="0" w:space="0" w:color="auto"/>
        <w:bottom w:val="none" w:sz="0" w:space="0" w:color="auto"/>
        <w:right w:val="none" w:sz="0" w:space="0" w:color="auto"/>
      </w:divBdr>
    </w:div>
    <w:div w:id="402797008">
      <w:bodyDiv w:val="1"/>
      <w:marLeft w:val="0"/>
      <w:marRight w:val="0"/>
      <w:marTop w:val="0"/>
      <w:marBottom w:val="0"/>
      <w:divBdr>
        <w:top w:val="none" w:sz="0" w:space="0" w:color="auto"/>
        <w:left w:val="none" w:sz="0" w:space="0" w:color="auto"/>
        <w:bottom w:val="none" w:sz="0" w:space="0" w:color="auto"/>
        <w:right w:val="none" w:sz="0" w:space="0" w:color="auto"/>
      </w:divBdr>
    </w:div>
    <w:div w:id="482896207">
      <w:bodyDiv w:val="1"/>
      <w:marLeft w:val="0"/>
      <w:marRight w:val="0"/>
      <w:marTop w:val="0"/>
      <w:marBottom w:val="0"/>
      <w:divBdr>
        <w:top w:val="none" w:sz="0" w:space="0" w:color="auto"/>
        <w:left w:val="none" w:sz="0" w:space="0" w:color="auto"/>
        <w:bottom w:val="none" w:sz="0" w:space="0" w:color="auto"/>
        <w:right w:val="none" w:sz="0" w:space="0" w:color="auto"/>
      </w:divBdr>
    </w:div>
    <w:div w:id="1059594562">
      <w:bodyDiv w:val="1"/>
      <w:marLeft w:val="0"/>
      <w:marRight w:val="0"/>
      <w:marTop w:val="0"/>
      <w:marBottom w:val="0"/>
      <w:divBdr>
        <w:top w:val="none" w:sz="0" w:space="0" w:color="auto"/>
        <w:left w:val="none" w:sz="0" w:space="0" w:color="auto"/>
        <w:bottom w:val="none" w:sz="0" w:space="0" w:color="auto"/>
        <w:right w:val="none" w:sz="0" w:space="0" w:color="auto"/>
      </w:divBdr>
    </w:div>
    <w:div w:id="1286620719">
      <w:bodyDiv w:val="1"/>
      <w:marLeft w:val="0"/>
      <w:marRight w:val="0"/>
      <w:marTop w:val="0"/>
      <w:marBottom w:val="0"/>
      <w:divBdr>
        <w:top w:val="none" w:sz="0" w:space="0" w:color="auto"/>
        <w:left w:val="none" w:sz="0" w:space="0" w:color="auto"/>
        <w:bottom w:val="none" w:sz="0" w:space="0" w:color="auto"/>
        <w:right w:val="none" w:sz="0" w:space="0" w:color="auto"/>
      </w:divBdr>
    </w:div>
    <w:div w:id="1290279141">
      <w:bodyDiv w:val="1"/>
      <w:marLeft w:val="0"/>
      <w:marRight w:val="0"/>
      <w:marTop w:val="0"/>
      <w:marBottom w:val="0"/>
      <w:divBdr>
        <w:top w:val="none" w:sz="0" w:space="0" w:color="auto"/>
        <w:left w:val="none" w:sz="0" w:space="0" w:color="auto"/>
        <w:bottom w:val="none" w:sz="0" w:space="0" w:color="auto"/>
        <w:right w:val="none" w:sz="0" w:space="0" w:color="auto"/>
      </w:divBdr>
    </w:div>
    <w:div w:id="1350179059">
      <w:bodyDiv w:val="1"/>
      <w:marLeft w:val="0"/>
      <w:marRight w:val="0"/>
      <w:marTop w:val="0"/>
      <w:marBottom w:val="0"/>
      <w:divBdr>
        <w:top w:val="none" w:sz="0" w:space="0" w:color="auto"/>
        <w:left w:val="none" w:sz="0" w:space="0" w:color="auto"/>
        <w:bottom w:val="none" w:sz="0" w:space="0" w:color="auto"/>
        <w:right w:val="none" w:sz="0" w:space="0" w:color="auto"/>
      </w:divBdr>
    </w:div>
    <w:div w:id="172394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ris.bka.gv.at/GeltendeFassung.wxe?Abfrage=Bundesnormen&amp;Gesetzesnummer=20005323"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AB062-96F5-4650-81F4-B03FDBC0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9</Pages>
  <Words>3792</Words>
  <Characters>21620</Characters>
  <Application>Microsoft Office Word</Application>
  <DocSecurity>0</DocSecurity>
  <Lines>180</Lines>
  <Paragraphs>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LENOVO X1 YOGA</cp:lastModifiedBy>
  <cp:revision>227</cp:revision>
  <cp:lastPrinted>2025-03-24T06:09:00Z</cp:lastPrinted>
  <dcterms:created xsi:type="dcterms:W3CDTF">2021-12-15T11:44:00Z</dcterms:created>
  <dcterms:modified xsi:type="dcterms:W3CDTF">2025-05-06T17:57:00Z</dcterms:modified>
</cp:coreProperties>
</file>