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3763CE" w14:paraId="232F9655" w14:textId="77777777" w:rsidTr="001619F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7FF2B5E" w14:textId="77777777" w:rsidR="00602F7D" w:rsidRPr="003763C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E7451F" w:rsidRPr="003763CE" w14:paraId="278E627D" w14:textId="77777777" w:rsidTr="001619FB">
        <w:trPr>
          <w:trHeight w:val="413"/>
        </w:trPr>
        <w:tc>
          <w:tcPr>
            <w:tcW w:w="1266" w:type="pct"/>
          </w:tcPr>
          <w:p w14:paraId="73A704E8" w14:textId="77777777" w:rsidR="00E7451F" w:rsidRPr="003763CE" w:rsidRDefault="00E7451F" w:rsidP="00E7451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63CE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423CD" w14:textId="77777777" w:rsidR="00E7451F" w:rsidRPr="003763CE" w:rsidRDefault="00E7451F" w:rsidP="00E7451F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tgtFrame="_blank" w:history="1">
              <w:r w:rsidRPr="003763CE">
                <w:rPr>
                  <w:rFonts w:ascii="Arial" w:eastAsia="Times New Roman" w:hAnsi="Arial" w:cs="Arial"/>
                  <w:b/>
                  <w:bCs/>
                  <w:color w:val="3333FF"/>
                  <w:sz w:val="20"/>
                  <w:szCs w:val="20"/>
                  <w:u w:val="single"/>
                  <w:lang w:eastAsia="en-IN"/>
                </w:rPr>
                <w:t>Medical Science: Recent Advances and Applications</w:t>
              </w:r>
            </w:hyperlink>
          </w:p>
        </w:tc>
      </w:tr>
      <w:tr w:rsidR="00E7451F" w:rsidRPr="003763CE" w14:paraId="46546E4B" w14:textId="77777777" w:rsidTr="001619FB">
        <w:trPr>
          <w:trHeight w:val="290"/>
        </w:trPr>
        <w:tc>
          <w:tcPr>
            <w:tcW w:w="1266" w:type="pct"/>
          </w:tcPr>
          <w:p w14:paraId="1C652849" w14:textId="77777777" w:rsidR="00E7451F" w:rsidRPr="003763CE" w:rsidRDefault="00E7451F" w:rsidP="00E7451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63C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27F2" w14:textId="77777777" w:rsidR="00E7451F" w:rsidRPr="003763CE" w:rsidRDefault="00E7451F" w:rsidP="00E7451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763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Ms_BPR_5542</w:t>
            </w:r>
          </w:p>
        </w:tc>
      </w:tr>
      <w:tr w:rsidR="00E7451F" w:rsidRPr="003763CE" w14:paraId="061564F6" w14:textId="77777777" w:rsidTr="001619FB">
        <w:trPr>
          <w:trHeight w:val="331"/>
        </w:trPr>
        <w:tc>
          <w:tcPr>
            <w:tcW w:w="1266" w:type="pct"/>
          </w:tcPr>
          <w:p w14:paraId="301804FF" w14:textId="77777777" w:rsidR="00E7451F" w:rsidRPr="003763CE" w:rsidRDefault="00E7451F" w:rsidP="00E7451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63C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464A2" w14:textId="77777777" w:rsidR="00E7451F" w:rsidRPr="003763CE" w:rsidRDefault="00E7451F" w:rsidP="00E7451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763CE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Complication of Cirrhosis Portal Hypertension: A Review</w:t>
            </w:r>
          </w:p>
        </w:tc>
      </w:tr>
      <w:tr w:rsidR="00E7451F" w:rsidRPr="003763CE" w14:paraId="7D0C008C" w14:textId="77777777" w:rsidTr="001619FB">
        <w:trPr>
          <w:trHeight w:val="332"/>
        </w:trPr>
        <w:tc>
          <w:tcPr>
            <w:tcW w:w="1266" w:type="pct"/>
          </w:tcPr>
          <w:p w14:paraId="7DCED721" w14:textId="77777777" w:rsidR="00E7451F" w:rsidRPr="003763CE" w:rsidRDefault="00E7451F" w:rsidP="00E7451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63C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FFBD0" w14:textId="77777777" w:rsidR="00E7451F" w:rsidRPr="003763CE" w:rsidRDefault="00E7451F" w:rsidP="00E7451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63C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07DFE96" w14:textId="77777777" w:rsidR="00037D52" w:rsidRPr="003763C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9C977D" w14:textId="77777777" w:rsidR="00605952" w:rsidRPr="003763C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52A778" w14:textId="77777777" w:rsidR="0086369B" w:rsidRPr="003763C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DEF8FDF" w14:textId="77777777" w:rsidR="00626025" w:rsidRPr="003763C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763C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A6F196E" w14:textId="77777777" w:rsidR="007B54A4" w:rsidRPr="003763C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32F6C5F" w14:textId="77777777" w:rsidR="007B54A4" w:rsidRPr="003763C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763C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D5D696D" w14:textId="77777777" w:rsidR="00640538" w:rsidRPr="003763CE" w:rsidRDefault="00321E8F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763C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8AD14" wp14:editId="0BF4B627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635" b="6985"/>
                <wp:wrapNone/>
                <wp:docPr id="293847760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FB8FD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04D887E6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01E228B3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5C3FF999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D57409F" w14:textId="77777777" w:rsidR="00E03C32" w:rsidRDefault="00B24D7E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B24D7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Liver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B24D7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1000188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3756DCAB" w14:textId="77777777" w:rsidR="00E03C32" w:rsidRPr="007B54A4" w:rsidRDefault="00B24D7E" w:rsidP="00B24D7E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B24D7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10.4172/2167-0889.1000188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8AD14" id="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1F2FB8FD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04D887E6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01E228B3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5C3FF999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1D57409F" w14:textId="77777777" w:rsidR="00E03C32" w:rsidRDefault="00B24D7E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B24D7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Liver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B24D7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1000188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3756DCAB" w14:textId="77777777" w:rsidR="00E03C32" w:rsidRPr="007B54A4" w:rsidRDefault="00B24D7E" w:rsidP="00B24D7E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B24D7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10.4172/2167-0889.1000188</w:t>
                      </w:r>
                    </w:p>
                  </w:txbxContent>
                </v:textbox>
              </v:rect>
            </w:pict>
          </mc:Fallback>
        </mc:AlternateContent>
      </w:r>
    </w:p>
    <w:p w14:paraId="03A2709D" w14:textId="77777777" w:rsidR="00D9392F" w:rsidRPr="003763C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763C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9C6EDD0" w14:textId="77777777" w:rsidR="00D27A79" w:rsidRPr="003763C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763CE" w14:paraId="6D5CF114" w14:textId="77777777" w:rsidTr="00913A6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F9DEF93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63C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763C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8FC97EB" w14:textId="77777777" w:rsidR="00F1171E" w:rsidRPr="003763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763CE" w14:paraId="60C59AED" w14:textId="77777777" w:rsidTr="00913A6D">
        <w:tc>
          <w:tcPr>
            <w:tcW w:w="1265" w:type="pct"/>
            <w:noWrap/>
          </w:tcPr>
          <w:p w14:paraId="21997CE3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858C43E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63CE">
              <w:rPr>
                <w:rFonts w:ascii="Arial" w:hAnsi="Arial" w:cs="Arial"/>
                <w:lang w:val="en-GB"/>
              </w:rPr>
              <w:t>Reviewer’s comment</w:t>
            </w:r>
          </w:p>
          <w:p w14:paraId="206D45B5" w14:textId="77777777" w:rsidR="00421DBF" w:rsidRPr="003763C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63C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B17F9A9" w14:textId="77777777" w:rsidR="00421DBF" w:rsidRPr="003763C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1D1981F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763CE">
              <w:rPr>
                <w:rFonts w:ascii="Arial" w:hAnsi="Arial" w:cs="Arial"/>
                <w:lang w:val="en-GB"/>
              </w:rPr>
              <w:t>Author’s Feedback</w:t>
            </w:r>
            <w:r w:rsidRPr="003763C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763C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763CE" w14:paraId="52DE5973" w14:textId="77777777" w:rsidTr="00913A6D">
        <w:trPr>
          <w:trHeight w:val="1264"/>
        </w:trPr>
        <w:tc>
          <w:tcPr>
            <w:tcW w:w="1265" w:type="pct"/>
            <w:noWrap/>
          </w:tcPr>
          <w:p w14:paraId="17D562C0" w14:textId="77777777" w:rsidR="00F1171E" w:rsidRPr="003763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63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03A1266" w14:textId="77777777" w:rsidR="00F1171E" w:rsidRPr="003763C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EE0CB29" w14:textId="77777777" w:rsidR="00F1171E" w:rsidRPr="003763CE" w:rsidRDefault="00913A6D" w:rsidP="002E5568">
            <w:pPr>
              <w:pStyle w:val="NormalWeb"/>
              <w:divId w:val="119806449"/>
              <w:rPr>
                <w:rFonts w:ascii="Arial" w:hAnsi="Arial" w:cs="Arial"/>
                <w:sz w:val="20"/>
                <w:szCs w:val="20"/>
              </w:rPr>
            </w:pPr>
            <w:r w:rsidRPr="003763CE">
              <w:rPr>
                <w:rFonts w:ascii="Arial" w:hAnsi="Arial" w:cs="Arial"/>
                <w:sz w:val="20"/>
                <w:szCs w:val="20"/>
              </w:rPr>
              <w:t>This manuscript makes a meaningful contribution by synthesizing current concepts around portal hypertension and its role in cirrhosis-related complications. It offers a balanced mix of guideline-based insights and therapeutic perspectives that reflect day-to-day clinical challenges. The structure and scope make it a practical reference not just for specialists but also for trainees involved in hepatology care. Its strength lies in turning complex mechanisms into actionable knowledge</w:t>
            </w:r>
            <w:r w:rsidR="00AF7A65" w:rsidRPr="003763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10DEEAB2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63CE" w14:paraId="1962BB19" w14:textId="77777777" w:rsidTr="00484EAE">
        <w:trPr>
          <w:trHeight w:val="404"/>
        </w:trPr>
        <w:tc>
          <w:tcPr>
            <w:tcW w:w="1265" w:type="pct"/>
            <w:noWrap/>
          </w:tcPr>
          <w:p w14:paraId="371A5FC1" w14:textId="77777777" w:rsidR="00F1171E" w:rsidRPr="003763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63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9D833D3" w14:textId="77777777" w:rsidR="00F1171E" w:rsidRPr="003763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63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648EEC8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6FD5348" w14:textId="77777777" w:rsidR="00484EAE" w:rsidRPr="003763CE" w:rsidRDefault="00484EA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F70EF2F" w14:textId="77777777" w:rsidR="00F1171E" w:rsidRPr="003763CE" w:rsidRDefault="00A33CD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63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A94CBFE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63CE" w14:paraId="6EBEF449" w14:textId="77777777" w:rsidTr="00913A6D">
        <w:trPr>
          <w:trHeight w:val="1262"/>
        </w:trPr>
        <w:tc>
          <w:tcPr>
            <w:tcW w:w="1265" w:type="pct"/>
            <w:noWrap/>
          </w:tcPr>
          <w:p w14:paraId="7BB0702A" w14:textId="77777777" w:rsidR="00F1171E" w:rsidRPr="003763C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763C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ACC0367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FAB61E8" w14:textId="77777777" w:rsidR="00F1171E" w:rsidRPr="003763CE" w:rsidRDefault="0069324A" w:rsidP="0075565B">
            <w:pPr>
              <w:pStyle w:val="NormalWeb"/>
              <w:divId w:val="246040901"/>
              <w:rPr>
                <w:rFonts w:ascii="Arial" w:hAnsi="Arial" w:cs="Arial"/>
                <w:sz w:val="20"/>
                <w:szCs w:val="20"/>
              </w:rPr>
            </w:pPr>
            <w:r w:rsidRPr="003763CE">
              <w:rPr>
                <w:rFonts w:ascii="Arial" w:hAnsi="Arial" w:cs="Arial"/>
                <w:sz w:val="20"/>
                <w:szCs w:val="20"/>
              </w:rPr>
              <w:t xml:space="preserve">The abstract is overall well-written and highlights the main complications effectively. I would suggest adding a brief mention of hepatopulmonary and </w:t>
            </w:r>
            <w:proofErr w:type="spellStart"/>
            <w:r w:rsidRPr="003763CE">
              <w:rPr>
                <w:rFonts w:ascii="Arial" w:hAnsi="Arial" w:cs="Arial"/>
                <w:sz w:val="20"/>
                <w:szCs w:val="20"/>
              </w:rPr>
              <w:t>portopulmonary</w:t>
            </w:r>
            <w:proofErr w:type="spellEnd"/>
            <w:r w:rsidRPr="003763CE">
              <w:rPr>
                <w:rFonts w:ascii="Arial" w:hAnsi="Arial" w:cs="Arial"/>
                <w:sz w:val="20"/>
                <w:szCs w:val="20"/>
              </w:rPr>
              <w:t xml:space="preserve"> syndromes to reflect the full scope of the chapter. It might also benefit from a final sentence that ties the content to its clinical </w:t>
            </w:r>
            <w:proofErr w:type="spellStart"/>
            <w:r w:rsidRPr="003763CE">
              <w:rPr>
                <w:rFonts w:ascii="Arial" w:hAnsi="Arial" w:cs="Arial"/>
                <w:sz w:val="20"/>
                <w:szCs w:val="20"/>
              </w:rPr>
              <w:t>significanc</w:t>
            </w:r>
            <w:proofErr w:type="spellEnd"/>
          </w:p>
        </w:tc>
        <w:tc>
          <w:tcPr>
            <w:tcW w:w="1523" w:type="pct"/>
          </w:tcPr>
          <w:p w14:paraId="2CD7D2CE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63CE" w14:paraId="2C646606" w14:textId="77777777" w:rsidTr="00913A6D">
        <w:trPr>
          <w:trHeight w:val="859"/>
        </w:trPr>
        <w:tc>
          <w:tcPr>
            <w:tcW w:w="1265" w:type="pct"/>
            <w:noWrap/>
          </w:tcPr>
          <w:p w14:paraId="2EAE915A" w14:textId="77777777" w:rsidR="00F1171E" w:rsidRPr="003763C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763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A0AF4D8" w14:textId="77777777" w:rsidR="00F1171E" w:rsidRPr="003763CE" w:rsidRDefault="00865FC1" w:rsidP="00865FC1">
            <w:pPr>
              <w:pStyle w:val="NormalWeb"/>
              <w:divId w:val="1155877207"/>
              <w:rPr>
                <w:rFonts w:ascii="Arial" w:hAnsi="Arial" w:cs="Arial"/>
                <w:sz w:val="20"/>
                <w:szCs w:val="20"/>
              </w:rPr>
            </w:pPr>
            <w:r w:rsidRPr="003763CE">
              <w:rPr>
                <w:rFonts w:ascii="Arial" w:hAnsi="Arial" w:cs="Arial"/>
                <w:sz w:val="20"/>
                <w:szCs w:val="20"/>
              </w:rPr>
              <w:t>Yes, the manuscript is scientifically accurate and well-supported by current clinical evidence.</w:t>
            </w:r>
          </w:p>
        </w:tc>
        <w:tc>
          <w:tcPr>
            <w:tcW w:w="1523" w:type="pct"/>
          </w:tcPr>
          <w:p w14:paraId="116009CB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63CE" w14:paraId="113ADF88" w14:textId="77777777" w:rsidTr="00913A6D">
        <w:trPr>
          <w:trHeight w:val="703"/>
        </w:trPr>
        <w:tc>
          <w:tcPr>
            <w:tcW w:w="1265" w:type="pct"/>
            <w:noWrap/>
          </w:tcPr>
          <w:p w14:paraId="22AAAD47" w14:textId="77777777" w:rsidR="00F1171E" w:rsidRPr="003763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63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8C64002" w14:textId="77777777" w:rsidR="00F1171E" w:rsidRPr="003763C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763C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8923D95" w14:textId="77777777" w:rsidR="00F1171E" w:rsidRPr="003763CE" w:rsidRDefault="00F26053" w:rsidP="00F26053">
            <w:pPr>
              <w:pStyle w:val="NormalWeb"/>
              <w:divId w:val="387802925"/>
              <w:rPr>
                <w:rFonts w:ascii="Arial" w:hAnsi="Arial" w:cs="Arial"/>
                <w:sz w:val="20"/>
                <w:szCs w:val="20"/>
              </w:rPr>
            </w:pPr>
            <w:r w:rsidRPr="003763CE">
              <w:rPr>
                <w:rFonts w:ascii="Arial" w:hAnsi="Arial" w:cs="Arial"/>
                <w:sz w:val="20"/>
                <w:szCs w:val="20"/>
              </w:rPr>
              <w:t>Yes, references are sufficient and timely.</w:t>
            </w:r>
          </w:p>
        </w:tc>
        <w:tc>
          <w:tcPr>
            <w:tcW w:w="1523" w:type="pct"/>
          </w:tcPr>
          <w:p w14:paraId="5D514116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63CE" w14:paraId="31919A48" w14:textId="77777777" w:rsidTr="00913A6D">
        <w:trPr>
          <w:trHeight w:val="386"/>
        </w:trPr>
        <w:tc>
          <w:tcPr>
            <w:tcW w:w="1265" w:type="pct"/>
            <w:noWrap/>
          </w:tcPr>
          <w:p w14:paraId="1A9E2586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012333D" w14:textId="77777777" w:rsidR="00F1171E" w:rsidRPr="003763C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763C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5446F6C" w14:textId="77777777" w:rsidR="00F1171E" w:rsidRPr="003763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7347EA" w14:textId="77777777" w:rsidR="00F1171E" w:rsidRPr="003763CE" w:rsidRDefault="00ED38A4" w:rsidP="00484EAE">
            <w:pPr>
              <w:pStyle w:val="NormalWeb"/>
              <w:divId w:val="582104549"/>
              <w:rPr>
                <w:rFonts w:ascii="Arial" w:hAnsi="Arial" w:cs="Arial"/>
                <w:sz w:val="20"/>
                <w:szCs w:val="20"/>
              </w:rPr>
            </w:pPr>
            <w:r w:rsidRPr="003763CE">
              <w:rPr>
                <w:rFonts w:ascii="Arial" w:hAnsi="Arial" w:cs="Arial"/>
                <w:sz w:val="20"/>
                <w:szCs w:val="20"/>
              </w:rPr>
              <w:t>Yes, the language is clear, professional, and appropriate for scholarly communication.</w:t>
            </w:r>
          </w:p>
        </w:tc>
        <w:tc>
          <w:tcPr>
            <w:tcW w:w="1523" w:type="pct"/>
          </w:tcPr>
          <w:p w14:paraId="4A9AD95D" w14:textId="77777777" w:rsidR="00F1171E" w:rsidRPr="003763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763CE" w14:paraId="494862FE" w14:textId="77777777" w:rsidTr="00913A6D">
        <w:trPr>
          <w:trHeight w:val="1178"/>
        </w:trPr>
        <w:tc>
          <w:tcPr>
            <w:tcW w:w="1265" w:type="pct"/>
            <w:noWrap/>
          </w:tcPr>
          <w:p w14:paraId="39D8794C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763C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763C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763C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40B23AD7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08828F8" w14:textId="77777777" w:rsidR="00F1171E" w:rsidRPr="003763CE" w:rsidRDefault="00313AA3" w:rsidP="00313AA3">
            <w:pPr>
              <w:pStyle w:val="NormalWeb"/>
              <w:divId w:val="1050685343"/>
              <w:rPr>
                <w:rFonts w:ascii="Arial" w:hAnsi="Arial" w:cs="Arial"/>
                <w:sz w:val="20"/>
                <w:szCs w:val="20"/>
              </w:rPr>
            </w:pPr>
            <w:r w:rsidRPr="003763CE">
              <w:rPr>
                <w:rFonts w:ascii="Arial" w:hAnsi="Arial" w:cs="Arial"/>
                <w:sz w:val="20"/>
                <w:szCs w:val="20"/>
              </w:rPr>
              <w:t>The chapter is well-structured and clinically relevant. It offers a valuable summary of complications and management strategies in portal hypertension.</w:t>
            </w:r>
          </w:p>
          <w:p w14:paraId="529863EC" w14:textId="77777777" w:rsidR="00F1171E" w:rsidRPr="003763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3E268F" w14:textId="77777777" w:rsidR="00F1171E" w:rsidRPr="003763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A59FCE9" w14:textId="77777777" w:rsidR="00F1171E" w:rsidRPr="003763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1CB7D8B" w14:textId="77777777" w:rsidR="00F1171E" w:rsidRPr="003763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3763CE" w14:paraId="0715F6F8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C2139" w14:textId="77777777" w:rsidR="00F1171E" w:rsidRPr="003763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763C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763C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EB37ED8" w14:textId="77777777" w:rsidR="00F1171E" w:rsidRPr="003763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763CE" w14:paraId="126B23E8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3B0B" w14:textId="77777777" w:rsidR="00F1171E" w:rsidRPr="003763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029E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63C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342F3759" w14:textId="77777777" w:rsidR="00F1171E" w:rsidRPr="003763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763CE">
              <w:rPr>
                <w:rFonts w:ascii="Arial" w:hAnsi="Arial" w:cs="Arial"/>
                <w:lang w:val="en-GB"/>
              </w:rPr>
              <w:t>Author’s comment</w:t>
            </w:r>
            <w:r w:rsidRPr="003763C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763C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763CE" w14:paraId="603E0A49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D3534" w14:textId="77777777" w:rsidR="00312AFE" w:rsidRPr="003763CE" w:rsidRDefault="00312AFE" w:rsidP="00312AFE">
            <w:pPr>
              <w:pStyle w:val="NormalWeb"/>
              <w:divId w:val="538398342"/>
              <w:rPr>
                <w:rFonts w:ascii="Arial" w:hAnsi="Arial" w:cs="Arial"/>
                <w:sz w:val="20"/>
                <w:szCs w:val="20"/>
              </w:rPr>
            </w:pPr>
            <w:r w:rsidRPr="003763CE">
              <w:rPr>
                <w:rFonts w:ascii="Arial" w:hAnsi="Arial" w:cs="Arial"/>
                <w:sz w:val="20"/>
                <w:szCs w:val="20"/>
              </w:rPr>
              <w:t>No ethical issues identified.</w:t>
            </w:r>
          </w:p>
          <w:p w14:paraId="33FECF07" w14:textId="77777777" w:rsidR="00F1171E" w:rsidRPr="003763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FA6D3" w14:textId="77777777" w:rsidR="00F1171E" w:rsidRPr="003763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6FE2D1" w14:textId="77777777" w:rsidR="00F1171E" w:rsidRPr="003763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665D308F" w14:textId="77777777" w:rsidR="00F1171E" w:rsidRPr="003763C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1CC67A" w14:textId="77777777" w:rsidR="00F1171E" w:rsidRPr="003763C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F6F8B6" w14:textId="77777777" w:rsidR="00F1171E" w:rsidRPr="003763C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FB00F0C" w14:textId="77777777" w:rsidR="00F1171E" w:rsidRPr="003763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93E3A8B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683D27C" w14:textId="77777777" w:rsidR="003763CE" w:rsidRPr="00142733" w:rsidRDefault="003763CE" w:rsidP="003763C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42733">
        <w:rPr>
          <w:rFonts w:ascii="Arial" w:hAnsi="Arial" w:cs="Arial"/>
          <w:b/>
          <w:u w:val="single"/>
        </w:rPr>
        <w:t>Reviewer details:</w:t>
      </w:r>
    </w:p>
    <w:p w14:paraId="3A2ED582" w14:textId="77777777" w:rsidR="003763CE" w:rsidRPr="00142733" w:rsidRDefault="003763CE" w:rsidP="003763C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42733">
        <w:rPr>
          <w:rFonts w:ascii="Arial" w:hAnsi="Arial" w:cs="Arial"/>
          <w:b/>
          <w:color w:val="000000"/>
        </w:rPr>
        <w:t>Riyadh Muhi Abbood Al-</w:t>
      </w:r>
      <w:proofErr w:type="spellStart"/>
      <w:r w:rsidRPr="00142733">
        <w:rPr>
          <w:rFonts w:ascii="Arial" w:hAnsi="Arial" w:cs="Arial"/>
          <w:b/>
          <w:color w:val="000000"/>
        </w:rPr>
        <w:t>Saegh</w:t>
      </w:r>
      <w:proofErr w:type="spellEnd"/>
      <w:r w:rsidRPr="00142733">
        <w:rPr>
          <w:rFonts w:ascii="Arial" w:hAnsi="Arial" w:cs="Arial"/>
          <w:b/>
          <w:color w:val="000000"/>
        </w:rPr>
        <w:t>, University of Kerbala, Iraq</w:t>
      </w:r>
    </w:p>
    <w:p w14:paraId="79492222" w14:textId="77777777" w:rsidR="003763CE" w:rsidRPr="003763CE" w:rsidRDefault="003763CE">
      <w:pPr>
        <w:rPr>
          <w:rFonts w:ascii="Arial" w:hAnsi="Arial" w:cs="Arial"/>
          <w:b/>
          <w:sz w:val="20"/>
          <w:szCs w:val="20"/>
        </w:rPr>
      </w:pPr>
    </w:p>
    <w:sectPr w:rsidR="003763CE" w:rsidRPr="003763C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337A8" w14:textId="77777777" w:rsidR="00174DE5" w:rsidRPr="0000007A" w:rsidRDefault="00174DE5" w:rsidP="0099583E">
      <w:r>
        <w:separator/>
      </w:r>
    </w:p>
  </w:endnote>
  <w:endnote w:type="continuationSeparator" w:id="0">
    <w:p w14:paraId="7B3A3D60" w14:textId="77777777" w:rsidR="00174DE5" w:rsidRPr="0000007A" w:rsidRDefault="00174DE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1502D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0834F" w14:textId="77777777" w:rsidR="00174DE5" w:rsidRPr="0000007A" w:rsidRDefault="00174DE5" w:rsidP="0099583E">
      <w:r>
        <w:separator/>
      </w:r>
    </w:p>
  </w:footnote>
  <w:footnote w:type="continuationSeparator" w:id="0">
    <w:p w14:paraId="1BADAE30" w14:textId="77777777" w:rsidR="00174DE5" w:rsidRPr="0000007A" w:rsidRDefault="00174DE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C1E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F131D5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B58B64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D47C7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0012603">
    <w:abstractNumId w:val="4"/>
  </w:num>
  <w:num w:numId="2" w16cid:durableId="981812950">
    <w:abstractNumId w:val="7"/>
  </w:num>
  <w:num w:numId="3" w16cid:durableId="2042894335">
    <w:abstractNumId w:val="6"/>
  </w:num>
  <w:num w:numId="4" w16cid:durableId="1705715884">
    <w:abstractNumId w:val="8"/>
  </w:num>
  <w:num w:numId="5" w16cid:durableId="873273988">
    <w:abstractNumId w:val="5"/>
  </w:num>
  <w:num w:numId="6" w16cid:durableId="1382514315">
    <w:abstractNumId w:val="0"/>
  </w:num>
  <w:num w:numId="7" w16cid:durableId="770246716">
    <w:abstractNumId w:val="1"/>
  </w:num>
  <w:num w:numId="8" w16cid:durableId="1163936199">
    <w:abstractNumId w:val="10"/>
  </w:num>
  <w:num w:numId="9" w16cid:durableId="43875203">
    <w:abstractNumId w:val="9"/>
  </w:num>
  <w:num w:numId="10" w16cid:durableId="591935464">
    <w:abstractNumId w:val="3"/>
  </w:num>
  <w:num w:numId="11" w16cid:durableId="727142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6C88"/>
    <w:rsid w:val="000936AC"/>
    <w:rsid w:val="00095A59"/>
    <w:rsid w:val="000A2134"/>
    <w:rsid w:val="000A2D36"/>
    <w:rsid w:val="000A354E"/>
    <w:rsid w:val="000A6F41"/>
    <w:rsid w:val="000B33B2"/>
    <w:rsid w:val="000B4EE5"/>
    <w:rsid w:val="000B74A1"/>
    <w:rsid w:val="000B757E"/>
    <w:rsid w:val="000C0837"/>
    <w:rsid w:val="000C0B04"/>
    <w:rsid w:val="000C3B7E"/>
    <w:rsid w:val="000D13B0"/>
    <w:rsid w:val="000E48D7"/>
    <w:rsid w:val="000E5115"/>
    <w:rsid w:val="000F08AA"/>
    <w:rsid w:val="000F6EA8"/>
    <w:rsid w:val="00101322"/>
    <w:rsid w:val="00115767"/>
    <w:rsid w:val="00115EC1"/>
    <w:rsid w:val="00121FFA"/>
    <w:rsid w:val="0012616A"/>
    <w:rsid w:val="00136984"/>
    <w:rsid w:val="001425F1"/>
    <w:rsid w:val="00142A9C"/>
    <w:rsid w:val="00150304"/>
    <w:rsid w:val="0015296D"/>
    <w:rsid w:val="001619FB"/>
    <w:rsid w:val="00163622"/>
    <w:rsid w:val="001645A2"/>
    <w:rsid w:val="00164F4E"/>
    <w:rsid w:val="00165685"/>
    <w:rsid w:val="0017480A"/>
    <w:rsid w:val="00174DE5"/>
    <w:rsid w:val="0017545C"/>
    <w:rsid w:val="001766DF"/>
    <w:rsid w:val="00176F0D"/>
    <w:rsid w:val="00186C8F"/>
    <w:rsid w:val="0018753A"/>
    <w:rsid w:val="00195E51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622F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568"/>
    <w:rsid w:val="002E5C81"/>
    <w:rsid w:val="002E6D86"/>
    <w:rsid w:val="002E7787"/>
    <w:rsid w:val="002F6935"/>
    <w:rsid w:val="00312559"/>
    <w:rsid w:val="00312AFE"/>
    <w:rsid w:val="00313AA3"/>
    <w:rsid w:val="003204B8"/>
    <w:rsid w:val="00321E8F"/>
    <w:rsid w:val="00326D7D"/>
    <w:rsid w:val="0033018A"/>
    <w:rsid w:val="0033692F"/>
    <w:rsid w:val="00353718"/>
    <w:rsid w:val="00374F93"/>
    <w:rsid w:val="003763CE"/>
    <w:rsid w:val="00377F1D"/>
    <w:rsid w:val="00394901"/>
    <w:rsid w:val="003A04E7"/>
    <w:rsid w:val="003A1C45"/>
    <w:rsid w:val="003A4991"/>
    <w:rsid w:val="003A6E1A"/>
    <w:rsid w:val="003B1D0B"/>
    <w:rsid w:val="003B2172"/>
    <w:rsid w:val="003B5F7F"/>
    <w:rsid w:val="003D1BDE"/>
    <w:rsid w:val="003E746A"/>
    <w:rsid w:val="003F42A8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4EAE"/>
    <w:rsid w:val="00495DBB"/>
    <w:rsid w:val="004A213D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3F6B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3BC5"/>
    <w:rsid w:val="00620677"/>
    <w:rsid w:val="00624032"/>
    <w:rsid w:val="00626025"/>
    <w:rsid w:val="0063118A"/>
    <w:rsid w:val="006311A1"/>
    <w:rsid w:val="00634614"/>
    <w:rsid w:val="00640538"/>
    <w:rsid w:val="00645A56"/>
    <w:rsid w:val="006478EB"/>
    <w:rsid w:val="006532DF"/>
    <w:rsid w:val="00653BB5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24A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565B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5FC1"/>
    <w:rsid w:val="00867E37"/>
    <w:rsid w:val="0087201B"/>
    <w:rsid w:val="0087381A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3A6D"/>
    <w:rsid w:val="0091410B"/>
    <w:rsid w:val="009245E3"/>
    <w:rsid w:val="00942DEE"/>
    <w:rsid w:val="00944F67"/>
    <w:rsid w:val="00954D8F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CD6"/>
    <w:rsid w:val="00A36C95"/>
    <w:rsid w:val="00A37DE3"/>
    <w:rsid w:val="00A40B00"/>
    <w:rsid w:val="00A4787C"/>
    <w:rsid w:val="00A51369"/>
    <w:rsid w:val="00A519D1"/>
    <w:rsid w:val="00A5303B"/>
    <w:rsid w:val="00A65C50"/>
    <w:rsid w:val="00A723AA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7A65"/>
    <w:rsid w:val="00B03A45"/>
    <w:rsid w:val="00B2236C"/>
    <w:rsid w:val="00B22FE6"/>
    <w:rsid w:val="00B24D7E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3A30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0009"/>
    <w:rsid w:val="00DA2679"/>
    <w:rsid w:val="00DA3C3D"/>
    <w:rsid w:val="00DA41F5"/>
    <w:rsid w:val="00DB7E1B"/>
    <w:rsid w:val="00DC0BBC"/>
    <w:rsid w:val="00DC1D81"/>
    <w:rsid w:val="00DC6C61"/>
    <w:rsid w:val="00DC6FED"/>
    <w:rsid w:val="00DD0C4A"/>
    <w:rsid w:val="00DD274C"/>
    <w:rsid w:val="00DE7D30"/>
    <w:rsid w:val="00DF04E3"/>
    <w:rsid w:val="00DF2580"/>
    <w:rsid w:val="00E03C32"/>
    <w:rsid w:val="00E1600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451F"/>
    <w:rsid w:val="00E9533D"/>
    <w:rsid w:val="00E972A7"/>
    <w:rsid w:val="00EA2839"/>
    <w:rsid w:val="00EA7583"/>
    <w:rsid w:val="00EB3E91"/>
    <w:rsid w:val="00EB6E15"/>
    <w:rsid w:val="00EC6894"/>
    <w:rsid w:val="00ED38A4"/>
    <w:rsid w:val="00ED6B12"/>
    <w:rsid w:val="00ED7400"/>
    <w:rsid w:val="00EF326D"/>
    <w:rsid w:val="00EF53FE"/>
    <w:rsid w:val="00F1171E"/>
    <w:rsid w:val="00F13071"/>
    <w:rsid w:val="00F26053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82C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271E0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D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54D8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913A6D"/>
    <w:rPr>
      <w:b/>
      <w:bCs/>
    </w:rPr>
  </w:style>
  <w:style w:type="paragraph" w:customStyle="1" w:styleId="Affiliation">
    <w:name w:val="Affiliation"/>
    <w:basedOn w:val="Normal"/>
    <w:rsid w:val="003763C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2025-05-09T19:16:00Z</dcterms:created>
  <dcterms:modified xsi:type="dcterms:W3CDTF">2025-05-10T13:00:00Z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