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3F295B" w14:paraId="1643A4CA" w14:textId="77777777" w:rsidTr="003F295B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3F295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3F295B" w14:paraId="127EAD7E" w14:textId="77777777" w:rsidTr="003F295B">
        <w:trPr>
          <w:trHeight w:val="413"/>
        </w:trPr>
        <w:tc>
          <w:tcPr>
            <w:tcW w:w="1248" w:type="pct"/>
          </w:tcPr>
          <w:p w14:paraId="3C159AA5" w14:textId="77777777" w:rsidR="0000007A" w:rsidRPr="003F295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F295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3F295B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7D92D3F" w:rsidR="0000007A" w:rsidRPr="003F295B" w:rsidRDefault="007A628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3F295B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Pharmaceutical Science: New Insights and Developments</w:t>
              </w:r>
            </w:hyperlink>
          </w:p>
        </w:tc>
      </w:tr>
      <w:tr w:rsidR="0000007A" w:rsidRPr="003F295B" w14:paraId="73C90375" w14:textId="77777777" w:rsidTr="003F295B">
        <w:trPr>
          <w:trHeight w:val="290"/>
        </w:trPr>
        <w:tc>
          <w:tcPr>
            <w:tcW w:w="1248" w:type="pct"/>
          </w:tcPr>
          <w:p w14:paraId="20D28135" w14:textId="77777777" w:rsidR="0000007A" w:rsidRPr="003F295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F295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9D4BEFF" w:rsidR="0000007A" w:rsidRPr="003F295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3F295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3F295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3F295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232C1" w:rsidRPr="003F295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5395</w:t>
            </w:r>
          </w:p>
        </w:tc>
      </w:tr>
      <w:tr w:rsidR="0000007A" w:rsidRPr="003F295B" w14:paraId="05B60576" w14:textId="77777777" w:rsidTr="003F295B">
        <w:trPr>
          <w:trHeight w:val="331"/>
        </w:trPr>
        <w:tc>
          <w:tcPr>
            <w:tcW w:w="1248" w:type="pct"/>
          </w:tcPr>
          <w:p w14:paraId="0196A627" w14:textId="77777777" w:rsidR="0000007A" w:rsidRPr="003F295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F295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CA49835" w:rsidR="0000007A" w:rsidRPr="003F295B" w:rsidRDefault="006232C1" w:rsidP="006232C1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F295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Immunomodulation Potential of Andrographis Paniculata and </w:t>
            </w:r>
            <w:proofErr w:type="spellStart"/>
            <w:r w:rsidRPr="003F295B">
              <w:rPr>
                <w:rFonts w:ascii="Arial" w:hAnsi="Arial" w:cs="Arial"/>
                <w:b/>
                <w:sz w:val="20"/>
                <w:szCs w:val="20"/>
                <w:lang w:val="en-GB"/>
              </w:rPr>
              <w:t>Tinospora</w:t>
            </w:r>
            <w:proofErr w:type="spellEnd"/>
            <w:r w:rsidRPr="003F295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Cordifolia Methanolic Extracts in Combination Forms</w:t>
            </w:r>
          </w:p>
        </w:tc>
      </w:tr>
      <w:tr w:rsidR="00CF0BBB" w:rsidRPr="003F295B" w14:paraId="6D508B1C" w14:textId="77777777" w:rsidTr="003F295B">
        <w:trPr>
          <w:trHeight w:val="332"/>
        </w:trPr>
        <w:tc>
          <w:tcPr>
            <w:tcW w:w="1248" w:type="pct"/>
          </w:tcPr>
          <w:p w14:paraId="32FC28F7" w14:textId="77777777" w:rsidR="00CF0BBB" w:rsidRPr="003F295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F295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3E0475D" w:rsidR="00CF0BBB" w:rsidRPr="003F295B" w:rsidRDefault="006232C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F295B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3F295B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CD6BCB" w14:textId="0FFEAA9E" w:rsidR="00626025" w:rsidRPr="003F295B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3F295B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3F295B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3F295B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3F295B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3F295B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3F295B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087B6B2D" w:rsidR="00E03C32" w:rsidRDefault="00B2001A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B2001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International Journal of Pharmacological Research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29-40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48B645F5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B2001A" w:rsidRPr="00B2001A">
                    <w:t xml:space="preserve"> </w:t>
                  </w:r>
                  <w:hyperlink r:id="rId8" w:history="1">
                    <w:r w:rsidR="00B2001A" w:rsidRPr="0051326A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https://ssjournals.net/ijpr/article/view/2822</w:t>
                    </w:r>
                  </w:hyperlink>
                  <w:r w:rsidR="00B2001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3F295B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3F295B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3F295B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3F295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3F295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F295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F295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3F295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F295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3F295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3F295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F295B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3F295B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295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3F295B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3F295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F295B">
              <w:rPr>
                <w:rFonts w:ascii="Arial" w:hAnsi="Arial" w:cs="Arial"/>
                <w:lang w:val="en-GB"/>
              </w:rPr>
              <w:t>Author’s Feedback</w:t>
            </w:r>
            <w:r w:rsidRPr="003F295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F295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3F295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3F295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F295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3F295B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EE5835A" w14:textId="0F822D88" w:rsidR="00C50FB0" w:rsidRPr="003F295B" w:rsidRDefault="00C50FB0" w:rsidP="00C50FB0">
            <w:pPr>
              <w:rPr>
                <w:rFonts w:ascii="Arial" w:hAnsi="Arial" w:cs="Arial"/>
                <w:sz w:val="20"/>
                <w:szCs w:val="20"/>
                <w:lang w:val="en-IN" w:eastAsia="en-IN"/>
              </w:rPr>
            </w:pPr>
            <w:r w:rsidRPr="003F295B">
              <w:rPr>
                <w:rFonts w:ascii="Arial" w:hAnsi="Arial" w:cs="Arial"/>
                <w:sz w:val="20"/>
                <w:szCs w:val="20"/>
              </w:rPr>
              <w:t xml:space="preserve">By supporting the investigation of plant species through ethnopharmacological research and offering empirical validation of traditional </w:t>
            </w:r>
            <w:proofErr w:type="gramStart"/>
            <w:r w:rsidRPr="003F295B">
              <w:rPr>
                <w:rFonts w:ascii="Arial" w:hAnsi="Arial" w:cs="Arial"/>
                <w:sz w:val="20"/>
                <w:szCs w:val="20"/>
              </w:rPr>
              <w:t>medicines,  helps</w:t>
            </w:r>
            <w:proofErr w:type="gramEnd"/>
            <w:r w:rsidRPr="003F295B">
              <w:rPr>
                <w:rFonts w:ascii="Arial" w:hAnsi="Arial" w:cs="Arial"/>
                <w:sz w:val="20"/>
                <w:szCs w:val="20"/>
              </w:rPr>
              <w:t xml:space="preserve"> to close the gap between traditional and modern science.</w:t>
            </w:r>
          </w:p>
          <w:p w14:paraId="53B71123" w14:textId="77777777" w:rsidR="00C50FB0" w:rsidRPr="003F295B" w:rsidRDefault="004A48C5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F295B">
              <w:rPr>
                <w:rFonts w:ascii="Arial" w:hAnsi="Arial" w:cs="Arial"/>
                <w:sz w:val="20"/>
                <w:szCs w:val="20"/>
                <w:lang w:val="en-GB"/>
              </w:rPr>
              <w:t>This interdisciplinary approach enhances innovation and promotes a deeper, more integrated understanding of immune modulation.</w:t>
            </w:r>
          </w:p>
          <w:p w14:paraId="7DBC9196" w14:textId="31195DC2" w:rsidR="006B7664" w:rsidRPr="003F295B" w:rsidRDefault="006B7664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F295B">
              <w:rPr>
                <w:rFonts w:ascii="Arial" w:hAnsi="Arial" w:cs="Arial"/>
                <w:sz w:val="20"/>
                <w:szCs w:val="20"/>
                <w:lang w:val="en-GB"/>
              </w:rPr>
              <w:t>It is good</w:t>
            </w:r>
          </w:p>
        </w:tc>
        <w:tc>
          <w:tcPr>
            <w:tcW w:w="1523" w:type="pct"/>
          </w:tcPr>
          <w:p w14:paraId="462A339C" w14:textId="5FAE6A6F" w:rsidR="00F1171E" w:rsidRPr="003F295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F295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3F295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F295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3F295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F295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3F295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32B0DF9" w14:textId="77777777" w:rsidR="006B7664" w:rsidRPr="003F295B" w:rsidRDefault="006B7664" w:rsidP="00696FF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4A6C5B7D" w14:textId="1791104D" w:rsidR="00F1171E" w:rsidRPr="003F295B" w:rsidRDefault="00424532" w:rsidP="00696FF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F295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794AA9A7" w14:textId="39FEA1DA" w:rsidR="006B7664" w:rsidRPr="003F295B" w:rsidRDefault="006B7664" w:rsidP="00696FF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F295B">
              <w:rPr>
                <w:rFonts w:ascii="Arial" w:hAnsi="Arial" w:cs="Arial"/>
                <w:sz w:val="20"/>
                <w:szCs w:val="20"/>
                <w:lang w:val="en-GB"/>
              </w:rPr>
              <w:t>Good</w:t>
            </w:r>
          </w:p>
        </w:tc>
        <w:tc>
          <w:tcPr>
            <w:tcW w:w="1523" w:type="pct"/>
          </w:tcPr>
          <w:p w14:paraId="405B6701" w14:textId="6E48ECAF" w:rsidR="00F1171E" w:rsidRPr="003F295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F295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3F295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F295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3F295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9FA3D35" w:rsidR="00F1171E" w:rsidRPr="003F295B" w:rsidRDefault="004A48C5" w:rsidP="00696FF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F295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523" w:type="pct"/>
          </w:tcPr>
          <w:p w14:paraId="1D54B730" w14:textId="77777777" w:rsidR="00F1171E" w:rsidRPr="003F295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F295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3F295B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F295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15C2A501" w14:textId="77777777" w:rsidR="00F1171E" w:rsidRPr="003F295B" w:rsidRDefault="004A48C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F295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6740E237" w14:textId="77777777" w:rsidR="006B7664" w:rsidRPr="003F295B" w:rsidRDefault="006B7664" w:rsidP="006B7664">
            <w:pPr>
              <w:pStyle w:val="Heading2"/>
              <w:jc w:val="left"/>
              <w:rPr>
                <w:rFonts w:ascii="Arial" w:hAnsi="Arial" w:cs="Arial"/>
                <w:b w:val="0"/>
                <w:bCs w:val="0"/>
              </w:rPr>
            </w:pPr>
            <w:r w:rsidRPr="003F295B">
              <w:rPr>
                <w:rFonts w:ascii="Arial" w:hAnsi="Arial" w:cs="Arial"/>
                <w:b w:val="0"/>
                <w:bCs w:val="0"/>
              </w:rPr>
              <w:t xml:space="preserve">The </w:t>
            </w:r>
            <w:proofErr w:type="spellStart"/>
            <w:r w:rsidRPr="003F295B">
              <w:rPr>
                <w:rFonts w:ascii="Arial" w:hAnsi="Arial" w:cs="Arial"/>
                <w:b w:val="0"/>
                <w:bCs w:val="0"/>
              </w:rPr>
              <w:t>manuscript</w:t>
            </w:r>
            <w:proofErr w:type="spellEnd"/>
            <w:r w:rsidRPr="003F295B">
              <w:rPr>
                <w:rFonts w:ascii="Arial" w:hAnsi="Arial" w:cs="Arial"/>
                <w:b w:val="0"/>
                <w:bCs w:val="0"/>
              </w:rPr>
              <w:t xml:space="preserve"> </w:t>
            </w:r>
            <w:proofErr w:type="spellStart"/>
            <w:r w:rsidRPr="003F295B">
              <w:rPr>
                <w:rFonts w:ascii="Arial" w:hAnsi="Arial" w:cs="Arial"/>
                <w:b w:val="0"/>
                <w:bCs w:val="0"/>
              </w:rPr>
              <w:t>demonstrates</w:t>
            </w:r>
            <w:proofErr w:type="spellEnd"/>
            <w:r w:rsidRPr="003F295B">
              <w:rPr>
                <w:rFonts w:ascii="Arial" w:hAnsi="Arial" w:cs="Arial"/>
                <w:b w:val="0"/>
                <w:bCs w:val="0"/>
              </w:rPr>
              <w:t xml:space="preserve"> </w:t>
            </w:r>
            <w:proofErr w:type="spellStart"/>
            <w:r w:rsidRPr="003F295B">
              <w:rPr>
                <w:rFonts w:ascii="Arial" w:hAnsi="Arial" w:cs="Arial"/>
                <w:b w:val="0"/>
                <w:bCs w:val="0"/>
              </w:rPr>
              <w:t>scientific</w:t>
            </w:r>
            <w:proofErr w:type="spellEnd"/>
            <w:r w:rsidRPr="003F295B">
              <w:rPr>
                <w:rFonts w:ascii="Arial" w:hAnsi="Arial" w:cs="Arial"/>
                <w:b w:val="0"/>
                <w:bCs w:val="0"/>
              </w:rPr>
              <w:t xml:space="preserve"> </w:t>
            </w:r>
            <w:proofErr w:type="spellStart"/>
            <w:r w:rsidRPr="003F295B">
              <w:rPr>
                <w:rFonts w:ascii="Arial" w:hAnsi="Arial" w:cs="Arial"/>
                <w:b w:val="0"/>
                <w:bCs w:val="0"/>
              </w:rPr>
              <w:t>rigor</w:t>
            </w:r>
            <w:proofErr w:type="spellEnd"/>
            <w:r w:rsidRPr="003F295B">
              <w:rPr>
                <w:rFonts w:ascii="Arial" w:hAnsi="Arial" w:cs="Arial"/>
                <w:b w:val="0"/>
                <w:bCs w:val="0"/>
              </w:rPr>
              <w:t xml:space="preserve"> by </w:t>
            </w:r>
            <w:proofErr w:type="spellStart"/>
            <w:r w:rsidRPr="003F295B">
              <w:rPr>
                <w:rFonts w:ascii="Arial" w:hAnsi="Arial" w:cs="Arial"/>
                <w:b w:val="0"/>
                <w:bCs w:val="0"/>
              </w:rPr>
              <w:t>exploring</w:t>
            </w:r>
            <w:proofErr w:type="spellEnd"/>
            <w:r w:rsidRPr="003F295B">
              <w:rPr>
                <w:rFonts w:ascii="Arial" w:hAnsi="Arial" w:cs="Arial"/>
                <w:b w:val="0"/>
                <w:bCs w:val="0"/>
              </w:rPr>
              <w:t xml:space="preserve"> the </w:t>
            </w:r>
            <w:proofErr w:type="spellStart"/>
            <w:r w:rsidRPr="003F295B">
              <w:rPr>
                <w:rFonts w:ascii="Arial" w:hAnsi="Arial" w:cs="Arial"/>
                <w:b w:val="0"/>
                <w:bCs w:val="0"/>
              </w:rPr>
              <w:t>immunomodulatory</w:t>
            </w:r>
            <w:proofErr w:type="spellEnd"/>
            <w:r w:rsidRPr="003F295B">
              <w:rPr>
                <w:rFonts w:ascii="Arial" w:hAnsi="Arial" w:cs="Arial"/>
                <w:b w:val="0"/>
                <w:bCs w:val="0"/>
              </w:rPr>
              <w:t xml:space="preserve"> </w:t>
            </w:r>
            <w:proofErr w:type="spellStart"/>
            <w:r w:rsidRPr="003F295B">
              <w:rPr>
                <w:rFonts w:ascii="Arial" w:hAnsi="Arial" w:cs="Arial"/>
                <w:b w:val="0"/>
                <w:bCs w:val="0"/>
              </w:rPr>
              <w:t>potential</w:t>
            </w:r>
            <w:proofErr w:type="spellEnd"/>
            <w:r w:rsidRPr="003F295B">
              <w:rPr>
                <w:rFonts w:ascii="Arial" w:hAnsi="Arial" w:cs="Arial"/>
                <w:b w:val="0"/>
                <w:bCs w:val="0"/>
              </w:rPr>
              <w:t xml:space="preserve"> of </w:t>
            </w:r>
            <w:proofErr w:type="spellStart"/>
            <w:r w:rsidRPr="003F295B">
              <w:rPr>
                <w:rFonts w:ascii="Arial" w:hAnsi="Arial" w:cs="Arial"/>
                <w:b w:val="0"/>
                <w:bCs w:val="0"/>
              </w:rPr>
              <w:t>medicinal</w:t>
            </w:r>
            <w:proofErr w:type="spellEnd"/>
            <w:r w:rsidRPr="003F295B">
              <w:rPr>
                <w:rFonts w:ascii="Arial" w:hAnsi="Arial" w:cs="Arial"/>
                <w:b w:val="0"/>
                <w:bCs w:val="0"/>
              </w:rPr>
              <w:t xml:space="preserve"> plants.</w:t>
            </w:r>
          </w:p>
          <w:p w14:paraId="2B5A7721" w14:textId="3F33436E" w:rsidR="006B7664" w:rsidRPr="003F295B" w:rsidRDefault="006B7664" w:rsidP="006B7664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F295B">
              <w:rPr>
                <w:rFonts w:ascii="Arial" w:hAnsi="Arial" w:cs="Arial"/>
                <w:sz w:val="20"/>
                <w:szCs w:val="20"/>
              </w:rPr>
              <w:t xml:space="preserve"> It effectively integrates insights from traditional medical practices with contemporary scientific research, drawing on relevant literature and experimental data</w:t>
            </w:r>
          </w:p>
        </w:tc>
        <w:tc>
          <w:tcPr>
            <w:tcW w:w="1523" w:type="pct"/>
          </w:tcPr>
          <w:p w14:paraId="4898F764" w14:textId="06A1F5D1" w:rsidR="00F1171E" w:rsidRPr="003F295B" w:rsidRDefault="004A48C5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F295B">
              <w:rPr>
                <w:rFonts w:ascii="Arial" w:hAnsi="Arial" w:cs="Arial"/>
                <w:b w:val="0"/>
                <w:bCs w:val="0"/>
              </w:rPr>
              <w:t xml:space="preserve"> </w:t>
            </w:r>
          </w:p>
        </w:tc>
      </w:tr>
      <w:tr w:rsidR="00F1171E" w:rsidRPr="003F295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3F295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F295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3F295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F295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1CF2B770" w14:textId="77777777" w:rsidR="00F1171E" w:rsidRPr="003F295B" w:rsidRDefault="00696FF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F295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24FE0567" w14:textId="2673F870" w:rsidR="006B7664" w:rsidRPr="003F295B" w:rsidRDefault="006B766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3F295B">
              <w:rPr>
                <w:rFonts w:ascii="Arial" w:hAnsi="Arial" w:cs="Arial"/>
                <w:sz w:val="20"/>
                <w:szCs w:val="20"/>
                <w:lang w:val="en-GB"/>
              </w:rPr>
              <w:t>Enoiugh</w:t>
            </w:r>
            <w:proofErr w:type="spellEnd"/>
            <w:r w:rsidRPr="003F295B">
              <w:rPr>
                <w:rFonts w:ascii="Arial" w:hAnsi="Arial" w:cs="Arial"/>
                <w:sz w:val="20"/>
                <w:szCs w:val="20"/>
                <w:lang w:val="en-GB"/>
              </w:rPr>
              <w:t xml:space="preserve"> reference are there</w:t>
            </w:r>
          </w:p>
        </w:tc>
        <w:tc>
          <w:tcPr>
            <w:tcW w:w="1523" w:type="pct"/>
          </w:tcPr>
          <w:p w14:paraId="40220055" w14:textId="003CE45B" w:rsidR="00F1171E" w:rsidRPr="003F295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F295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3F295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3F295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F295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3F295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3F295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377A468F" w:rsidR="00F1171E" w:rsidRPr="003F295B" w:rsidRDefault="00696FF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F295B">
              <w:rPr>
                <w:rFonts w:ascii="Arial" w:hAnsi="Arial" w:cs="Arial"/>
                <w:sz w:val="20"/>
                <w:szCs w:val="20"/>
                <w:lang w:val="en-GB"/>
              </w:rPr>
              <w:t>Good</w:t>
            </w:r>
          </w:p>
          <w:p w14:paraId="41E28118" w14:textId="08614B43" w:rsidR="00F1171E" w:rsidRPr="003F295B" w:rsidRDefault="006B766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F295B">
              <w:rPr>
                <w:rFonts w:ascii="Arial" w:hAnsi="Arial" w:cs="Arial"/>
                <w:sz w:val="20"/>
                <w:szCs w:val="20"/>
                <w:lang w:val="en-GB"/>
              </w:rPr>
              <w:t>The language quality is good</w:t>
            </w:r>
          </w:p>
          <w:p w14:paraId="297F52DB" w14:textId="77777777" w:rsidR="00F1171E" w:rsidRPr="003F295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3F295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173932DF" w:rsidR="00F1171E" w:rsidRPr="003F295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F295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3F295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F295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F295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F295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3F295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09658845" w:rsidR="00F1171E" w:rsidRPr="003F295B" w:rsidRDefault="006B766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F295B">
              <w:rPr>
                <w:rFonts w:ascii="Arial" w:hAnsi="Arial" w:cs="Arial"/>
                <w:sz w:val="20"/>
                <w:szCs w:val="20"/>
                <w:lang w:val="en-GB"/>
              </w:rPr>
              <w:t xml:space="preserve">The manuscript addresses a timely and scientifically relevant topic.  combines traditional medicinal knowledge with contemporary immunological perspectives, offering valuable insights for researchers in pharmacology, </w:t>
            </w:r>
            <w:proofErr w:type="spellStart"/>
            <w:proofErr w:type="gramStart"/>
            <w:r w:rsidRPr="003F295B">
              <w:rPr>
                <w:rFonts w:ascii="Arial" w:hAnsi="Arial" w:cs="Arial"/>
                <w:sz w:val="20"/>
                <w:szCs w:val="20"/>
                <w:lang w:val="en-GB"/>
              </w:rPr>
              <w:t>immunotherapy.The</w:t>
            </w:r>
            <w:proofErr w:type="spellEnd"/>
            <w:proofErr w:type="gramEnd"/>
            <w:r w:rsidRPr="003F295B">
              <w:rPr>
                <w:rFonts w:ascii="Arial" w:hAnsi="Arial" w:cs="Arial"/>
                <w:sz w:val="20"/>
                <w:szCs w:val="20"/>
                <w:lang w:val="en-GB"/>
              </w:rPr>
              <w:t xml:space="preserve"> manuscript is well-organized, supported by appropriate references, and presents its core concepts with clarity.</w:t>
            </w:r>
          </w:p>
          <w:p w14:paraId="5E946A0E" w14:textId="77777777" w:rsidR="00F1171E" w:rsidRPr="003F295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3F295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3F295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3F295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3F295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3F295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3F295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3F295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3F295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3F295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3F295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3F295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3F295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3F295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3F295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3F295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3F295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3F295B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3F295B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3F295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3F295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3F295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3F295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F295B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3F295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F295B">
              <w:rPr>
                <w:rFonts w:ascii="Arial" w:hAnsi="Arial" w:cs="Arial"/>
                <w:lang w:val="en-GB"/>
              </w:rPr>
              <w:t>Author’s comment</w:t>
            </w:r>
            <w:r w:rsidRPr="003F295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F295B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3F295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3F295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F295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3F295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3F295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F295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F295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F295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3F295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3E0CE96F" w:rsidR="00F1171E" w:rsidRPr="003F295B" w:rsidRDefault="00F1171E" w:rsidP="006B766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3F295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3F295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3F295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204E434" w14:textId="77777777" w:rsidR="003F295B" w:rsidRPr="00245F17" w:rsidRDefault="003F295B" w:rsidP="003F295B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245F17">
        <w:rPr>
          <w:rFonts w:ascii="Arial" w:hAnsi="Arial" w:cs="Arial"/>
          <w:b/>
          <w:u w:val="single"/>
        </w:rPr>
        <w:t>Reviewer details:</w:t>
      </w:r>
    </w:p>
    <w:p w14:paraId="00B36866" w14:textId="77777777" w:rsidR="003F295B" w:rsidRPr="00245F17" w:rsidRDefault="003F295B" w:rsidP="003F295B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245F17">
        <w:rPr>
          <w:rFonts w:ascii="Arial" w:hAnsi="Arial" w:cs="Arial"/>
          <w:b/>
          <w:color w:val="000000"/>
        </w:rPr>
        <w:t xml:space="preserve">S Shamina, </w:t>
      </w:r>
      <w:proofErr w:type="spellStart"/>
      <w:r w:rsidRPr="00245F17">
        <w:rPr>
          <w:rFonts w:ascii="Arial" w:hAnsi="Arial" w:cs="Arial"/>
          <w:b/>
          <w:color w:val="000000"/>
        </w:rPr>
        <w:t>Rvs</w:t>
      </w:r>
      <w:proofErr w:type="spellEnd"/>
      <w:r w:rsidRPr="00245F17">
        <w:rPr>
          <w:rFonts w:ascii="Arial" w:hAnsi="Arial" w:cs="Arial"/>
          <w:b/>
          <w:color w:val="000000"/>
        </w:rPr>
        <w:t xml:space="preserve"> College </w:t>
      </w:r>
      <w:proofErr w:type="gramStart"/>
      <w:r w:rsidRPr="00245F17">
        <w:rPr>
          <w:rFonts w:ascii="Arial" w:hAnsi="Arial" w:cs="Arial"/>
          <w:b/>
          <w:color w:val="000000"/>
        </w:rPr>
        <w:t>Of</w:t>
      </w:r>
      <w:proofErr w:type="gramEnd"/>
      <w:r w:rsidRPr="00245F17">
        <w:rPr>
          <w:rFonts w:ascii="Arial" w:hAnsi="Arial" w:cs="Arial"/>
          <w:b/>
          <w:color w:val="000000"/>
        </w:rPr>
        <w:t xml:space="preserve"> Arts </w:t>
      </w:r>
      <w:proofErr w:type="gramStart"/>
      <w:r w:rsidRPr="00245F17">
        <w:rPr>
          <w:rFonts w:ascii="Arial" w:hAnsi="Arial" w:cs="Arial"/>
          <w:b/>
          <w:color w:val="000000"/>
        </w:rPr>
        <w:t>And</w:t>
      </w:r>
      <w:proofErr w:type="gramEnd"/>
      <w:r w:rsidRPr="00245F17">
        <w:rPr>
          <w:rFonts w:ascii="Arial" w:hAnsi="Arial" w:cs="Arial"/>
          <w:b/>
          <w:color w:val="000000"/>
        </w:rPr>
        <w:t xml:space="preserve"> Science, India</w:t>
      </w:r>
    </w:p>
    <w:p w14:paraId="745D00CB" w14:textId="77777777" w:rsidR="003F295B" w:rsidRPr="003F295B" w:rsidRDefault="003F295B">
      <w:pPr>
        <w:rPr>
          <w:rFonts w:ascii="Arial" w:hAnsi="Arial" w:cs="Arial"/>
          <w:b/>
          <w:sz w:val="20"/>
          <w:szCs w:val="20"/>
          <w:lang w:val="en-GB"/>
        </w:rPr>
      </w:pPr>
    </w:p>
    <w:sectPr w:rsidR="003F295B" w:rsidRPr="003F295B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4DE50" w14:textId="77777777" w:rsidR="00147836" w:rsidRPr="0000007A" w:rsidRDefault="00147836" w:rsidP="0099583E">
      <w:r>
        <w:separator/>
      </w:r>
    </w:p>
  </w:endnote>
  <w:endnote w:type="continuationSeparator" w:id="0">
    <w:p w14:paraId="4E397350" w14:textId="77777777" w:rsidR="00147836" w:rsidRPr="0000007A" w:rsidRDefault="0014783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3C8A3" w14:textId="77777777" w:rsidR="00147836" w:rsidRPr="0000007A" w:rsidRDefault="00147836" w:rsidP="0099583E">
      <w:r>
        <w:separator/>
      </w:r>
    </w:p>
  </w:footnote>
  <w:footnote w:type="continuationSeparator" w:id="0">
    <w:p w14:paraId="5243C215" w14:textId="77777777" w:rsidR="00147836" w:rsidRPr="0000007A" w:rsidRDefault="0014783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13039729">
    <w:abstractNumId w:val="3"/>
  </w:num>
  <w:num w:numId="2" w16cid:durableId="1148475359">
    <w:abstractNumId w:val="6"/>
  </w:num>
  <w:num w:numId="3" w16cid:durableId="1847673698">
    <w:abstractNumId w:val="5"/>
  </w:num>
  <w:num w:numId="4" w16cid:durableId="1862473763">
    <w:abstractNumId w:val="7"/>
  </w:num>
  <w:num w:numId="5" w16cid:durableId="2120295186">
    <w:abstractNumId w:val="4"/>
  </w:num>
  <w:num w:numId="6" w16cid:durableId="330525871">
    <w:abstractNumId w:val="0"/>
  </w:num>
  <w:num w:numId="7" w16cid:durableId="1711686880">
    <w:abstractNumId w:val="1"/>
  </w:num>
  <w:num w:numId="8" w16cid:durableId="1704132966">
    <w:abstractNumId w:val="9"/>
  </w:num>
  <w:num w:numId="9" w16cid:durableId="1072266266">
    <w:abstractNumId w:val="8"/>
  </w:num>
  <w:num w:numId="10" w16cid:durableId="10245547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fr-FR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1FE5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47836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526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4907"/>
    <w:rsid w:val="002650C5"/>
    <w:rsid w:val="00275984"/>
    <w:rsid w:val="00280EC9"/>
    <w:rsid w:val="00282BEE"/>
    <w:rsid w:val="002858E2"/>
    <w:rsid w:val="002859CC"/>
    <w:rsid w:val="00291D08"/>
    <w:rsid w:val="00293482"/>
    <w:rsid w:val="002A3D7C"/>
    <w:rsid w:val="002B0E4B"/>
    <w:rsid w:val="002C40B8"/>
    <w:rsid w:val="002D2518"/>
    <w:rsid w:val="002D60EF"/>
    <w:rsid w:val="002E10DF"/>
    <w:rsid w:val="002E1211"/>
    <w:rsid w:val="002E2339"/>
    <w:rsid w:val="002E5C81"/>
    <w:rsid w:val="002E6D86"/>
    <w:rsid w:val="002E7787"/>
    <w:rsid w:val="002F6935"/>
    <w:rsid w:val="003122F0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3F295B"/>
    <w:rsid w:val="00401C12"/>
    <w:rsid w:val="00421DBF"/>
    <w:rsid w:val="0042453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A48C5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32C1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96FF0"/>
    <w:rsid w:val="006979B5"/>
    <w:rsid w:val="006A5E0B"/>
    <w:rsid w:val="006A7405"/>
    <w:rsid w:val="006B7664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81"/>
    <w:rsid w:val="007A62F8"/>
    <w:rsid w:val="007B1099"/>
    <w:rsid w:val="007B54A4"/>
    <w:rsid w:val="007B5EED"/>
    <w:rsid w:val="007C6A5D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6159"/>
    <w:rsid w:val="00AD6C51"/>
    <w:rsid w:val="00AE0E9B"/>
    <w:rsid w:val="00AE54CD"/>
    <w:rsid w:val="00AF3016"/>
    <w:rsid w:val="00B03A45"/>
    <w:rsid w:val="00B2001A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1E98"/>
    <w:rsid w:val="00BB21AB"/>
    <w:rsid w:val="00BB4FEC"/>
    <w:rsid w:val="00BC402F"/>
    <w:rsid w:val="00BD0DF5"/>
    <w:rsid w:val="00BD6447"/>
    <w:rsid w:val="00BD7527"/>
    <w:rsid w:val="00BD7D8A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0FB0"/>
    <w:rsid w:val="00C52BDE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16F4"/>
    <w:rsid w:val="00D24CBE"/>
    <w:rsid w:val="00D27A79"/>
    <w:rsid w:val="00D32AC2"/>
    <w:rsid w:val="00D40416"/>
    <w:rsid w:val="00D430AB"/>
    <w:rsid w:val="00D4782A"/>
    <w:rsid w:val="00D633D5"/>
    <w:rsid w:val="00D709EB"/>
    <w:rsid w:val="00D7603E"/>
    <w:rsid w:val="00D85078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6874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8B7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96FF0"/>
    <w:rPr>
      <w:b/>
      <w:bCs/>
    </w:rPr>
  </w:style>
  <w:style w:type="paragraph" w:customStyle="1" w:styleId="Affiliation">
    <w:name w:val="Affiliation"/>
    <w:basedOn w:val="Normal"/>
    <w:rsid w:val="003F295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sjournals.net/ijpr/article/view/282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pharmaceutical-science-new-insights-and-development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3060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2025-04-24T06:39:00Z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