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041D0" w14:textId="77777777" w:rsidR="007E20F1" w:rsidRDefault="00E026B7">
      <w:pPr>
        <w:spacing w:before="80" w:line="276" w:lineRule="auto"/>
        <w:ind w:left="187" w:right="187"/>
        <w:jc w:val="center"/>
        <w:rPr>
          <w:b/>
          <w:sz w:val="34"/>
        </w:rPr>
      </w:pPr>
      <w:commentRangeStart w:id="0"/>
      <w:r>
        <w:rPr>
          <w:b/>
          <w:sz w:val="34"/>
        </w:rPr>
        <w:t>THE</w:t>
      </w:r>
      <w:r>
        <w:rPr>
          <w:b/>
          <w:spacing w:val="-8"/>
          <w:sz w:val="34"/>
        </w:rPr>
        <w:t xml:space="preserve"> </w:t>
      </w:r>
      <w:r>
        <w:rPr>
          <w:b/>
          <w:sz w:val="34"/>
        </w:rPr>
        <w:t>EFFECT</w:t>
      </w:r>
      <w:r>
        <w:rPr>
          <w:b/>
          <w:spacing w:val="-4"/>
          <w:sz w:val="34"/>
        </w:rPr>
        <w:t xml:space="preserve"> </w:t>
      </w:r>
      <w:r>
        <w:rPr>
          <w:b/>
          <w:sz w:val="34"/>
        </w:rPr>
        <w:t>OF</w:t>
      </w:r>
      <w:r>
        <w:rPr>
          <w:b/>
          <w:spacing w:val="-7"/>
          <w:sz w:val="34"/>
        </w:rPr>
        <w:t xml:space="preserve"> </w:t>
      </w:r>
      <w:r>
        <w:rPr>
          <w:b/>
          <w:sz w:val="34"/>
        </w:rPr>
        <w:t>LOCATION</w:t>
      </w:r>
      <w:r>
        <w:rPr>
          <w:b/>
          <w:spacing w:val="-7"/>
          <w:sz w:val="34"/>
        </w:rPr>
        <w:t xml:space="preserve"> </w:t>
      </w:r>
      <w:r>
        <w:rPr>
          <w:b/>
          <w:sz w:val="34"/>
        </w:rPr>
        <w:t>ON</w:t>
      </w:r>
      <w:r>
        <w:rPr>
          <w:b/>
          <w:spacing w:val="-7"/>
          <w:sz w:val="34"/>
        </w:rPr>
        <w:t xml:space="preserve"> </w:t>
      </w:r>
      <w:r>
        <w:rPr>
          <w:b/>
          <w:sz w:val="34"/>
        </w:rPr>
        <w:t>THE</w:t>
      </w:r>
      <w:r>
        <w:rPr>
          <w:b/>
          <w:spacing w:val="-5"/>
          <w:sz w:val="34"/>
        </w:rPr>
        <w:t xml:space="preserve"> </w:t>
      </w:r>
      <w:r>
        <w:rPr>
          <w:b/>
          <w:sz w:val="34"/>
        </w:rPr>
        <w:t>ADOPTION OF FLOOD HAZARDS MITIGATION IN THE FORCADOS BASIN OF THE NIGER DELTA</w:t>
      </w:r>
      <w:commentRangeEnd w:id="0"/>
      <w:r w:rsidR="00494136">
        <w:rPr>
          <w:rStyle w:val="CommentReference"/>
        </w:rPr>
        <w:commentReference w:id="0"/>
      </w:r>
    </w:p>
    <w:p w14:paraId="325979F1" w14:textId="77777777" w:rsidR="007E20F1" w:rsidRDefault="007E20F1">
      <w:pPr>
        <w:pStyle w:val="BodyText"/>
        <w:spacing w:before="59"/>
        <w:rPr>
          <w:b/>
          <w:sz w:val="34"/>
        </w:rPr>
      </w:pPr>
    </w:p>
    <w:p w14:paraId="01DD4620" w14:textId="77777777" w:rsidR="007E20F1" w:rsidRDefault="007E20F1">
      <w:pPr>
        <w:pStyle w:val="BodyText"/>
        <w:spacing w:before="181"/>
        <w:rPr>
          <w:b/>
          <w:sz w:val="34"/>
        </w:rPr>
      </w:pPr>
    </w:p>
    <w:p w14:paraId="20D7E828" w14:textId="77777777" w:rsidR="007E20F1" w:rsidRDefault="00E026B7">
      <w:pPr>
        <w:pStyle w:val="BodyText"/>
        <w:ind w:left="187" w:right="187"/>
        <w:jc w:val="center"/>
      </w:pPr>
      <w:r>
        <w:rPr>
          <w:spacing w:val="-2"/>
        </w:rPr>
        <w:t>ABSTRACT</w:t>
      </w:r>
    </w:p>
    <w:p w14:paraId="15F218A8" w14:textId="77777777" w:rsidR="007E20F1" w:rsidRDefault="00E026B7">
      <w:pPr>
        <w:spacing w:before="47" w:line="276" w:lineRule="auto"/>
        <w:ind w:left="165" w:right="163"/>
        <w:jc w:val="both"/>
        <w:rPr>
          <w:i/>
          <w:sz w:val="28"/>
        </w:rPr>
      </w:pPr>
      <w:commentRangeStart w:id="1"/>
      <w:r>
        <w:rPr>
          <w:i/>
          <w:sz w:val="28"/>
        </w:rPr>
        <w:t>Space</w:t>
      </w:r>
      <w:commentRangeEnd w:id="1"/>
      <w:r w:rsidR="005829CA">
        <w:rPr>
          <w:rStyle w:val="CommentReference"/>
        </w:rPr>
        <w:commentReference w:id="1"/>
      </w:r>
      <w:r>
        <w:rPr>
          <w:i/>
          <w:sz w:val="28"/>
        </w:rPr>
        <w:t xml:space="preserve"> perception and locational decisions affect the adoption of flood hazards mitigation in vulnerable areas. In the </w:t>
      </w:r>
      <w:proofErr w:type="spellStart"/>
      <w:r>
        <w:rPr>
          <w:i/>
          <w:sz w:val="28"/>
        </w:rPr>
        <w:t>Forcados</w:t>
      </w:r>
      <w:proofErr w:type="spellEnd"/>
      <w:r>
        <w:rPr>
          <w:i/>
          <w:sz w:val="28"/>
        </w:rPr>
        <w:t xml:space="preserve"> Basin of the Niger Delta region, the floodplain dwellers’ choice of mitigation measures</w:t>
      </w:r>
      <w:r>
        <w:rPr>
          <w:i/>
          <w:spacing w:val="-1"/>
          <w:sz w:val="28"/>
        </w:rPr>
        <w:t xml:space="preserve"> </w:t>
      </w:r>
      <w:r>
        <w:rPr>
          <w:i/>
          <w:sz w:val="28"/>
        </w:rPr>
        <w:t>is</w:t>
      </w:r>
      <w:r>
        <w:rPr>
          <w:i/>
          <w:spacing w:val="-1"/>
          <w:sz w:val="28"/>
        </w:rPr>
        <w:t xml:space="preserve"> </w:t>
      </w:r>
      <w:r>
        <w:rPr>
          <w:i/>
          <w:sz w:val="28"/>
        </w:rPr>
        <w:t>a</w:t>
      </w:r>
      <w:r>
        <w:rPr>
          <w:i/>
          <w:spacing w:val="-3"/>
          <w:sz w:val="28"/>
        </w:rPr>
        <w:t xml:space="preserve"> </w:t>
      </w:r>
      <w:r>
        <w:rPr>
          <w:i/>
          <w:sz w:val="28"/>
        </w:rPr>
        <w:t>function</w:t>
      </w:r>
      <w:r>
        <w:rPr>
          <w:i/>
          <w:spacing w:val="-3"/>
          <w:sz w:val="28"/>
        </w:rPr>
        <w:t xml:space="preserve"> </w:t>
      </w:r>
      <w:r>
        <w:rPr>
          <w:i/>
          <w:sz w:val="28"/>
        </w:rPr>
        <w:t>of</w:t>
      </w:r>
      <w:r>
        <w:rPr>
          <w:i/>
          <w:spacing w:val="-1"/>
          <w:sz w:val="28"/>
        </w:rPr>
        <w:t xml:space="preserve"> </w:t>
      </w:r>
      <w:r>
        <w:rPr>
          <w:i/>
          <w:sz w:val="28"/>
        </w:rPr>
        <w:t>a</w:t>
      </w:r>
      <w:r>
        <w:rPr>
          <w:i/>
          <w:spacing w:val="-3"/>
          <w:sz w:val="28"/>
        </w:rPr>
        <w:t xml:space="preserve"> </w:t>
      </w:r>
      <w:r>
        <w:rPr>
          <w:i/>
          <w:sz w:val="28"/>
        </w:rPr>
        <w:t>complex process</w:t>
      </w:r>
      <w:r>
        <w:rPr>
          <w:i/>
          <w:spacing w:val="-1"/>
          <w:sz w:val="28"/>
        </w:rPr>
        <w:t xml:space="preserve"> </w:t>
      </w:r>
      <w:r>
        <w:rPr>
          <w:i/>
          <w:sz w:val="28"/>
        </w:rPr>
        <w:t>involving</w:t>
      </w:r>
      <w:r>
        <w:rPr>
          <w:i/>
          <w:spacing w:val="-3"/>
          <w:sz w:val="28"/>
        </w:rPr>
        <w:t xml:space="preserve"> </w:t>
      </w:r>
      <w:commentRangeStart w:id="2"/>
      <w:r>
        <w:rPr>
          <w:i/>
          <w:sz w:val="28"/>
        </w:rPr>
        <w:t>several</w:t>
      </w:r>
      <w:r>
        <w:rPr>
          <w:i/>
          <w:spacing w:val="-1"/>
          <w:sz w:val="28"/>
        </w:rPr>
        <w:t xml:space="preserve"> </w:t>
      </w:r>
      <w:r>
        <w:rPr>
          <w:i/>
          <w:sz w:val="28"/>
        </w:rPr>
        <w:t>variables</w:t>
      </w:r>
      <w:commentRangeEnd w:id="2"/>
      <w:r w:rsidR="005829CA">
        <w:rPr>
          <w:rStyle w:val="CommentReference"/>
        </w:rPr>
        <w:commentReference w:id="2"/>
      </w:r>
      <w:r>
        <w:rPr>
          <w:i/>
          <w:sz w:val="28"/>
        </w:rPr>
        <w:t xml:space="preserve">. The spatial distributions of floodplain dwellers’ residences were investigated in terms of their proximity and exposure to the hazard vis- à-vis information on the adjustments made. </w:t>
      </w:r>
      <w:commentRangeStart w:id="3"/>
      <w:r>
        <w:rPr>
          <w:i/>
          <w:sz w:val="28"/>
        </w:rPr>
        <w:t xml:space="preserve">The results of the study suggest that the adoption of flood mitigation measures require little planning and are highly related to location in the </w:t>
      </w:r>
      <w:proofErr w:type="spellStart"/>
      <w:r>
        <w:rPr>
          <w:i/>
          <w:sz w:val="28"/>
        </w:rPr>
        <w:t>Forcados</w:t>
      </w:r>
      <w:proofErr w:type="spellEnd"/>
      <w:r>
        <w:rPr>
          <w:i/>
          <w:sz w:val="28"/>
        </w:rPr>
        <w:t xml:space="preserve"> Basin</w:t>
      </w:r>
      <w:commentRangeEnd w:id="3"/>
      <w:r w:rsidR="00E26231">
        <w:rPr>
          <w:rStyle w:val="CommentReference"/>
        </w:rPr>
        <w:commentReference w:id="3"/>
      </w:r>
      <w:r>
        <w:rPr>
          <w:i/>
          <w:sz w:val="28"/>
        </w:rPr>
        <w:t>.</w:t>
      </w:r>
    </w:p>
    <w:p w14:paraId="03A8B283" w14:textId="77777777" w:rsidR="007E20F1" w:rsidRDefault="00E026B7">
      <w:pPr>
        <w:spacing w:line="276" w:lineRule="auto"/>
        <w:ind w:left="165" w:right="164"/>
        <w:jc w:val="both"/>
        <w:rPr>
          <w:i/>
          <w:sz w:val="28"/>
        </w:rPr>
      </w:pPr>
      <w:r>
        <w:rPr>
          <w:b/>
          <w:i/>
          <w:sz w:val="28"/>
        </w:rPr>
        <w:t xml:space="preserve">Keywords: </w:t>
      </w:r>
      <w:r>
        <w:rPr>
          <w:i/>
          <w:sz w:val="28"/>
        </w:rPr>
        <w:t xml:space="preserve">Awareness, Flood Mitigation, Flood Insurance, Non- Structural Measures, </w:t>
      </w:r>
      <w:proofErr w:type="spellStart"/>
      <w:r>
        <w:rPr>
          <w:i/>
          <w:sz w:val="28"/>
        </w:rPr>
        <w:t>Forcados</w:t>
      </w:r>
      <w:proofErr w:type="spellEnd"/>
      <w:r>
        <w:rPr>
          <w:i/>
          <w:sz w:val="28"/>
        </w:rPr>
        <w:t xml:space="preserve"> Basin.</w:t>
      </w:r>
    </w:p>
    <w:p w14:paraId="79D4F805" w14:textId="77777777" w:rsidR="007E20F1" w:rsidRDefault="007E20F1">
      <w:pPr>
        <w:pStyle w:val="BodyText"/>
        <w:rPr>
          <w:i/>
        </w:rPr>
      </w:pPr>
    </w:p>
    <w:p w14:paraId="7A3BCD00" w14:textId="77777777" w:rsidR="007E20F1" w:rsidRDefault="007E20F1">
      <w:pPr>
        <w:pStyle w:val="BodyText"/>
        <w:spacing w:before="96"/>
        <w:rPr>
          <w:i/>
        </w:rPr>
      </w:pPr>
    </w:p>
    <w:p w14:paraId="63347C7F" w14:textId="1B78006F" w:rsidR="007E20F1" w:rsidRDefault="00E026B7" w:rsidP="002023A5">
      <w:pPr>
        <w:pStyle w:val="Heading1"/>
        <w:numPr>
          <w:ilvl w:val="0"/>
          <w:numId w:val="6"/>
        </w:numPr>
      </w:pPr>
      <w:r>
        <w:rPr>
          <w:spacing w:val="-2"/>
        </w:rPr>
        <w:t>INTRODUCTION</w:t>
      </w:r>
    </w:p>
    <w:p w14:paraId="6F990BF2" w14:textId="77777777" w:rsidR="007E20F1" w:rsidRDefault="00E026B7">
      <w:pPr>
        <w:pStyle w:val="BodyText"/>
        <w:spacing w:before="49" w:line="276" w:lineRule="auto"/>
        <w:ind w:left="165" w:right="164"/>
        <w:jc w:val="both"/>
      </w:pPr>
      <w:r>
        <w:t>Floods are natural disasters that have been affecting human lives since time immemorial. Throughout history, nature has shown little respect</w:t>
      </w:r>
      <w:r>
        <w:rPr>
          <w:spacing w:val="40"/>
        </w:rPr>
        <w:t xml:space="preserve"> </w:t>
      </w:r>
      <w:r>
        <w:t>for man’s unwise occupancy of nature’s</w:t>
      </w:r>
      <w:r>
        <w:rPr>
          <w:spacing w:val="-1"/>
        </w:rPr>
        <w:t xml:space="preserve"> </w:t>
      </w:r>
      <w:r>
        <w:t>right of way and has insured that the message has been clearly understood by sporadically flooding people’s properties and taking lives (Perry, 2000).</w:t>
      </w:r>
    </w:p>
    <w:p w14:paraId="5D6C2DC3" w14:textId="77777777" w:rsidR="007E20F1" w:rsidRDefault="007E20F1">
      <w:pPr>
        <w:pStyle w:val="BodyText"/>
        <w:spacing w:line="276" w:lineRule="auto"/>
        <w:jc w:val="both"/>
        <w:sectPr w:rsidR="007E20F1">
          <w:headerReference w:type="even" r:id="rId9"/>
          <w:headerReference w:type="default" r:id="rId10"/>
          <w:footerReference w:type="even" r:id="rId11"/>
          <w:footerReference w:type="default" r:id="rId12"/>
          <w:headerReference w:type="first" r:id="rId13"/>
          <w:footerReference w:type="first" r:id="rId14"/>
          <w:type w:val="continuous"/>
          <w:pgSz w:w="11910" w:h="16840"/>
          <w:pgMar w:top="1340" w:right="1275" w:bottom="1000" w:left="1275" w:header="0" w:footer="803" w:gutter="0"/>
          <w:pgNumType w:start="1"/>
          <w:cols w:space="720"/>
        </w:sectPr>
      </w:pPr>
    </w:p>
    <w:p w14:paraId="1A246C95" w14:textId="77777777" w:rsidR="007E20F1" w:rsidRDefault="00E026B7">
      <w:pPr>
        <w:pStyle w:val="BodyText"/>
        <w:spacing w:before="82" w:line="276" w:lineRule="auto"/>
        <w:ind w:left="165" w:right="163"/>
        <w:jc w:val="both"/>
      </w:pPr>
      <w:r>
        <w:lastRenderedPageBreak/>
        <w:t>Flood management analysis,</w:t>
      </w:r>
      <w:r>
        <w:rPr>
          <w:spacing w:val="-1"/>
        </w:rPr>
        <w:t xml:space="preserve"> </w:t>
      </w:r>
      <w:r>
        <w:t>prediction, control, crisis</w:t>
      </w:r>
      <w:r>
        <w:rPr>
          <w:spacing w:val="-1"/>
        </w:rPr>
        <w:t xml:space="preserve"> </w:t>
      </w:r>
      <w:r>
        <w:t>management, and rehabilitation are normally in the hands of national, regional or local administration and other authorities. One aspect of the problem is the fact that different aspects of management are often disseminated amongst a complex hierarchy of agencies. A second aspect, often ignored by scientists concerned with flooding, are the often numerous and varied reasons why people choose to live in flood hazard zones, and the ways in which they perceived the problem (Burton et al, 1979). To understand and manage successfully the flood problem requires an understanding of the physical problem; but it also requires an understanding of the threatened communities in hazardous areas.</w:t>
      </w:r>
    </w:p>
    <w:p w14:paraId="02664256" w14:textId="77777777" w:rsidR="007E20F1" w:rsidRDefault="007E20F1">
      <w:pPr>
        <w:pStyle w:val="BodyText"/>
        <w:spacing w:before="46"/>
      </w:pPr>
    </w:p>
    <w:p w14:paraId="280B852E" w14:textId="77777777" w:rsidR="007E20F1" w:rsidRDefault="00E026B7">
      <w:pPr>
        <w:pStyle w:val="BodyText"/>
        <w:spacing w:before="1" w:line="276" w:lineRule="auto"/>
        <w:ind w:left="165" w:right="163"/>
        <w:jc w:val="both"/>
      </w:pPr>
      <w:r>
        <w:t>Natural hazards researchers and policy-makers at all levels have embraced the need to increase public awareness of flood hazards in</w:t>
      </w:r>
      <w:r>
        <w:rPr>
          <w:spacing w:val="40"/>
        </w:rPr>
        <w:t xml:space="preserve"> </w:t>
      </w:r>
      <w:r>
        <w:t xml:space="preserve">order to encourage the adoption of self-protecting measures of flood- hazard mitigation the world over. In the </w:t>
      </w:r>
      <w:proofErr w:type="spellStart"/>
      <w:r>
        <w:t>Forcados</w:t>
      </w:r>
      <w:proofErr w:type="spellEnd"/>
      <w:r>
        <w:t xml:space="preserve"> Basin of the Niger Delta, flood protection work has not always been successful. In some reaches of the basin, it has introduced unwanted side effects as experienced</w:t>
      </w:r>
      <w:r>
        <w:rPr>
          <w:spacing w:val="-1"/>
        </w:rPr>
        <w:t xml:space="preserve"> </w:t>
      </w:r>
      <w:r>
        <w:t xml:space="preserve">in Tuomo Community in the </w:t>
      </w:r>
      <w:proofErr w:type="spellStart"/>
      <w:r>
        <w:t>Bomadi</w:t>
      </w:r>
      <w:proofErr w:type="spellEnd"/>
      <w:r>
        <w:t xml:space="preserve"> Creek, or it has proved to be unable to withstand certain conditions. Recent geomorphological and stratigraphic mapping by the Niger Delta Regional Development Master Plan (NDRDMP, 2007) has provided an interesting record of dyke bursts. Dykes have been constructed in some communities in this area</w:t>
      </w:r>
      <w:r>
        <w:rPr>
          <w:spacing w:val="-2"/>
        </w:rPr>
        <w:t xml:space="preserve"> </w:t>
      </w:r>
      <w:r>
        <w:t>in</w:t>
      </w:r>
      <w:r>
        <w:rPr>
          <w:spacing w:val="-2"/>
        </w:rPr>
        <w:t xml:space="preserve"> </w:t>
      </w:r>
      <w:r>
        <w:t>the</w:t>
      </w:r>
      <w:r>
        <w:rPr>
          <w:spacing w:val="-1"/>
        </w:rPr>
        <w:t xml:space="preserve"> </w:t>
      </w:r>
      <w:r>
        <w:t>1970s</w:t>
      </w:r>
      <w:r>
        <w:rPr>
          <w:spacing w:val="-1"/>
        </w:rPr>
        <w:t xml:space="preserve"> </w:t>
      </w:r>
      <w:r>
        <w:t>in</w:t>
      </w:r>
      <w:r>
        <w:rPr>
          <w:spacing w:val="-4"/>
        </w:rPr>
        <w:t xml:space="preserve"> </w:t>
      </w:r>
      <w:r>
        <w:t>an</w:t>
      </w:r>
      <w:r>
        <w:rPr>
          <w:spacing w:val="-2"/>
        </w:rPr>
        <w:t xml:space="preserve"> </w:t>
      </w:r>
      <w:r>
        <w:t>attempt</w:t>
      </w:r>
      <w:r>
        <w:rPr>
          <w:spacing w:val="-2"/>
        </w:rPr>
        <w:t xml:space="preserve"> </w:t>
      </w:r>
      <w:r>
        <w:t>to</w:t>
      </w:r>
      <w:r>
        <w:rPr>
          <w:spacing w:val="-4"/>
        </w:rPr>
        <w:t xml:space="preserve"> </w:t>
      </w:r>
      <w:r>
        <w:t>restrict</w:t>
      </w:r>
      <w:r>
        <w:rPr>
          <w:spacing w:val="-1"/>
        </w:rPr>
        <w:t xml:space="preserve"> </w:t>
      </w:r>
      <w:r>
        <w:t>flooding</w:t>
      </w:r>
      <w:r>
        <w:rPr>
          <w:spacing w:val="-3"/>
        </w:rPr>
        <w:t xml:space="preserve"> </w:t>
      </w:r>
      <w:r>
        <w:t>by</w:t>
      </w:r>
      <w:r>
        <w:rPr>
          <w:spacing w:val="-3"/>
        </w:rPr>
        <w:t xml:space="preserve"> </w:t>
      </w:r>
      <w:r>
        <w:t>the</w:t>
      </w:r>
      <w:r>
        <w:rPr>
          <w:spacing w:val="-3"/>
        </w:rPr>
        <w:t xml:space="preserve"> </w:t>
      </w:r>
      <w:proofErr w:type="spellStart"/>
      <w:r>
        <w:t>Forcados</w:t>
      </w:r>
      <w:proofErr w:type="spellEnd"/>
      <w:r>
        <w:rPr>
          <w:spacing w:val="-3"/>
        </w:rPr>
        <w:t xml:space="preserve"> </w:t>
      </w:r>
      <w:r>
        <w:t>River. These</w:t>
      </w:r>
      <w:r>
        <w:rPr>
          <w:spacing w:val="-2"/>
        </w:rPr>
        <w:t xml:space="preserve"> </w:t>
      </w:r>
      <w:r>
        <w:t>engineering structures</w:t>
      </w:r>
      <w:r>
        <w:rPr>
          <w:spacing w:val="-2"/>
        </w:rPr>
        <w:t xml:space="preserve"> </w:t>
      </w:r>
      <w:r>
        <w:t>succeeded but</w:t>
      </w:r>
      <w:r>
        <w:rPr>
          <w:spacing w:val="-2"/>
        </w:rPr>
        <w:t xml:space="preserve"> </w:t>
      </w:r>
      <w:r>
        <w:t>dyke bursts have</w:t>
      </w:r>
      <w:r>
        <w:rPr>
          <w:spacing w:val="-2"/>
        </w:rPr>
        <w:t xml:space="preserve"> </w:t>
      </w:r>
      <w:r>
        <w:t>taken place and even now new work is ongoing to broaden and raise the height of some of these dykes which appears to be vulnerable to future bursts.</w:t>
      </w:r>
    </w:p>
    <w:p w14:paraId="5D01086F" w14:textId="77777777" w:rsidR="007E20F1" w:rsidRDefault="007E20F1">
      <w:pPr>
        <w:pStyle w:val="BodyText"/>
        <w:spacing w:before="47"/>
      </w:pPr>
    </w:p>
    <w:p w14:paraId="0BAD6930" w14:textId="77777777" w:rsidR="007E20F1" w:rsidRDefault="00E026B7">
      <w:pPr>
        <w:pStyle w:val="BodyText"/>
        <w:spacing w:line="276" w:lineRule="auto"/>
        <w:ind w:left="165" w:right="90"/>
        <w:jc w:val="both"/>
      </w:pPr>
      <w:r>
        <w:t xml:space="preserve">Many variables have been shown to be the factors in the development of awareness and in the adoption of mitigation measures in the face of environmental hazards (Cooke and </w:t>
      </w:r>
      <w:proofErr w:type="spellStart"/>
      <w:r>
        <w:t>Doornkamp</w:t>
      </w:r>
      <w:proofErr w:type="spellEnd"/>
      <w:r>
        <w:t>, 2015), but few have general consistent influence (Montz, 1982). As the experience of a hazard is not universally effective in the management of same, information dissemination is being studied as a surrogate for experience in</w:t>
      </w:r>
      <w:r>
        <w:rPr>
          <w:spacing w:val="80"/>
        </w:rPr>
        <w:t xml:space="preserve"> </w:t>
      </w:r>
      <w:r>
        <w:t>developing awareness, yet experience or public information will affect people most differently. Differences in types of experience, information sources, length of residence, personality, and spatial variations in response must be considered with information dissemination. Where there</w:t>
      </w:r>
      <w:r>
        <w:rPr>
          <w:spacing w:val="-3"/>
        </w:rPr>
        <w:t xml:space="preserve"> </w:t>
      </w:r>
      <w:r>
        <w:t>are</w:t>
      </w:r>
      <w:r>
        <w:rPr>
          <w:spacing w:val="2"/>
        </w:rPr>
        <w:t xml:space="preserve"> </w:t>
      </w:r>
      <w:r>
        <w:t>differences</w:t>
      </w:r>
      <w:r>
        <w:rPr>
          <w:spacing w:val="-1"/>
        </w:rPr>
        <w:t xml:space="preserve"> </w:t>
      </w:r>
      <w:r>
        <w:t>in</w:t>
      </w:r>
      <w:r>
        <w:rPr>
          <w:spacing w:val="3"/>
        </w:rPr>
        <w:t xml:space="preserve"> </w:t>
      </w:r>
      <w:r>
        <w:t>response</w:t>
      </w:r>
      <w:r>
        <w:rPr>
          <w:spacing w:val="-1"/>
        </w:rPr>
        <w:t xml:space="preserve"> </w:t>
      </w:r>
      <w:r>
        <w:t>between</w:t>
      </w:r>
      <w:r>
        <w:rPr>
          <w:spacing w:val="3"/>
        </w:rPr>
        <w:t xml:space="preserve"> </w:t>
      </w:r>
      <w:r>
        <w:t>more</w:t>
      </w:r>
      <w:r>
        <w:rPr>
          <w:spacing w:val="2"/>
        </w:rPr>
        <w:t xml:space="preserve"> </w:t>
      </w:r>
      <w:r>
        <w:t>and less</w:t>
      </w:r>
      <w:r>
        <w:rPr>
          <w:spacing w:val="2"/>
        </w:rPr>
        <w:t xml:space="preserve"> </w:t>
      </w:r>
      <w:r>
        <w:t>hazardous</w:t>
      </w:r>
      <w:r>
        <w:rPr>
          <w:spacing w:val="3"/>
        </w:rPr>
        <w:t xml:space="preserve"> </w:t>
      </w:r>
      <w:r>
        <w:rPr>
          <w:spacing w:val="-2"/>
        </w:rPr>
        <w:t>areas,</w:t>
      </w:r>
    </w:p>
    <w:p w14:paraId="16A90845"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6DAEEA86" w14:textId="77777777" w:rsidR="007E20F1" w:rsidRDefault="00E026B7">
      <w:pPr>
        <w:pStyle w:val="BodyText"/>
        <w:spacing w:before="82" w:line="276" w:lineRule="auto"/>
        <w:ind w:left="165" w:right="165"/>
        <w:jc w:val="both"/>
      </w:pPr>
      <w:proofErr w:type="gramStart"/>
      <w:r>
        <w:lastRenderedPageBreak/>
        <w:t>public</w:t>
      </w:r>
      <w:proofErr w:type="gramEnd"/>
      <w:r>
        <w:t xml:space="preserve"> information efforts must be employed to increase awareness and to influence the adoption of mitigation measures in hazard </w:t>
      </w:r>
      <w:commentRangeStart w:id="4"/>
      <w:r>
        <w:t>areas</w:t>
      </w:r>
      <w:commentRangeEnd w:id="4"/>
      <w:r w:rsidR="00E26231">
        <w:rPr>
          <w:rStyle w:val="CommentReference"/>
        </w:rPr>
        <w:commentReference w:id="4"/>
      </w:r>
      <w:r>
        <w:t>.</w:t>
      </w:r>
    </w:p>
    <w:p w14:paraId="6A67FE01" w14:textId="77777777" w:rsidR="007E20F1" w:rsidRDefault="007E20F1">
      <w:pPr>
        <w:pStyle w:val="BodyText"/>
        <w:spacing w:before="46"/>
      </w:pPr>
    </w:p>
    <w:p w14:paraId="328858C9" w14:textId="77777777" w:rsidR="007E20F1" w:rsidRDefault="00E026B7" w:rsidP="002023A5">
      <w:pPr>
        <w:pStyle w:val="Heading1"/>
        <w:numPr>
          <w:ilvl w:val="0"/>
          <w:numId w:val="6"/>
        </w:numPr>
        <w:spacing w:before="1"/>
        <w:jc w:val="both"/>
      </w:pPr>
      <w:r>
        <w:t>Aim</w:t>
      </w:r>
      <w:r>
        <w:rPr>
          <w:spacing w:val="-7"/>
        </w:rPr>
        <w:t xml:space="preserve"> </w:t>
      </w:r>
      <w:r>
        <w:t>and</w:t>
      </w:r>
      <w:r>
        <w:rPr>
          <w:spacing w:val="-1"/>
        </w:rPr>
        <w:t xml:space="preserve"> </w:t>
      </w:r>
      <w:r>
        <w:t>Objectives</w:t>
      </w:r>
      <w:r>
        <w:rPr>
          <w:spacing w:val="-4"/>
        </w:rPr>
        <w:t xml:space="preserve"> </w:t>
      </w:r>
      <w:r>
        <w:t>of</w:t>
      </w:r>
      <w:r>
        <w:rPr>
          <w:spacing w:val="-7"/>
        </w:rPr>
        <w:t xml:space="preserve"> </w:t>
      </w:r>
      <w:r>
        <w:t>the</w:t>
      </w:r>
      <w:r>
        <w:rPr>
          <w:spacing w:val="-3"/>
        </w:rPr>
        <w:t xml:space="preserve"> </w:t>
      </w:r>
      <w:r>
        <w:rPr>
          <w:spacing w:val="-4"/>
        </w:rPr>
        <w:t>Study</w:t>
      </w:r>
    </w:p>
    <w:p w14:paraId="33C2EA7E" w14:textId="77777777" w:rsidR="007E20F1" w:rsidRDefault="00E026B7">
      <w:pPr>
        <w:pStyle w:val="BodyText"/>
        <w:spacing w:before="46" w:line="276" w:lineRule="auto"/>
        <w:ind w:left="165" w:right="163"/>
        <w:jc w:val="both"/>
      </w:pPr>
      <w:r>
        <w:t xml:space="preserve">The aim of this study is to document the </w:t>
      </w:r>
      <w:proofErr w:type="gramStart"/>
      <w:r>
        <w:t>residents</w:t>
      </w:r>
      <w:proofErr w:type="gramEnd"/>
      <w:r>
        <w:t xml:space="preserve"> awareness and adoption of flood</w:t>
      </w:r>
      <w:r>
        <w:rPr>
          <w:spacing w:val="-1"/>
        </w:rPr>
        <w:t xml:space="preserve"> </w:t>
      </w:r>
      <w:r>
        <w:t xml:space="preserve">mitigation measures in the </w:t>
      </w:r>
      <w:proofErr w:type="spellStart"/>
      <w:r>
        <w:t>Forcados</w:t>
      </w:r>
      <w:proofErr w:type="spellEnd"/>
      <w:r>
        <w:rPr>
          <w:spacing w:val="-1"/>
        </w:rPr>
        <w:t xml:space="preserve"> </w:t>
      </w:r>
      <w:r>
        <w:t xml:space="preserve">Basin of the Niger Delta region. To achieve this aim therefore, the following objectives were </w:t>
      </w:r>
      <w:r>
        <w:rPr>
          <w:spacing w:val="-2"/>
        </w:rPr>
        <w:t>considered.</w:t>
      </w:r>
    </w:p>
    <w:p w14:paraId="57AAA496" w14:textId="77777777" w:rsidR="007E20F1" w:rsidRDefault="00E026B7">
      <w:pPr>
        <w:pStyle w:val="ListParagraph"/>
        <w:numPr>
          <w:ilvl w:val="0"/>
          <w:numId w:val="3"/>
        </w:numPr>
        <w:tabs>
          <w:tab w:val="left" w:pos="885"/>
        </w:tabs>
        <w:spacing w:before="1" w:line="276" w:lineRule="auto"/>
        <w:ind w:right="164"/>
        <w:rPr>
          <w:sz w:val="28"/>
        </w:rPr>
      </w:pPr>
      <w:r>
        <w:rPr>
          <w:sz w:val="28"/>
        </w:rPr>
        <w:t xml:space="preserve">To identify the location of the resource users who adopt mitigation measures vis-à-vis the observed flood hazards in the </w:t>
      </w:r>
      <w:proofErr w:type="spellStart"/>
      <w:r>
        <w:rPr>
          <w:sz w:val="28"/>
        </w:rPr>
        <w:t>Forcados</w:t>
      </w:r>
      <w:proofErr w:type="spellEnd"/>
      <w:r>
        <w:rPr>
          <w:sz w:val="28"/>
        </w:rPr>
        <w:t xml:space="preserve"> River Basin.</w:t>
      </w:r>
    </w:p>
    <w:p w14:paraId="4878ECE7" w14:textId="77777777" w:rsidR="007E20F1" w:rsidRDefault="00E026B7">
      <w:pPr>
        <w:pStyle w:val="ListParagraph"/>
        <w:numPr>
          <w:ilvl w:val="0"/>
          <w:numId w:val="3"/>
        </w:numPr>
        <w:tabs>
          <w:tab w:val="left" w:pos="885"/>
        </w:tabs>
        <w:spacing w:line="276" w:lineRule="auto"/>
        <w:ind w:right="165"/>
        <w:rPr>
          <w:sz w:val="28"/>
        </w:rPr>
      </w:pPr>
      <w:r>
        <w:rPr>
          <w:sz w:val="28"/>
        </w:rPr>
        <w:t>To assess the effects of location on the adoption of flood mitigation measures, and;</w:t>
      </w:r>
    </w:p>
    <w:p w14:paraId="62252EA9" w14:textId="77777777" w:rsidR="007E20F1" w:rsidRDefault="00E026B7">
      <w:pPr>
        <w:pStyle w:val="ListParagraph"/>
        <w:numPr>
          <w:ilvl w:val="0"/>
          <w:numId w:val="3"/>
        </w:numPr>
        <w:tabs>
          <w:tab w:val="left" w:pos="885"/>
        </w:tabs>
        <w:spacing w:line="276" w:lineRule="auto"/>
        <w:ind w:right="165"/>
        <w:rPr>
          <w:sz w:val="28"/>
        </w:rPr>
      </w:pPr>
      <w:r>
        <w:rPr>
          <w:sz w:val="28"/>
        </w:rPr>
        <w:t xml:space="preserve">To determine the impact of other variables in the flood mitigation </w:t>
      </w:r>
      <w:r>
        <w:rPr>
          <w:spacing w:val="-2"/>
          <w:sz w:val="28"/>
        </w:rPr>
        <w:t>process.</w:t>
      </w:r>
    </w:p>
    <w:p w14:paraId="477BF3F1" w14:textId="77777777" w:rsidR="007E20F1" w:rsidRDefault="007E20F1">
      <w:pPr>
        <w:pStyle w:val="BodyText"/>
        <w:spacing w:before="46"/>
      </w:pPr>
    </w:p>
    <w:p w14:paraId="794A49A0" w14:textId="77777777" w:rsidR="007E20F1" w:rsidRDefault="00E026B7">
      <w:pPr>
        <w:pStyle w:val="BodyText"/>
        <w:spacing w:line="276" w:lineRule="auto"/>
        <w:ind w:left="165" w:right="163"/>
        <w:jc w:val="both"/>
      </w:pPr>
      <w:r>
        <w:t>This study is, therefore, based on the assumption that floodplain</w:t>
      </w:r>
      <w:r>
        <w:rPr>
          <w:spacing w:val="40"/>
        </w:rPr>
        <w:t xml:space="preserve"> </w:t>
      </w:r>
      <w:r>
        <w:t>dwellers in the most vulnerable areas and closer to the source of flood hazard</w:t>
      </w:r>
      <w:r>
        <w:rPr>
          <w:spacing w:val="-1"/>
        </w:rPr>
        <w:t xml:space="preserve"> </w:t>
      </w:r>
      <w:r>
        <w:t>areas are most</w:t>
      </w:r>
      <w:r>
        <w:rPr>
          <w:spacing w:val="-1"/>
        </w:rPr>
        <w:t xml:space="preserve"> </w:t>
      </w:r>
      <w:r>
        <w:t>likely to adopt</w:t>
      </w:r>
      <w:r>
        <w:rPr>
          <w:spacing w:val="-1"/>
        </w:rPr>
        <w:t xml:space="preserve"> </w:t>
      </w:r>
      <w:r>
        <w:t xml:space="preserve">appropriate mitigation measures as </w:t>
      </w:r>
      <w:r>
        <w:rPr>
          <w:spacing w:val="-2"/>
        </w:rPr>
        <w:t>perceived.</w:t>
      </w:r>
    </w:p>
    <w:p w14:paraId="31F7809A" w14:textId="77777777" w:rsidR="007E20F1" w:rsidRDefault="007E20F1">
      <w:pPr>
        <w:pStyle w:val="BodyText"/>
        <w:spacing w:before="50"/>
      </w:pPr>
    </w:p>
    <w:p w14:paraId="7F0D68FC" w14:textId="77777777" w:rsidR="007E20F1" w:rsidRDefault="00E026B7" w:rsidP="002023A5">
      <w:pPr>
        <w:pStyle w:val="Heading1"/>
        <w:numPr>
          <w:ilvl w:val="0"/>
          <w:numId w:val="6"/>
        </w:numPr>
        <w:jc w:val="both"/>
      </w:pPr>
      <w:r>
        <w:t>The</w:t>
      </w:r>
      <w:r>
        <w:rPr>
          <w:spacing w:val="-7"/>
        </w:rPr>
        <w:t xml:space="preserve"> </w:t>
      </w:r>
      <w:r>
        <w:t>Concept</w:t>
      </w:r>
      <w:r>
        <w:rPr>
          <w:spacing w:val="-2"/>
        </w:rPr>
        <w:t xml:space="preserve"> </w:t>
      </w:r>
      <w:r>
        <w:t>of</w:t>
      </w:r>
      <w:r>
        <w:rPr>
          <w:spacing w:val="-4"/>
        </w:rPr>
        <w:t xml:space="preserve"> </w:t>
      </w:r>
      <w:commentRangeStart w:id="5"/>
      <w:r>
        <w:rPr>
          <w:spacing w:val="-2"/>
        </w:rPr>
        <w:t>Mitigation</w:t>
      </w:r>
      <w:commentRangeEnd w:id="5"/>
      <w:r w:rsidR="00E26231">
        <w:rPr>
          <w:rStyle w:val="CommentReference"/>
          <w:b w:val="0"/>
          <w:bCs w:val="0"/>
        </w:rPr>
        <w:commentReference w:id="5"/>
      </w:r>
    </w:p>
    <w:p w14:paraId="408191F8" w14:textId="77777777" w:rsidR="007E20F1" w:rsidRDefault="00E026B7">
      <w:pPr>
        <w:pStyle w:val="BodyText"/>
        <w:spacing w:before="46" w:line="276" w:lineRule="auto"/>
        <w:ind w:left="165" w:right="163"/>
        <w:jc w:val="both"/>
      </w:pPr>
      <w:r>
        <w:t xml:space="preserve">Mitigation is a long-term and ongoing process, prior to the occurrence of a disaster that </w:t>
      </w:r>
      <w:proofErr w:type="gramStart"/>
      <w:r>
        <w:t>is directed</w:t>
      </w:r>
      <w:proofErr w:type="gramEnd"/>
      <w:r>
        <w:t xml:space="preserve"> at reducing future flood damages of a community and</w:t>
      </w:r>
      <w:r>
        <w:rPr>
          <w:spacing w:val="-1"/>
        </w:rPr>
        <w:t xml:space="preserve"> </w:t>
      </w:r>
      <w:r>
        <w:t>a</w:t>
      </w:r>
      <w:r>
        <w:rPr>
          <w:spacing w:val="-2"/>
        </w:rPr>
        <w:t xml:space="preserve"> </w:t>
      </w:r>
      <w:r>
        <w:t>nation. Technically</w:t>
      </w:r>
      <w:r>
        <w:rPr>
          <w:spacing w:val="-1"/>
        </w:rPr>
        <w:t xml:space="preserve"> </w:t>
      </w:r>
      <w:r>
        <w:t>speaking,</w:t>
      </w:r>
      <w:r>
        <w:rPr>
          <w:spacing w:val="-1"/>
        </w:rPr>
        <w:t xml:space="preserve"> </w:t>
      </w:r>
      <w:r>
        <w:t>there</w:t>
      </w:r>
      <w:r>
        <w:rPr>
          <w:spacing w:val="-1"/>
        </w:rPr>
        <w:t xml:space="preserve"> </w:t>
      </w:r>
      <w:r>
        <w:t>is no flood risk that cannot be mitigated through engineering measures, but cost is the determining factor. This process teaches people how to live rationally with floods. Mitigation measures, active and passive, rely on the experience and capacity of the people where disaster occurs. Active measures encompass those activities, which require direct contact with people (Andjelkovic, 2001).</w:t>
      </w:r>
    </w:p>
    <w:p w14:paraId="45C9ABD6" w14:textId="77777777" w:rsidR="007E20F1" w:rsidRDefault="007E20F1">
      <w:pPr>
        <w:pStyle w:val="BodyText"/>
        <w:spacing w:before="49"/>
      </w:pPr>
    </w:p>
    <w:p w14:paraId="64D21B4A" w14:textId="77777777" w:rsidR="007E20F1" w:rsidRDefault="00E026B7">
      <w:pPr>
        <w:pStyle w:val="BodyText"/>
        <w:spacing w:before="1" w:line="276" w:lineRule="auto"/>
        <w:ind w:left="165" w:right="163"/>
        <w:jc w:val="both"/>
      </w:pPr>
      <w:commentRangeStart w:id="6"/>
      <w:r>
        <w:t>Mitigation measures are traditionally referred to as non-structural measures. Unified concept of urban flood management introduces flood recovery measures as a separate entity in order to emphasize the</w:t>
      </w:r>
      <w:r>
        <w:rPr>
          <w:spacing w:val="40"/>
        </w:rPr>
        <w:t xml:space="preserve"> </w:t>
      </w:r>
      <w:r>
        <w:t>specifics of spreading the cost of compensation over time and among a large number of people exposed to similar risks.</w:t>
      </w:r>
    </w:p>
    <w:p w14:paraId="6B6DCAF5"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6E101A7A" w14:textId="77777777" w:rsidR="007E20F1" w:rsidRDefault="00E026B7">
      <w:pPr>
        <w:pStyle w:val="BodyText"/>
        <w:spacing w:before="82" w:line="276" w:lineRule="auto"/>
        <w:ind w:left="165" w:right="164"/>
        <w:jc w:val="both"/>
      </w:pPr>
      <w:r>
        <w:lastRenderedPageBreak/>
        <w:t>Non-structural measures such as preparedness, response, legislature, financing, environmental impact assessment, reconstruction and rehabilitation planning, and their component techniques, contribute directly towards reducing losses of life and damage to property</w:t>
      </w:r>
      <w:commentRangeEnd w:id="6"/>
      <w:r w:rsidR="00E26231">
        <w:rPr>
          <w:rStyle w:val="CommentReference"/>
        </w:rPr>
        <w:commentReference w:id="6"/>
      </w:r>
      <w:r>
        <w:t>.</w:t>
      </w:r>
    </w:p>
    <w:p w14:paraId="7AD4B5B9" w14:textId="77777777" w:rsidR="007E20F1" w:rsidRDefault="007E20F1">
      <w:pPr>
        <w:pStyle w:val="BodyText"/>
        <w:spacing w:before="47"/>
      </w:pPr>
    </w:p>
    <w:p w14:paraId="4D4C80B4" w14:textId="77777777" w:rsidR="007E20F1" w:rsidRDefault="00E026B7">
      <w:pPr>
        <w:pStyle w:val="BodyText"/>
        <w:spacing w:line="276" w:lineRule="auto"/>
        <w:ind w:left="165" w:right="164"/>
        <w:jc w:val="both"/>
      </w:pPr>
      <w:r>
        <w:t>The order in which the mitigation measures are applied is of primary importance. An ideal sequence would be to first develop public awareness that leads to creating political will, followed by drafting and passing the laws and regulations, and secondly, to propose risk-reducing measures, and finally, to offer education and carry out training. Ultimately, market-oriented conditions for flood insurance industry should be created in order to spread potentially high flood damage cost over a long period of time and among a large number of people (Andjelkovic, 2001).</w:t>
      </w:r>
    </w:p>
    <w:p w14:paraId="0AF25508" w14:textId="77777777" w:rsidR="007E20F1" w:rsidRDefault="007E20F1">
      <w:pPr>
        <w:pStyle w:val="BodyText"/>
        <w:spacing w:before="46"/>
      </w:pPr>
    </w:p>
    <w:p w14:paraId="0DB4CD01" w14:textId="77777777" w:rsidR="007E20F1" w:rsidRDefault="00E026B7">
      <w:pPr>
        <w:pStyle w:val="BodyText"/>
        <w:spacing w:before="1" w:line="276" w:lineRule="auto"/>
        <w:ind w:left="165" w:right="164"/>
        <w:jc w:val="both"/>
      </w:pPr>
      <w:r>
        <w:t xml:space="preserve">Other mitigating actions include reducing physical vulnerability, reducing vulnerability of the economy, and strengthening the social structure of the community. These actions can be undertaken at individual, community, and state levels. Non-governmental organizations, voluntary, and socio-cultural organizations may also play an important role in this </w:t>
      </w:r>
      <w:commentRangeStart w:id="7"/>
      <w:r>
        <w:t>respect</w:t>
      </w:r>
      <w:commentRangeEnd w:id="7"/>
      <w:r w:rsidR="00E26231">
        <w:rPr>
          <w:rStyle w:val="CommentReference"/>
        </w:rPr>
        <w:commentReference w:id="7"/>
      </w:r>
      <w:r>
        <w:t>.</w:t>
      </w:r>
    </w:p>
    <w:p w14:paraId="6C296292" w14:textId="77777777" w:rsidR="007E20F1" w:rsidRDefault="007E20F1">
      <w:pPr>
        <w:pStyle w:val="BodyText"/>
        <w:spacing w:before="47"/>
      </w:pPr>
    </w:p>
    <w:p w14:paraId="0AB7789F" w14:textId="77777777" w:rsidR="007E20F1" w:rsidRDefault="00E026B7">
      <w:pPr>
        <w:pStyle w:val="BodyText"/>
        <w:spacing w:line="276" w:lineRule="auto"/>
        <w:ind w:left="165" w:right="162"/>
        <w:jc w:val="both"/>
      </w:pPr>
      <w:r>
        <w:t>Although not having a formal definition, flood mitigation can be</w:t>
      </w:r>
      <w:r>
        <w:rPr>
          <w:spacing w:val="40"/>
        </w:rPr>
        <w:t xml:space="preserve"> </w:t>
      </w:r>
      <w:r>
        <w:t>accepted as a variety of measures that alter the exposure of life and property to flooding. It reflects the holistic nature of those flood management measures that do not have structural nature. Its non- structural nature led some countries to denote mitigation as institutional measures, while other countries preferred to use the name of best management practice (BMP). The latter is in use in urban conditions for many years. In Europe, the term SUD (Sustainable Urban Drainage) is obtaining increased popularity (Abbott, 2004).</w:t>
      </w:r>
    </w:p>
    <w:p w14:paraId="3B9B2FB9" w14:textId="77777777" w:rsidR="007E20F1" w:rsidRDefault="007E20F1">
      <w:pPr>
        <w:pStyle w:val="BodyText"/>
        <w:spacing w:before="49"/>
      </w:pPr>
    </w:p>
    <w:p w14:paraId="4B829C61" w14:textId="77777777" w:rsidR="007E20F1" w:rsidRDefault="00E026B7">
      <w:pPr>
        <w:pStyle w:val="BodyText"/>
        <w:spacing w:line="276" w:lineRule="auto"/>
        <w:ind w:left="165" w:right="87"/>
        <w:jc w:val="both"/>
      </w:pPr>
      <w:r>
        <w:t>Mitigating means planning, programming, setting policies, coordinating, facilitating, raising awareness, assisting and strengthening. It also undertakes educating, training, regulating, reporting, forecasting, warning and informing. However, it does not exclude insuring, assessing, financing, relieving and rehabilitating. If structural measures are the bones of a flood management program, then mitigation is its flesh (Criss and Shock, 2001).</w:t>
      </w:r>
    </w:p>
    <w:p w14:paraId="6CB61CB6"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21786C67" w14:textId="77777777" w:rsidR="007E20F1" w:rsidRDefault="00E026B7" w:rsidP="002023A5">
      <w:pPr>
        <w:pStyle w:val="Heading1"/>
        <w:numPr>
          <w:ilvl w:val="0"/>
          <w:numId w:val="6"/>
        </w:numPr>
        <w:spacing w:before="87"/>
        <w:jc w:val="both"/>
      </w:pPr>
      <w:r>
        <w:lastRenderedPageBreak/>
        <w:t>The</w:t>
      </w:r>
      <w:r>
        <w:rPr>
          <w:spacing w:val="-8"/>
        </w:rPr>
        <w:t xml:space="preserve"> </w:t>
      </w:r>
      <w:r>
        <w:t>Study</w:t>
      </w:r>
      <w:r>
        <w:rPr>
          <w:spacing w:val="-2"/>
        </w:rPr>
        <w:t xml:space="preserve"> </w:t>
      </w:r>
      <w:r>
        <w:rPr>
          <w:spacing w:val="-4"/>
        </w:rPr>
        <w:t>Area</w:t>
      </w:r>
    </w:p>
    <w:p w14:paraId="23E36FAE" w14:textId="77777777" w:rsidR="007E20F1" w:rsidRDefault="00E026B7">
      <w:pPr>
        <w:pStyle w:val="BodyText"/>
        <w:spacing w:before="46" w:line="276" w:lineRule="auto"/>
        <w:ind w:left="165" w:right="163"/>
        <w:jc w:val="both"/>
      </w:pPr>
      <w:r>
        <w:t xml:space="preserve">The rivers </w:t>
      </w:r>
      <w:proofErr w:type="spellStart"/>
      <w:r>
        <w:t>Forcados</w:t>
      </w:r>
      <w:proofErr w:type="spellEnd"/>
      <w:r>
        <w:t xml:space="preserve"> and the Nun are the two main rivers that resulted in the bifurcation of the Niger River at the town of Aboh, south of Onitsha. While the Nun flows directly south-wards and empties into the Atlantic Ocean in the</w:t>
      </w:r>
      <w:r>
        <w:rPr>
          <w:spacing w:val="-1"/>
        </w:rPr>
        <w:t xml:space="preserve"> </w:t>
      </w:r>
      <w:r>
        <w:t>Bight of Bonny,</w:t>
      </w:r>
      <w:r>
        <w:rPr>
          <w:spacing w:val="-1"/>
        </w:rPr>
        <w:t xml:space="preserve"> </w:t>
      </w:r>
      <w:r>
        <w:t xml:space="preserve">via </w:t>
      </w:r>
      <w:proofErr w:type="spellStart"/>
      <w:r>
        <w:t>Akassa</w:t>
      </w:r>
      <w:proofErr w:type="spellEnd"/>
      <w:r>
        <w:t>; the</w:t>
      </w:r>
      <w:r>
        <w:rPr>
          <w:spacing w:val="-1"/>
        </w:rPr>
        <w:t xml:space="preserve"> </w:t>
      </w:r>
      <w:proofErr w:type="spellStart"/>
      <w:r>
        <w:t>Forcados</w:t>
      </w:r>
      <w:proofErr w:type="spellEnd"/>
      <w:r>
        <w:t xml:space="preserve"> swings</w:t>
      </w:r>
      <w:r>
        <w:rPr>
          <w:spacing w:val="-1"/>
        </w:rPr>
        <w:t xml:space="preserve"> </w:t>
      </w:r>
      <w:r>
        <w:t xml:space="preserve">south-west wards diagonally across the Niger Delta region into the Atlantic Ocean in the Bight of Benin, via the coastal settlements of </w:t>
      </w:r>
      <w:proofErr w:type="spellStart"/>
      <w:r>
        <w:t>Burutu</w:t>
      </w:r>
      <w:proofErr w:type="spellEnd"/>
      <w:r>
        <w:t xml:space="preserve"> and </w:t>
      </w:r>
      <w:proofErr w:type="spellStart"/>
      <w:r>
        <w:t>Forcados</w:t>
      </w:r>
      <w:proofErr w:type="spellEnd"/>
      <w:r>
        <w:t xml:space="preserve"> </w:t>
      </w:r>
      <w:r>
        <w:rPr>
          <w:spacing w:val="-2"/>
        </w:rPr>
        <w:t>respectively.</w:t>
      </w:r>
    </w:p>
    <w:p w14:paraId="67402BE4" w14:textId="77777777" w:rsidR="007E20F1" w:rsidRDefault="007E20F1">
      <w:pPr>
        <w:pStyle w:val="BodyText"/>
        <w:spacing w:before="49"/>
      </w:pPr>
    </w:p>
    <w:p w14:paraId="23E0C72F" w14:textId="77777777" w:rsidR="007E20F1" w:rsidRDefault="00E026B7">
      <w:pPr>
        <w:pStyle w:val="BodyText"/>
        <w:spacing w:line="276" w:lineRule="auto"/>
        <w:ind w:left="165" w:right="163"/>
        <w:jc w:val="both"/>
      </w:pPr>
      <w:r>
        <w:t xml:space="preserve">As a major distributary of the Niger River, the </w:t>
      </w:r>
      <w:proofErr w:type="spellStart"/>
      <w:r>
        <w:t>Forcados</w:t>
      </w:r>
      <w:proofErr w:type="spellEnd"/>
      <w:r>
        <w:t xml:space="preserve"> River system breaks the terrain of the Niger Delta into several creeks, swamps and wetlands, with the salt marshes of the mangrove swamps and the</w:t>
      </w:r>
      <w:r>
        <w:rPr>
          <w:spacing w:val="40"/>
        </w:rPr>
        <w:t xml:space="preserve"> </w:t>
      </w:r>
      <w:r>
        <w:t>beaches lining the shoreline at the coastal margins. The numerous water channels</w:t>
      </w:r>
      <w:r>
        <w:rPr>
          <w:spacing w:val="-4"/>
        </w:rPr>
        <w:t xml:space="preserve"> </w:t>
      </w:r>
      <w:r>
        <w:t>in</w:t>
      </w:r>
      <w:r>
        <w:rPr>
          <w:spacing w:val="-5"/>
        </w:rPr>
        <w:t xml:space="preserve"> </w:t>
      </w:r>
      <w:r>
        <w:t>the</w:t>
      </w:r>
      <w:r>
        <w:rPr>
          <w:spacing w:val="-4"/>
        </w:rPr>
        <w:t xml:space="preserve"> </w:t>
      </w:r>
      <w:proofErr w:type="spellStart"/>
      <w:r>
        <w:t>Forcados</w:t>
      </w:r>
      <w:proofErr w:type="spellEnd"/>
      <w:r>
        <w:rPr>
          <w:spacing w:val="-4"/>
        </w:rPr>
        <w:t xml:space="preserve"> </w:t>
      </w:r>
      <w:r>
        <w:t>Basin</w:t>
      </w:r>
      <w:r>
        <w:rPr>
          <w:spacing w:val="-3"/>
        </w:rPr>
        <w:t xml:space="preserve"> </w:t>
      </w:r>
      <w:r>
        <w:t>is</w:t>
      </w:r>
      <w:r>
        <w:rPr>
          <w:spacing w:val="-4"/>
        </w:rPr>
        <w:t xml:space="preserve"> </w:t>
      </w:r>
      <w:r>
        <w:t>bordered</w:t>
      </w:r>
      <w:r>
        <w:rPr>
          <w:spacing w:val="-3"/>
        </w:rPr>
        <w:t xml:space="preserve"> </w:t>
      </w:r>
      <w:r>
        <w:t>by</w:t>
      </w:r>
      <w:r>
        <w:rPr>
          <w:spacing w:val="-4"/>
        </w:rPr>
        <w:t xml:space="preserve"> </w:t>
      </w:r>
      <w:r>
        <w:t>natural</w:t>
      </w:r>
      <w:r>
        <w:rPr>
          <w:spacing w:val="-4"/>
        </w:rPr>
        <w:t xml:space="preserve"> </w:t>
      </w:r>
      <w:r>
        <w:t>levees</w:t>
      </w:r>
      <w:r>
        <w:rPr>
          <w:spacing w:val="-4"/>
        </w:rPr>
        <w:t xml:space="preserve"> </w:t>
      </w:r>
      <w:r>
        <w:t>which</w:t>
      </w:r>
      <w:r>
        <w:rPr>
          <w:spacing w:val="-3"/>
        </w:rPr>
        <w:t xml:space="preserve"> </w:t>
      </w:r>
      <w:r>
        <w:t>are</w:t>
      </w:r>
      <w:r>
        <w:rPr>
          <w:spacing w:val="-4"/>
        </w:rPr>
        <w:t xml:space="preserve"> </w:t>
      </w:r>
      <w:r>
        <w:t>of great topographical interest. These levees provide the site for most of the settlements in the basin as well as limited farmlands for cultivating yam, cassava, cocoyam, vegetables and plantain (Udo, 1978).</w:t>
      </w:r>
    </w:p>
    <w:p w14:paraId="01462B7F" w14:textId="77777777" w:rsidR="007E20F1" w:rsidRDefault="007E20F1">
      <w:pPr>
        <w:pStyle w:val="BodyText"/>
        <w:spacing w:before="48"/>
      </w:pPr>
    </w:p>
    <w:p w14:paraId="7BFF5D4E" w14:textId="77777777" w:rsidR="007E20F1" w:rsidRDefault="00E026B7">
      <w:pPr>
        <w:pStyle w:val="BodyText"/>
        <w:spacing w:line="276" w:lineRule="auto"/>
        <w:ind w:left="165" w:right="162"/>
        <w:jc w:val="both"/>
      </w:pPr>
      <w:r>
        <w:t xml:space="preserve">The river itself is approximately 200 kilometers in length and meanders through the freshwater swamps. The entire catchment of the river is liable to flooding with such important settlements as </w:t>
      </w:r>
      <w:proofErr w:type="spellStart"/>
      <w:r>
        <w:t>Patani</w:t>
      </w:r>
      <w:proofErr w:type="spellEnd"/>
      <w:r>
        <w:t xml:space="preserve">, </w:t>
      </w:r>
      <w:proofErr w:type="spellStart"/>
      <w:r>
        <w:t>Sagbama</w:t>
      </w:r>
      <w:proofErr w:type="spellEnd"/>
      <w:r>
        <w:t xml:space="preserve">, </w:t>
      </w:r>
      <w:proofErr w:type="spellStart"/>
      <w:r>
        <w:t>Bomadi</w:t>
      </w:r>
      <w:proofErr w:type="spellEnd"/>
      <w:r>
        <w:t xml:space="preserve">, </w:t>
      </w:r>
      <w:proofErr w:type="spellStart"/>
      <w:r>
        <w:t>Ekeremor</w:t>
      </w:r>
      <w:proofErr w:type="spellEnd"/>
      <w:r>
        <w:t xml:space="preserve">, </w:t>
      </w:r>
      <w:proofErr w:type="spellStart"/>
      <w:r>
        <w:t>Burutu</w:t>
      </w:r>
      <w:proofErr w:type="spellEnd"/>
      <w:r>
        <w:t xml:space="preserve"> and </w:t>
      </w:r>
      <w:proofErr w:type="spellStart"/>
      <w:r>
        <w:t>Forcados</w:t>
      </w:r>
      <w:proofErr w:type="spellEnd"/>
      <w:r>
        <w:t xml:space="preserve"> located at its banks. The </w:t>
      </w:r>
      <w:proofErr w:type="spellStart"/>
      <w:r>
        <w:t>Forcados</w:t>
      </w:r>
      <w:proofErr w:type="spellEnd"/>
      <w:r>
        <w:t xml:space="preserve"> Basin of the Niger Delta region is located </w:t>
      </w:r>
      <w:r>
        <w:rPr>
          <w:spacing w:val="38"/>
          <w:w w:val="99"/>
        </w:rPr>
        <w:t>b</w:t>
      </w:r>
      <w:r>
        <w:rPr>
          <w:spacing w:val="-80"/>
          <w:w w:val="99"/>
        </w:rPr>
        <w:t>e</w:t>
      </w:r>
      <w:r>
        <w:rPr>
          <w:rFonts w:ascii="Arial MT"/>
          <w:spacing w:val="40"/>
          <w:w w:val="102"/>
          <w:position w:val="9"/>
          <w:sz w:val="10"/>
        </w:rPr>
        <w:t>1</w:t>
      </w:r>
      <w:r>
        <w:rPr>
          <w:rFonts w:ascii="Arial MT"/>
          <w:spacing w:val="-1"/>
          <w:position w:val="9"/>
          <w:sz w:val="10"/>
        </w:rPr>
        <w:t xml:space="preserve"> </w:t>
      </w:r>
      <w:r>
        <w:t xml:space="preserve">tween </w:t>
      </w:r>
      <w:proofErr w:type="spellStart"/>
      <w:r>
        <w:t>lat</w:t>
      </w:r>
      <w:proofErr w:type="spellEnd"/>
      <w:r>
        <w:rPr>
          <w:rFonts w:ascii="Arial MT"/>
          <w:position w:val="7"/>
          <w:sz w:val="10"/>
        </w:rPr>
        <w:t>1</w:t>
      </w:r>
      <w:r>
        <w:rPr>
          <w:rFonts w:ascii="Arial MT"/>
          <w:spacing w:val="-7"/>
          <w:position w:val="7"/>
          <w:sz w:val="10"/>
        </w:rPr>
        <w:t xml:space="preserve"> </w:t>
      </w:r>
      <w:proofErr w:type="spellStart"/>
      <w:r>
        <w:t>itudes</w:t>
      </w:r>
      <w:proofErr w:type="spellEnd"/>
      <w:r>
        <w:t xml:space="preserve"> 4</w:t>
      </w:r>
      <w:r>
        <w:rPr>
          <w:position w:val="9"/>
          <w:sz w:val="18"/>
        </w:rPr>
        <w:t>0</w:t>
      </w:r>
      <w:r>
        <w:t>00 and 6</w:t>
      </w:r>
      <w:r>
        <w:rPr>
          <w:position w:val="9"/>
          <w:sz w:val="18"/>
        </w:rPr>
        <w:t>0</w:t>
      </w:r>
      <w:r>
        <w:t>00 North and longitudes 5</w:t>
      </w:r>
      <w:r>
        <w:rPr>
          <w:position w:val="9"/>
          <w:sz w:val="18"/>
        </w:rPr>
        <w:t>0</w:t>
      </w:r>
      <w:r>
        <w:t>15 and 6</w:t>
      </w:r>
      <w:r>
        <w:rPr>
          <w:position w:val="9"/>
          <w:sz w:val="18"/>
        </w:rPr>
        <w:t>0</w:t>
      </w:r>
      <w:r>
        <w:t>30 East. The basin occupies a surface area of about 5,013 square kilometers within the equatorial climatic zone.</w:t>
      </w:r>
    </w:p>
    <w:p w14:paraId="0EAB860E" w14:textId="77777777" w:rsidR="007E20F1" w:rsidRDefault="007E20F1">
      <w:pPr>
        <w:pStyle w:val="BodyText"/>
        <w:spacing w:before="47"/>
      </w:pPr>
    </w:p>
    <w:p w14:paraId="65428ABF" w14:textId="77777777" w:rsidR="007E20F1" w:rsidRDefault="00E026B7">
      <w:pPr>
        <w:pStyle w:val="BodyText"/>
        <w:spacing w:line="276" w:lineRule="auto"/>
        <w:ind w:left="165" w:right="163"/>
        <w:jc w:val="both"/>
      </w:pPr>
      <w:r>
        <w:t xml:space="preserve">According to the Niger Delta Regional Development Master Plan (NDRDMP, 2007), the </w:t>
      </w:r>
      <w:proofErr w:type="spellStart"/>
      <w:r>
        <w:t>Forcados</w:t>
      </w:r>
      <w:proofErr w:type="spellEnd"/>
      <w:r>
        <w:t xml:space="preserve"> Basin of the Niger Delta region has a population of about 817,792 people. The predominant people here are the Ijaws who are engaged in fishing and farming, lumbering and gin distillation and all other anthropogenic activities akin to their cultural heritage (Figure 1).</w:t>
      </w:r>
    </w:p>
    <w:p w14:paraId="44D19C0D" w14:textId="77777777" w:rsidR="007E20F1" w:rsidRDefault="007E20F1">
      <w:pPr>
        <w:pStyle w:val="BodyText"/>
        <w:spacing w:line="276" w:lineRule="auto"/>
        <w:jc w:val="both"/>
        <w:sectPr w:rsidR="007E20F1">
          <w:pgSz w:w="11910" w:h="16840"/>
          <w:pgMar w:top="1700" w:right="1275" w:bottom="1040" w:left="1275" w:header="0" w:footer="803" w:gutter="0"/>
          <w:cols w:space="720"/>
        </w:sectPr>
      </w:pPr>
    </w:p>
    <w:p w14:paraId="385C7052" w14:textId="09548A35" w:rsidR="007E20F1" w:rsidRDefault="006D3AB2">
      <w:pPr>
        <w:pStyle w:val="BodyText"/>
      </w:pPr>
      <w:r>
        <w:rPr>
          <w:noProof/>
        </w:rPr>
        <w:lastRenderedPageBreak/>
        <w:drawing>
          <wp:anchor distT="0" distB="0" distL="0" distR="0" simplePos="0" relativeHeight="15728640" behindDoc="0" locked="0" layoutInCell="1" allowOverlap="1" wp14:anchorId="14B3919C" wp14:editId="74510FE5">
            <wp:simplePos x="0" y="0"/>
            <wp:positionH relativeFrom="page">
              <wp:posOffset>367665</wp:posOffset>
            </wp:positionH>
            <wp:positionV relativeFrom="page">
              <wp:posOffset>1351280</wp:posOffset>
            </wp:positionV>
            <wp:extent cx="6824472" cy="45323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5" cstate="print"/>
                    <a:stretch>
                      <a:fillRect/>
                    </a:stretch>
                  </pic:blipFill>
                  <pic:spPr>
                    <a:xfrm>
                      <a:off x="0" y="0"/>
                      <a:ext cx="6824472" cy="4532375"/>
                    </a:xfrm>
                    <a:prstGeom prst="rect">
                      <a:avLst/>
                    </a:prstGeom>
                  </pic:spPr>
                </pic:pic>
              </a:graphicData>
            </a:graphic>
          </wp:anchor>
        </w:drawing>
      </w:r>
    </w:p>
    <w:p w14:paraId="4D4DCC36" w14:textId="5B34880F" w:rsidR="007E20F1" w:rsidRDefault="007E20F1">
      <w:pPr>
        <w:pStyle w:val="BodyText"/>
      </w:pPr>
    </w:p>
    <w:p w14:paraId="3CA005F7" w14:textId="77777777" w:rsidR="007E20F1" w:rsidRDefault="007E20F1">
      <w:pPr>
        <w:pStyle w:val="BodyText"/>
      </w:pPr>
    </w:p>
    <w:p w14:paraId="6211A01B" w14:textId="77777777" w:rsidR="007E20F1" w:rsidRDefault="007E20F1">
      <w:pPr>
        <w:pStyle w:val="BodyText"/>
      </w:pPr>
    </w:p>
    <w:p w14:paraId="593821AB" w14:textId="77777777" w:rsidR="007E20F1" w:rsidRDefault="007E20F1">
      <w:pPr>
        <w:pStyle w:val="BodyText"/>
      </w:pPr>
    </w:p>
    <w:p w14:paraId="5970929C" w14:textId="77777777" w:rsidR="007E20F1" w:rsidRDefault="007E20F1">
      <w:pPr>
        <w:pStyle w:val="BodyText"/>
      </w:pPr>
    </w:p>
    <w:p w14:paraId="4EB53D51" w14:textId="77777777" w:rsidR="007E20F1" w:rsidRDefault="007E20F1">
      <w:pPr>
        <w:pStyle w:val="BodyText"/>
      </w:pPr>
    </w:p>
    <w:p w14:paraId="19FE33AE" w14:textId="77777777" w:rsidR="007E20F1" w:rsidRDefault="007E20F1">
      <w:pPr>
        <w:pStyle w:val="BodyText"/>
      </w:pPr>
    </w:p>
    <w:p w14:paraId="4811593A" w14:textId="77777777" w:rsidR="007E20F1" w:rsidRDefault="007E20F1">
      <w:pPr>
        <w:pStyle w:val="BodyText"/>
      </w:pPr>
    </w:p>
    <w:p w14:paraId="5C98D6B1" w14:textId="77777777" w:rsidR="007E20F1" w:rsidRDefault="007E20F1">
      <w:pPr>
        <w:pStyle w:val="BodyText"/>
      </w:pPr>
    </w:p>
    <w:p w14:paraId="6E712F39" w14:textId="77777777" w:rsidR="007E20F1" w:rsidRDefault="007E20F1">
      <w:pPr>
        <w:pStyle w:val="BodyText"/>
      </w:pPr>
    </w:p>
    <w:p w14:paraId="072D7F44" w14:textId="77777777" w:rsidR="007E20F1" w:rsidRDefault="007E20F1">
      <w:pPr>
        <w:pStyle w:val="BodyText"/>
      </w:pPr>
    </w:p>
    <w:p w14:paraId="77781A5C" w14:textId="77777777" w:rsidR="007E20F1" w:rsidRDefault="007E20F1">
      <w:pPr>
        <w:pStyle w:val="BodyText"/>
      </w:pPr>
    </w:p>
    <w:p w14:paraId="55982046" w14:textId="77777777" w:rsidR="007E20F1" w:rsidRDefault="007E20F1">
      <w:pPr>
        <w:pStyle w:val="BodyText"/>
      </w:pPr>
    </w:p>
    <w:p w14:paraId="481B0A27" w14:textId="77777777" w:rsidR="007E20F1" w:rsidRDefault="007E20F1">
      <w:pPr>
        <w:pStyle w:val="BodyText"/>
      </w:pPr>
    </w:p>
    <w:p w14:paraId="50614326" w14:textId="77777777" w:rsidR="007E20F1" w:rsidRDefault="007E20F1">
      <w:pPr>
        <w:pStyle w:val="BodyText"/>
      </w:pPr>
    </w:p>
    <w:p w14:paraId="3E59DF7F" w14:textId="77777777" w:rsidR="007E20F1" w:rsidRDefault="007E20F1">
      <w:pPr>
        <w:pStyle w:val="BodyText"/>
      </w:pPr>
    </w:p>
    <w:p w14:paraId="18DFEB0C" w14:textId="77777777" w:rsidR="007E20F1" w:rsidRDefault="007E20F1">
      <w:pPr>
        <w:pStyle w:val="BodyText"/>
      </w:pPr>
    </w:p>
    <w:p w14:paraId="6148F204" w14:textId="77777777" w:rsidR="007E20F1" w:rsidRDefault="007E20F1">
      <w:pPr>
        <w:pStyle w:val="BodyText"/>
      </w:pPr>
    </w:p>
    <w:p w14:paraId="4679684E" w14:textId="77777777" w:rsidR="007E20F1" w:rsidRDefault="007E20F1">
      <w:pPr>
        <w:pStyle w:val="BodyText"/>
      </w:pPr>
    </w:p>
    <w:p w14:paraId="3AA364E8" w14:textId="77777777" w:rsidR="007E20F1" w:rsidRDefault="007E20F1">
      <w:pPr>
        <w:pStyle w:val="BodyText"/>
      </w:pPr>
    </w:p>
    <w:p w14:paraId="2962F9B1" w14:textId="77777777" w:rsidR="007E20F1" w:rsidRDefault="007E20F1">
      <w:pPr>
        <w:pStyle w:val="BodyText"/>
      </w:pPr>
    </w:p>
    <w:p w14:paraId="5511B3DF" w14:textId="77777777" w:rsidR="007E20F1" w:rsidRDefault="007E20F1">
      <w:pPr>
        <w:pStyle w:val="BodyText"/>
      </w:pPr>
    </w:p>
    <w:p w14:paraId="232E512C" w14:textId="77777777" w:rsidR="007E20F1" w:rsidRDefault="007E20F1">
      <w:pPr>
        <w:pStyle w:val="BodyText"/>
        <w:spacing w:before="278"/>
      </w:pPr>
    </w:p>
    <w:p w14:paraId="42ECD2AF" w14:textId="77777777" w:rsidR="007E20F1" w:rsidRDefault="00E026B7">
      <w:pPr>
        <w:pStyle w:val="BodyText"/>
        <w:spacing w:line="276" w:lineRule="auto"/>
        <w:ind w:left="165" w:right="164"/>
        <w:jc w:val="both"/>
      </w:pPr>
      <w:r>
        <w:t xml:space="preserve">Figure 1: The </w:t>
      </w:r>
      <w:proofErr w:type="spellStart"/>
      <w:r>
        <w:t>Forcados</w:t>
      </w:r>
      <w:proofErr w:type="spellEnd"/>
      <w:r>
        <w:t xml:space="preserve"> Basin of the Niger Delta Region (NDRDMP, </w:t>
      </w:r>
      <w:r>
        <w:rPr>
          <w:spacing w:val="-2"/>
        </w:rPr>
        <w:t>2007).</w:t>
      </w:r>
    </w:p>
    <w:p w14:paraId="125B6B47" w14:textId="77777777" w:rsidR="007E20F1" w:rsidRDefault="007E20F1">
      <w:pPr>
        <w:pStyle w:val="BodyText"/>
        <w:spacing w:before="49"/>
      </w:pPr>
    </w:p>
    <w:p w14:paraId="582F4541" w14:textId="77777777" w:rsidR="007E20F1" w:rsidRDefault="00E026B7">
      <w:pPr>
        <w:pStyle w:val="Heading1"/>
        <w:spacing w:before="1"/>
      </w:pPr>
      <w:commentRangeStart w:id="8"/>
      <w:r>
        <w:rPr>
          <w:spacing w:val="-2"/>
        </w:rPr>
        <w:t>Methodology</w:t>
      </w:r>
      <w:commentRangeEnd w:id="8"/>
      <w:r w:rsidR="00E26231">
        <w:rPr>
          <w:rStyle w:val="CommentReference"/>
          <w:b w:val="0"/>
          <w:bCs w:val="0"/>
        </w:rPr>
        <w:commentReference w:id="8"/>
      </w:r>
    </w:p>
    <w:p w14:paraId="2880ACE0" w14:textId="77777777" w:rsidR="007E20F1" w:rsidRDefault="00E026B7">
      <w:pPr>
        <w:pStyle w:val="BodyText"/>
        <w:spacing w:before="46" w:line="276" w:lineRule="auto"/>
        <w:ind w:left="165" w:right="163"/>
        <w:jc w:val="both"/>
      </w:pPr>
      <w:r>
        <w:t xml:space="preserve">In order to determine the spatial distribution of the adoption of flooding mitigation measures in the </w:t>
      </w:r>
      <w:proofErr w:type="spellStart"/>
      <w:r>
        <w:t>Forcados</w:t>
      </w:r>
      <w:proofErr w:type="spellEnd"/>
      <w:r>
        <w:t xml:space="preserve"> basin so as to evaluate the effect that location has on the adoption process, direct field measurements, </w:t>
      </w:r>
      <w:commentRangeStart w:id="9"/>
      <w:r>
        <w:t>focus group discussions, observations and</w:t>
      </w:r>
      <w:r>
        <w:rPr>
          <w:spacing w:val="40"/>
        </w:rPr>
        <w:t xml:space="preserve"> </w:t>
      </w:r>
      <w:r>
        <w:t xml:space="preserve">a basin wide survey </w:t>
      </w:r>
      <w:commentRangeEnd w:id="9"/>
      <w:r w:rsidR="00E26231">
        <w:rPr>
          <w:rStyle w:val="CommentReference"/>
        </w:rPr>
        <w:commentReference w:id="9"/>
      </w:r>
      <w:r>
        <w:t xml:space="preserve">of flood recovery, structural and non-structural measures, adequately related in time and space was embarked upon. The </w:t>
      </w:r>
      <w:proofErr w:type="gramStart"/>
      <w:r>
        <w:t>location of</w:t>
      </w:r>
      <w:r>
        <w:rPr>
          <w:spacing w:val="80"/>
        </w:rPr>
        <w:t xml:space="preserve"> </w:t>
      </w:r>
      <w:r>
        <w:t>these measures were</w:t>
      </w:r>
      <w:proofErr w:type="gramEnd"/>
      <w:r>
        <w:t xml:space="preserve"> defined in terms of their proximity to the source of the observed flood hazards and the level of exposure to the hazards.</w:t>
      </w:r>
    </w:p>
    <w:p w14:paraId="6B74D42E" w14:textId="77777777" w:rsidR="007E20F1" w:rsidRDefault="007E20F1">
      <w:pPr>
        <w:pStyle w:val="BodyText"/>
        <w:spacing w:before="50"/>
      </w:pPr>
    </w:p>
    <w:p w14:paraId="7BFCDB7F" w14:textId="77777777" w:rsidR="007E20F1" w:rsidRDefault="00E026B7">
      <w:pPr>
        <w:pStyle w:val="BodyText"/>
        <w:spacing w:line="276" w:lineRule="auto"/>
        <w:ind w:left="165" w:right="164"/>
        <w:jc w:val="both"/>
      </w:pPr>
      <w:r>
        <w:t>The nature of data required in this study included the locational addresses of residences adopting flood recovery measures (financial assistance</w:t>
      </w:r>
      <w:proofErr w:type="gramStart"/>
      <w:r>
        <w:t>,</w:t>
      </w:r>
      <w:r>
        <w:rPr>
          <w:spacing w:val="48"/>
        </w:rPr>
        <w:t xml:space="preserve">  </w:t>
      </w:r>
      <w:r>
        <w:t>health</w:t>
      </w:r>
      <w:proofErr w:type="gramEnd"/>
      <w:r>
        <w:rPr>
          <w:spacing w:val="50"/>
        </w:rPr>
        <w:t xml:space="preserve">  </w:t>
      </w:r>
      <w:r>
        <w:t>and</w:t>
      </w:r>
      <w:r>
        <w:rPr>
          <w:spacing w:val="49"/>
        </w:rPr>
        <w:t xml:space="preserve">  </w:t>
      </w:r>
      <w:r>
        <w:t>shelter</w:t>
      </w:r>
      <w:r>
        <w:rPr>
          <w:spacing w:val="49"/>
        </w:rPr>
        <w:t xml:space="preserve">  </w:t>
      </w:r>
      <w:proofErr w:type="spellStart"/>
      <w:r>
        <w:t>programmes</w:t>
      </w:r>
      <w:proofErr w:type="spellEnd"/>
      <w:r>
        <w:t>);</w:t>
      </w:r>
      <w:r>
        <w:rPr>
          <w:spacing w:val="50"/>
        </w:rPr>
        <w:t xml:space="preserve">  </w:t>
      </w:r>
      <w:r>
        <w:t>structural</w:t>
      </w:r>
      <w:r>
        <w:rPr>
          <w:spacing w:val="50"/>
        </w:rPr>
        <w:t xml:space="preserve">  </w:t>
      </w:r>
      <w:r>
        <w:rPr>
          <w:spacing w:val="-2"/>
        </w:rPr>
        <w:t>measures</w:t>
      </w:r>
    </w:p>
    <w:p w14:paraId="2E7DA1D5" w14:textId="77777777" w:rsidR="007E20F1" w:rsidRDefault="007E20F1">
      <w:pPr>
        <w:pStyle w:val="BodyText"/>
        <w:spacing w:line="276" w:lineRule="auto"/>
        <w:jc w:val="both"/>
        <w:sectPr w:rsidR="007E20F1">
          <w:pgSz w:w="11910" w:h="16840"/>
          <w:pgMar w:top="1920" w:right="1275" w:bottom="1040" w:left="1275" w:header="0" w:footer="803" w:gutter="0"/>
          <w:cols w:space="720"/>
        </w:sectPr>
      </w:pPr>
    </w:p>
    <w:p w14:paraId="24B62440" w14:textId="77777777" w:rsidR="007E20F1" w:rsidRDefault="00E026B7">
      <w:pPr>
        <w:pStyle w:val="BodyText"/>
        <w:spacing w:before="82" w:line="276" w:lineRule="auto"/>
        <w:ind w:left="165" w:right="163"/>
        <w:jc w:val="both"/>
      </w:pPr>
      <w:r>
        <w:lastRenderedPageBreak/>
        <w:t xml:space="preserve">(protecting against flood and modifying flooding) and non-structural measures (emergency response and flood preparedness). These data sets were collected from purposively selected communities prone to flooding such as </w:t>
      </w:r>
      <w:proofErr w:type="spellStart"/>
      <w:r>
        <w:t>Patani</w:t>
      </w:r>
      <w:proofErr w:type="spellEnd"/>
      <w:r>
        <w:t xml:space="preserve">, </w:t>
      </w:r>
      <w:proofErr w:type="spellStart"/>
      <w:r>
        <w:t>Sagbama</w:t>
      </w:r>
      <w:proofErr w:type="spellEnd"/>
      <w:r>
        <w:t xml:space="preserve">, </w:t>
      </w:r>
      <w:proofErr w:type="spellStart"/>
      <w:r>
        <w:t>Bomadi</w:t>
      </w:r>
      <w:proofErr w:type="spellEnd"/>
      <w:r>
        <w:t xml:space="preserve"> and </w:t>
      </w:r>
      <w:proofErr w:type="spellStart"/>
      <w:r>
        <w:t>Ekeremor</w:t>
      </w:r>
      <w:proofErr w:type="spellEnd"/>
      <w:r>
        <w:t>. Analysis of data from these communities facilitated using location as a predictor of adoption - an approach similar to Baker’s (1979) attempt to identifying variables useful to the prediction of evacuation.</w:t>
      </w:r>
    </w:p>
    <w:p w14:paraId="7A9963BE" w14:textId="77777777" w:rsidR="007E20F1" w:rsidRDefault="007E20F1">
      <w:pPr>
        <w:pStyle w:val="BodyText"/>
        <w:spacing w:before="46"/>
      </w:pPr>
    </w:p>
    <w:p w14:paraId="69946E93" w14:textId="77777777" w:rsidR="007E20F1" w:rsidRDefault="00E026B7" w:rsidP="002023A5">
      <w:pPr>
        <w:pStyle w:val="Heading1"/>
        <w:numPr>
          <w:ilvl w:val="0"/>
          <w:numId w:val="6"/>
        </w:numPr>
      </w:pPr>
      <w:commentRangeStart w:id="10"/>
      <w:r>
        <w:rPr>
          <w:spacing w:val="-2"/>
        </w:rPr>
        <w:t>Results</w:t>
      </w:r>
      <w:commentRangeEnd w:id="10"/>
      <w:r w:rsidR="002023A5">
        <w:rPr>
          <w:rStyle w:val="CommentReference"/>
          <w:b w:val="0"/>
          <w:bCs w:val="0"/>
        </w:rPr>
        <w:commentReference w:id="10"/>
      </w:r>
    </w:p>
    <w:p w14:paraId="7E62F5A9" w14:textId="77777777" w:rsidR="007E20F1" w:rsidRDefault="00E026B7">
      <w:pPr>
        <w:pStyle w:val="BodyText"/>
        <w:spacing w:before="47" w:line="276" w:lineRule="auto"/>
        <w:ind w:left="165" w:right="163"/>
        <w:jc w:val="both"/>
      </w:pPr>
      <w:r>
        <w:t xml:space="preserve">Four hundred respondents participated in the study and they could attempt a definition of the term “flood mitigation” in their own words as required in the interviews, indicating that residents of the </w:t>
      </w:r>
      <w:proofErr w:type="spellStart"/>
      <w:r>
        <w:t>Forcados</w:t>
      </w:r>
      <w:proofErr w:type="spellEnd"/>
      <w:r>
        <w:rPr>
          <w:spacing w:val="40"/>
        </w:rPr>
        <w:t xml:space="preserve"> </w:t>
      </w:r>
      <w:r>
        <w:t>Basin generally were knowledgeable about the mitigation of flood hazards. This knowledge has stemmed from experience and the progressive improvement in communication and reporting of flood hazards</w:t>
      </w:r>
      <w:r>
        <w:rPr>
          <w:spacing w:val="-1"/>
        </w:rPr>
        <w:t xml:space="preserve"> </w:t>
      </w:r>
      <w:r>
        <w:t>in the basin. About</w:t>
      </w:r>
      <w:r>
        <w:rPr>
          <w:spacing w:val="-1"/>
        </w:rPr>
        <w:t xml:space="preserve"> </w:t>
      </w:r>
      <w:r>
        <w:t>95% of the respondents indicated</w:t>
      </w:r>
      <w:r>
        <w:rPr>
          <w:spacing w:val="-1"/>
        </w:rPr>
        <w:t xml:space="preserve"> </w:t>
      </w:r>
      <w:r>
        <w:t>a</w:t>
      </w:r>
      <w:r>
        <w:rPr>
          <w:spacing w:val="-2"/>
        </w:rPr>
        <w:t xml:space="preserve"> </w:t>
      </w:r>
      <w:r>
        <w:t>very high level of awareness of flooding and flooding mitigation in the area.</w:t>
      </w:r>
    </w:p>
    <w:p w14:paraId="357742B1" w14:textId="77777777" w:rsidR="007E20F1" w:rsidRDefault="007E20F1">
      <w:pPr>
        <w:pStyle w:val="BodyText"/>
        <w:spacing w:before="47"/>
      </w:pPr>
    </w:p>
    <w:p w14:paraId="3B46422A" w14:textId="77777777" w:rsidR="007E20F1" w:rsidRDefault="00E026B7">
      <w:pPr>
        <w:pStyle w:val="BodyText"/>
        <w:spacing w:before="1" w:line="276" w:lineRule="auto"/>
        <w:ind w:left="165" w:right="163"/>
        <w:jc w:val="both"/>
      </w:pPr>
      <w:r>
        <w:t xml:space="preserve">On the adoption of flood hazards mitigation measures, it was observed that besides engineering structures, little is known about non-structural measures in the </w:t>
      </w:r>
      <w:proofErr w:type="spellStart"/>
      <w:r>
        <w:t>Forcados</w:t>
      </w:r>
      <w:proofErr w:type="spellEnd"/>
      <w:r>
        <w:t xml:space="preserve"> Basin. The reliance upon structural flood controls have encouraged encroachment on the protected floodplain areas along the natural levees and this failed to contain floodplain development in the adjoining backswamps. The inquiry to knowing where those who adopt mitigation measures are located vis-à-vis the observed flood hazards led to an understanding of the effects of location on the adoption of flood mitigation measures as well as the impact of other variables. With respect to locational decisions in the </w:t>
      </w:r>
      <w:proofErr w:type="spellStart"/>
      <w:r>
        <w:t>Forcados</w:t>
      </w:r>
      <w:proofErr w:type="spellEnd"/>
      <w:r>
        <w:t xml:space="preserve"> Basin, several structural, non-structural and flood recovery measures were identified for the study (Table 1).</w:t>
      </w:r>
    </w:p>
    <w:p w14:paraId="11651223" w14:textId="77777777" w:rsidR="007E20F1" w:rsidRDefault="00E026B7">
      <w:pPr>
        <w:pStyle w:val="BodyText"/>
        <w:spacing w:before="1" w:after="48"/>
        <w:ind w:left="165"/>
        <w:jc w:val="both"/>
      </w:pPr>
      <w:r>
        <w:t>Table</w:t>
      </w:r>
      <w:r>
        <w:rPr>
          <w:spacing w:val="-8"/>
        </w:rPr>
        <w:t xml:space="preserve"> </w:t>
      </w:r>
      <w:r>
        <w:t>1:</w:t>
      </w:r>
      <w:r>
        <w:rPr>
          <w:spacing w:val="-6"/>
        </w:rPr>
        <w:t xml:space="preserve"> </w:t>
      </w:r>
      <w:r>
        <w:t>Flood</w:t>
      </w:r>
      <w:r>
        <w:rPr>
          <w:spacing w:val="-4"/>
        </w:rPr>
        <w:t xml:space="preserve"> </w:t>
      </w:r>
      <w:r>
        <w:t>mitigation</w:t>
      </w:r>
      <w:r>
        <w:rPr>
          <w:spacing w:val="-5"/>
        </w:rPr>
        <w:t xml:space="preserve"> </w:t>
      </w:r>
      <w:r>
        <w:t>measures</w:t>
      </w:r>
      <w:r>
        <w:rPr>
          <w:spacing w:val="-6"/>
        </w:rPr>
        <w:t xml:space="preserve"> </w:t>
      </w:r>
      <w:r>
        <w:t>adopted</w:t>
      </w:r>
      <w:r>
        <w:rPr>
          <w:spacing w:val="-5"/>
        </w:rPr>
        <w:t xml:space="preserve"> </w:t>
      </w:r>
      <w:r>
        <w:t>in</w:t>
      </w:r>
      <w:r>
        <w:rPr>
          <w:spacing w:val="-4"/>
        </w:rPr>
        <w:t xml:space="preserve"> </w:t>
      </w:r>
      <w:r>
        <w:t>the</w:t>
      </w:r>
      <w:r>
        <w:rPr>
          <w:spacing w:val="-6"/>
        </w:rPr>
        <w:t xml:space="preserve"> </w:t>
      </w:r>
      <w:proofErr w:type="spellStart"/>
      <w:r>
        <w:t>Forcados</w:t>
      </w:r>
      <w:proofErr w:type="spellEnd"/>
      <w:r>
        <w:rPr>
          <w:spacing w:val="-5"/>
        </w:rPr>
        <w:t xml:space="preserve"> </w:t>
      </w:r>
      <w:r>
        <w:rPr>
          <w:spacing w:val="-2"/>
        </w:rPr>
        <w:t>Basin.</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5674"/>
      </w:tblGrid>
      <w:tr w:rsidR="007E20F1" w14:paraId="407B2C03" w14:textId="77777777">
        <w:trPr>
          <w:trHeight w:val="317"/>
        </w:trPr>
        <w:tc>
          <w:tcPr>
            <w:tcW w:w="3227" w:type="dxa"/>
          </w:tcPr>
          <w:p w14:paraId="6D758A20" w14:textId="77777777" w:rsidR="007E20F1" w:rsidRDefault="00E026B7">
            <w:pPr>
              <w:pStyle w:val="TableParagraph"/>
              <w:rPr>
                <w:sz w:val="28"/>
              </w:rPr>
            </w:pPr>
            <w:r>
              <w:rPr>
                <w:spacing w:val="-4"/>
                <w:sz w:val="28"/>
              </w:rPr>
              <w:t>Type</w:t>
            </w:r>
          </w:p>
        </w:tc>
        <w:tc>
          <w:tcPr>
            <w:tcW w:w="5674" w:type="dxa"/>
          </w:tcPr>
          <w:p w14:paraId="5140DD6B" w14:textId="77777777" w:rsidR="007E20F1" w:rsidRDefault="00E026B7">
            <w:pPr>
              <w:pStyle w:val="TableParagraph"/>
              <w:ind w:left="108"/>
              <w:rPr>
                <w:sz w:val="28"/>
              </w:rPr>
            </w:pPr>
            <w:r>
              <w:rPr>
                <w:spacing w:val="-2"/>
                <w:sz w:val="28"/>
              </w:rPr>
              <w:t>Measures</w:t>
            </w:r>
          </w:p>
        </w:tc>
      </w:tr>
      <w:tr w:rsidR="007E20F1" w14:paraId="10CA2033" w14:textId="77777777">
        <w:trPr>
          <w:trHeight w:val="1272"/>
        </w:trPr>
        <w:tc>
          <w:tcPr>
            <w:tcW w:w="3227" w:type="dxa"/>
          </w:tcPr>
          <w:p w14:paraId="50543645" w14:textId="77777777" w:rsidR="007E20F1" w:rsidRDefault="00E026B7">
            <w:pPr>
              <w:pStyle w:val="TableParagraph"/>
              <w:spacing w:line="318" w:lineRule="exact"/>
              <w:rPr>
                <w:sz w:val="28"/>
              </w:rPr>
            </w:pPr>
            <w:r>
              <w:rPr>
                <w:spacing w:val="-2"/>
                <w:sz w:val="28"/>
              </w:rPr>
              <w:t>Structural</w:t>
            </w:r>
          </w:p>
        </w:tc>
        <w:tc>
          <w:tcPr>
            <w:tcW w:w="5674" w:type="dxa"/>
          </w:tcPr>
          <w:p w14:paraId="49B2E456" w14:textId="77777777" w:rsidR="007E20F1" w:rsidRDefault="00E026B7">
            <w:pPr>
              <w:pStyle w:val="TableParagraph"/>
              <w:spacing w:line="317" w:lineRule="exact"/>
              <w:ind w:left="108"/>
              <w:rPr>
                <w:sz w:val="28"/>
              </w:rPr>
            </w:pPr>
            <w:r>
              <w:rPr>
                <w:spacing w:val="-4"/>
                <w:sz w:val="28"/>
              </w:rPr>
              <w:t>Dyke</w:t>
            </w:r>
          </w:p>
          <w:p w14:paraId="6EEE86F7" w14:textId="77777777" w:rsidR="007E20F1" w:rsidRDefault="00E026B7">
            <w:pPr>
              <w:pStyle w:val="TableParagraph"/>
              <w:spacing w:line="240" w:lineRule="auto"/>
              <w:ind w:left="108" w:right="2782"/>
              <w:rPr>
                <w:sz w:val="28"/>
              </w:rPr>
            </w:pPr>
            <w:r>
              <w:rPr>
                <w:sz w:val="28"/>
              </w:rPr>
              <w:t>Channel</w:t>
            </w:r>
            <w:r>
              <w:rPr>
                <w:spacing w:val="-17"/>
                <w:sz w:val="28"/>
              </w:rPr>
              <w:t xml:space="preserve"> </w:t>
            </w:r>
            <w:r>
              <w:rPr>
                <w:sz w:val="28"/>
              </w:rPr>
              <w:t xml:space="preserve">improvement </w:t>
            </w:r>
            <w:r>
              <w:rPr>
                <w:spacing w:val="-2"/>
                <w:sz w:val="28"/>
              </w:rPr>
              <w:t>Reservoirs</w:t>
            </w:r>
          </w:p>
          <w:p w14:paraId="4FBC95C2" w14:textId="77777777" w:rsidR="007E20F1" w:rsidRDefault="00E026B7">
            <w:pPr>
              <w:pStyle w:val="TableParagraph"/>
              <w:spacing w:line="300" w:lineRule="exact"/>
              <w:ind w:left="108"/>
              <w:rPr>
                <w:sz w:val="28"/>
              </w:rPr>
            </w:pPr>
            <w:r>
              <w:rPr>
                <w:sz w:val="28"/>
              </w:rPr>
              <w:t>Flood</w:t>
            </w:r>
            <w:r>
              <w:rPr>
                <w:spacing w:val="-6"/>
                <w:sz w:val="28"/>
              </w:rPr>
              <w:t xml:space="preserve"> </w:t>
            </w:r>
            <w:r>
              <w:rPr>
                <w:spacing w:val="-2"/>
                <w:sz w:val="28"/>
              </w:rPr>
              <w:t>proofing</w:t>
            </w:r>
          </w:p>
        </w:tc>
      </w:tr>
      <w:tr w:rsidR="007E20F1" w14:paraId="1198C5D1" w14:textId="77777777">
        <w:trPr>
          <w:trHeight w:val="1270"/>
        </w:trPr>
        <w:tc>
          <w:tcPr>
            <w:tcW w:w="3227" w:type="dxa"/>
          </w:tcPr>
          <w:p w14:paraId="35420D82" w14:textId="77777777" w:rsidR="007E20F1" w:rsidRDefault="00E026B7">
            <w:pPr>
              <w:pStyle w:val="TableParagraph"/>
              <w:spacing w:line="316" w:lineRule="exact"/>
              <w:rPr>
                <w:sz w:val="28"/>
              </w:rPr>
            </w:pPr>
            <w:r>
              <w:rPr>
                <w:spacing w:val="-2"/>
                <w:sz w:val="28"/>
              </w:rPr>
              <w:t>Non-structural</w:t>
            </w:r>
          </w:p>
        </w:tc>
        <w:tc>
          <w:tcPr>
            <w:tcW w:w="5674" w:type="dxa"/>
          </w:tcPr>
          <w:p w14:paraId="420D0AEB" w14:textId="77777777" w:rsidR="007E20F1" w:rsidRDefault="00E026B7">
            <w:pPr>
              <w:pStyle w:val="TableParagraph"/>
              <w:spacing w:line="240" w:lineRule="auto"/>
              <w:ind w:left="108" w:right="2710"/>
              <w:rPr>
                <w:sz w:val="28"/>
              </w:rPr>
            </w:pPr>
            <w:r>
              <w:rPr>
                <w:sz w:val="28"/>
              </w:rPr>
              <w:t>Flood Preparedness Emergency</w:t>
            </w:r>
            <w:r>
              <w:rPr>
                <w:spacing w:val="-17"/>
                <w:sz w:val="28"/>
              </w:rPr>
              <w:t xml:space="preserve"> </w:t>
            </w:r>
            <w:r>
              <w:rPr>
                <w:sz w:val="28"/>
              </w:rPr>
              <w:t>Evacuation Environmental Issues</w:t>
            </w:r>
          </w:p>
          <w:p w14:paraId="0968B948" w14:textId="77777777" w:rsidR="007E20F1" w:rsidRDefault="00E026B7">
            <w:pPr>
              <w:pStyle w:val="TableParagraph"/>
              <w:spacing w:line="297" w:lineRule="exact"/>
              <w:ind w:left="108"/>
              <w:rPr>
                <w:sz w:val="28"/>
              </w:rPr>
            </w:pPr>
            <w:r>
              <w:rPr>
                <w:sz w:val="28"/>
              </w:rPr>
              <w:t>Government</w:t>
            </w:r>
            <w:r>
              <w:rPr>
                <w:spacing w:val="-8"/>
                <w:sz w:val="28"/>
              </w:rPr>
              <w:t xml:space="preserve"> </w:t>
            </w:r>
            <w:r>
              <w:rPr>
                <w:sz w:val="28"/>
              </w:rPr>
              <w:t>and</w:t>
            </w:r>
            <w:r>
              <w:rPr>
                <w:spacing w:val="-10"/>
                <w:sz w:val="28"/>
              </w:rPr>
              <w:t xml:space="preserve"> </w:t>
            </w:r>
            <w:r>
              <w:rPr>
                <w:sz w:val="28"/>
              </w:rPr>
              <w:t>Legislative</w:t>
            </w:r>
            <w:r>
              <w:rPr>
                <w:spacing w:val="-8"/>
                <w:sz w:val="28"/>
              </w:rPr>
              <w:t xml:space="preserve"> </w:t>
            </w:r>
            <w:r>
              <w:rPr>
                <w:spacing w:val="-2"/>
                <w:sz w:val="28"/>
              </w:rPr>
              <w:t>financing</w:t>
            </w:r>
          </w:p>
        </w:tc>
      </w:tr>
    </w:tbl>
    <w:p w14:paraId="2CE9A16B" w14:textId="77777777" w:rsidR="007E20F1" w:rsidRDefault="007E20F1">
      <w:pPr>
        <w:pStyle w:val="TableParagraph"/>
        <w:spacing w:line="297" w:lineRule="exact"/>
        <w:rPr>
          <w:sz w:val="28"/>
        </w:rPr>
        <w:sectPr w:rsidR="007E20F1">
          <w:pgSz w:w="11910" w:h="16840"/>
          <w:pgMar w:top="1340" w:right="1275" w:bottom="1040" w:left="1275" w:header="0" w:footer="803" w:gutter="0"/>
          <w:cols w:space="720"/>
        </w:sect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7"/>
        <w:gridCol w:w="5674"/>
      </w:tblGrid>
      <w:tr w:rsidR="007E20F1" w14:paraId="63F4B16B" w14:textId="77777777">
        <w:trPr>
          <w:trHeight w:val="635"/>
        </w:trPr>
        <w:tc>
          <w:tcPr>
            <w:tcW w:w="3227" w:type="dxa"/>
          </w:tcPr>
          <w:p w14:paraId="19E24C15" w14:textId="77777777" w:rsidR="007E20F1" w:rsidRDefault="00E026B7">
            <w:pPr>
              <w:pStyle w:val="TableParagraph"/>
              <w:spacing w:before="1" w:line="240" w:lineRule="auto"/>
              <w:rPr>
                <w:sz w:val="28"/>
              </w:rPr>
            </w:pPr>
            <w:r>
              <w:rPr>
                <w:sz w:val="28"/>
              </w:rPr>
              <w:lastRenderedPageBreak/>
              <w:t>Flood</w:t>
            </w:r>
            <w:r>
              <w:rPr>
                <w:spacing w:val="-5"/>
                <w:sz w:val="28"/>
              </w:rPr>
              <w:t xml:space="preserve"> </w:t>
            </w:r>
            <w:r>
              <w:rPr>
                <w:spacing w:val="-2"/>
                <w:sz w:val="28"/>
              </w:rPr>
              <w:t>recovery</w:t>
            </w:r>
          </w:p>
        </w:tc>
        <w:tc>
          <w:tcPr>
            <w:tcW w:w="5674" w:type="dxa"/>
          </w:tcPr>
          <w:p w14:paraId="198D7CAD" w14:textId="77777777" w:rsidR="007E20F1" w:rsidRDefault="00E026B7">
            <w:pPr>
              <w:pStyle w:val="TableParagraph"/>
              <w:spacing w:line="316" w:lineRule="exact"/>
              <w:ind w:left="108" w:right="3561"/>
              <w:rPr>
                <w:sz w:val="28"/>
              </w:rPr>
            </w:pPr>
            <w:r>
              <w:rPr>
                <w:sz w:val="28"/>
              </w:rPr>
              <w:t>Flood</w:t>
            </w:r>
            <w:r>
              <w:rPr>
                <w:spacing w:val="-17"/>
                <w:sz w:val="28"/>
              </w:rPr>
              <w:t xml:space="preserve"> </w:t>
            </w:r>
            <w:r>
              <w:rPr>
                <w:sz w:val="28"/>
              </w:rPr>
              <w:t xml:space="preserve">insurance </w:t>
            </w:r>
            <w:r>
              <w:rPr>
                <w:spacing w:val="-2"/>
                <w:sz w:val="28"/>
              </w:rPr>
              <w:t>Rehabilitation</w:t>
            </w:r>
          </w:p>
        </w:tc>
      </w:tr>
    </w:tbl>
    <w:p w14:paraId="3D473508" w14:textId="77777777" w:rsidR="007E20F1" w:rsidRDefault="00E026B7">
      <w:pPr>
        <w:pStyle w:val="BodyText"/>
        <w:spacing w:before="22"/>
        <w:ind w:left="165"/>
      </w:pPr>
      <w:r>
        <w:t>Field</w:t>
      </w:r>
      <w:r>
        <w:rPr>
          <w:spacing w:val="-6"/>
        </w:rPr>
        <w:t xml:space="preserve"> </w:t>
      </w:r>
      <w:r>
        <w:t>survey,</w:t>
      </w:r>
      <w:r>
        <w:rPr>
          <w:spacing w:val="60"/>
        </w:rPr>
        <w:t xml:space="preserve"> </w:t>
      </w:r>
      <w:r>
        <w:rPr>
          <w:spacing w:val="-4"/>
        </w:rPr>
        <w:t>2017.</w:t>
      </w:r>
    </w:p>
    <w:p w14:paraId="6FCA419B" w14:textId="77777777" w:rsidR="007E20F1" w:rsidRDefault="007E20F1">
      <w:pPr>
        <w:pStyle w:val="BodyText"/>
        <w:spacing w:before="95"/>
      </w:pPr>
    </w:p>
    <w:p w14:paraId="3D43BF03" w14:textId="77777777" w:rsidR="007E20F1" w:rsidRDefault="00E026B7">
      <w:pPr>
        <w:pStyle w:val="BodyText"/>
        <w:spacing w:before="1" w:line="276" w:lineRule="auto"/>
        <w:ind w:left="165" w:right="90"/>
        <w:jc w:val="both"/>
      </w:pPr>
      <w:r>
        <w:t xml:space="preserve">In the </w:t>
      </w:r>
      <w:proofErr w:type="spellStart"/>
      <w:r>
        <w:t>Forcados</w:t>
      </w:r>
      <w:proofErr w:type="spellEnd"/>
      <w:r>
        <w:t xml:space="preserve"> Basin, flood flows are partially controlled or redirect</w:t>
      </w:r>
      <w:r>
        <w:rPr>
          <w:spacing w:val="40"/>
        </w:rPr>
        <w:t xml:space="preserve"> </w:t>
      </w:r>
      <w:r>
        <w:t xml:space="preserve">away from specific areas and amenities at risk largely by engineering structures. </w:t>
      </w:r>
      <w:proofErr w:type="gramStart"/>
      <w:r>
        <w:t>This ranges</w:t>
      </w:r>
      <w:proofErr w:type="gramEnd"/>
      <w:r>
        <w:t xml:space="preserve"> from levee embankments, dykes or </w:t>
      </w:r>
      <w:proofErr w:type="spellStart"/>
      <w:r>
        <w:t>stopbanks</w:t>
      </w:r>
      <w:proofErr w:type="spellEnd"/>
      <w:r>
        <w:t xml:space="preserve">, to drainage and </w:t>
      </w:r>
      <w:proofErr w:type="spellStart"/>
      <w:r>
        <w:t>culverts.These</w:t>
      </w:r>
      <w:proofErr w:type="spellEnd"/>
      <w:r>
        <w:t xml:space="preserve"> are often designed to restrict flood waters to well-defined, low value lands on the floodplain. They offer protection up to the</w:t>
      </w:r>
      <w:r>
        <w:rPr>
          <w:spacing w:val="-1"/>
        </w:rPr>
        <w:t xml:space="preserve"> </w:t>
      </w:r>
      <w:r>
        <w:t>heights or design limits of the</w:t>
      </w:r>
      <w:r>
        <w:rPr>
          <w:spacing w:val="-1"/>
        </w:rPr>
        <w:t xml:space="preserve"> </w:t>
      </w:r>
      <w:r>
        <w:t>particular flood magnitude</w:t>
      </w:r>
      <w:r>
        <w:rPr>
          <w:spacing w:val="-1"/>
        </w:rPr>
        <w:t xml:space="preserve"> </w:t>
      </w:r>
      <w:r>
        <w:t>expected. While these measures</w:t>
      </w:r>
      <w:bookmarkStart w:id="11" w:name="_GoBack"/>
      <w:bookmarkEnd w:id="11"/>
      <w:r>
        <w:t xml:space="preserve"> are adopted by government agencies and Community Development Committees (CDC), the four hundred</w:t>
      </w:r>
      <w:r>
        <w:rPr>
          <w:spacing w:val="80"/>
          <w:w w:val="150"/>
        </w:rPr>
        <w:t xml:space="preserve"> </w:t>
      </w:r>
      <w:r>
        <w:t xml:space="preserve">residents used in the analysis of the adoption of flood-proofing drawn from the riverine urban community of Patani were segregated into four </w:t>
      </w:r>
      <w:proofErr w:type="spellStart"/>
      <w:r>
        <w:t>neighbourhoods</w:t>
      </w:r>
      <w:proofErr w:type="spellEnd"/>
      <w:r>
        <w:t xml:space="preserve">. (i.e. </w:t>
      </w:r>
      <w:proofErr w:type="spellStart"/>
      <w:r>
        <w:t>Ekise</w:t>
      </w:r>
      <w:proofErr w:type="spellEnd"/>
      <w:r>
        <w:t xml:space="preserve">, </w:t>
      </w:r>
      <w:proofErr w:type="spellStart"/>
      <w:r>
        <w:t>Osuoware</w:t>
      </w:r>
      <w:proofErr w:type="spellEnd"/>
      <w:r>
        <w:t xml:space="preserve">, </w:t>
      </w:r>
      <w:proofErr w:type="spellStart"/>
      <w:r>
        <w:t>Watermans</w:t>
      </w:r>
      <w:proofErr w:type="spellEnd"/>
      <w:r>
        <w:t xml:space="preserve"> and </w:t>
      </w:r>
      <w:proofErr w:type="spellStart"/>
      <w:r>
        <w:t>Ogoinware</w:t>
      </w:r>
      <w:proofErr w:type="spellEnd"/>
      <w:r>
        <w:t xml:space="preserve">). Within these </w:t>
      </w:r>
      <w:proofErr w:type="spellStart"/>
      <w:r>
        <w:t>neighbourhoods</w:t>
      </w:r>
      <w:proofErr w:type="spellEnd"/>
      <w:r>
        <w:t>, the adoption of flood-proofing was carefully analyzed taking into consideration the horizontal distance of housings from the stream and the location of same in or out of the designated floodplain zones.</w:t>
      </w:r>
    </w:p>
    <w:p w14:paraId="6B03988D" w14:textId="77777777" w:rsidR="007E20F1" w:rsidRDefault="007E20F1">
      <w:pPr>
        <w:pStyle w:val="BodyText"/>
        <w:spacing w:before="47"/>
      </w:pPr>
    </w:p>
    <w:p w14:paraId="0400377D" w14:textId="77777777" w:rsidR="007E20F1" w:rsidRDefault="00E026B7">
      <w:pPr>
        <w:pStyle w:val="BodyText"/>
        <w:spacing w:line="276" w:lineRule="auto"/>
        <w:ind w:left="165" w:right="164"/>
        <w:jc w:val="both"/>
      </w:pPr>
      <w:r>
        <w:t xml:space="preserve">Analysis of the horizontal distance of residential locations from the stream exhibited a relationship with the adoption of other mitigation measures as well. Emergency evacuation, sand bagging and flood- proofing of residential structures were significantly associated with distance from the flood fringe of the stream. Table 2 illustrates this </w:t>
      </w:r>
      <w:r>
        <w:rPr>
          <w:spacing w:val="-2"/>
        </w:rPr>
        <w:t>relationship.</w:t>
      </w:r>
    </w:p>
    <w:p w14:paraId="175D5702" w14:textId="77777777" w:rsidR="007E20F1" w:rsidRDefault="007E20F1">
      <w:pPr>
        <w:pStyle w:val="BodyText"/>
      </w:pPr>
    </w:p>
    <w:p w14:paraId="72DF9BB9" w14:textId="77777777" w:rsidR="007E20F1" w:rsidRDefault="007E20F1">
      <w:pPr>
        <w:pStyle w:val="BodyText"/>
        <w:spacing w:before="303"/>
      </w:pPr>
    </w:p>
    <w:p w14:paraId="07660AA9" w14:textId="77777777" w:rsidR="007E20F1" w:rsidRDefault="00E026B7">
      <w:pPr>
        <w:pStyle w:val="BodyText"/>
        <w:spacing w:after="50"/>
        <w:ind w:left="165"/>
      </w:pPr>
      <w:r>
        <w:rPr>
          <w:b/>
        </w:rPr>
        <w:t>Table</w:t>
      </w:r>
      <w:r>
        <w:rPr>
          <w:b/>
          <w:spacing w:val="-8"/>
        </w:rPr>
        <w:t xml:space="preserve"> </w:t>
      </w:r>
      <w:r>
        <w:rPr>
          <w:b/>
        </w:rPr>
        <w:t>2:</w:t>
      </w:r>
      <w:r>
        <w:rPr>
          <w:b/>
          <w:spacing w:val="-7"/>
        </w:rPr>
        <w:t xml:space="preserve"> </w:t>
      </w:r>
      <w:r>
        <w:t>Distance</w:t>
      </w:r>
      <w:r>
        <w:rPr>
          <w:spacing w:val="-3"/>
        </w:rPr>
        <w:t xml:space="preserve"> </w:t>
      </w:r>
      <w:r>
        <w:t>and</w:t>
      </w:r>
      <w:r>
        <w:rPr>
          <w:spacing w:val="-5"/>
        </w:rPr>
        <w:t xml:space="preserve"> </w:t>
      </w:r>
      <w:r>
        <w:t>Sandbagging</w:t>
      </w:r>
      <w:r>
        <w:rPr>
          <w:spacing w:val="-6"/>
        </w:rPr>
        <w:t xml:space="preserve"> </w:t>
      </w:r>
      <w:r>
        <w:t>in</w:t>
      </w:r>
      <w:r>
        <w:rPr>
          <w:spacing w:val="-5"/>
        </w:rPr>
        <w:t xml:space="preserve"> </w:t>
      </w:r>
      <w:r>
        <w:t>the</w:t>
      </w:r>
      <w:r>
        <w:rPr>
          <w:spacing w:val="-3"/>
        </w:rPr>
        <w:t xml:space="preserve"> </w:t>
      </w:r>
      <w:proofErr w:type="spellStart"/>
      <w:r>
        <w:t>Forcados</w:t>
      </w:r>
      <w:proofErr w:type="spellEnd"/>
      <w:r>
        <w:rPr>
          <w:spacing w:val="-5"/>
        </w:rPr>
        <w:t xml:space="preserve"> </w:t>
      </w:r>
      <w:r>
        <w:rPr>
          <w:spacing w:val="-2"/>
        </w:rPr>
        <w:t>Basin</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193"/>
        <w:gridCol w:w="1984"/>
        <w:gridCol w:w="2311"/>
      </w:tblGrid>
      <w:tr w:rsidR="007E20F1" w14:paraId="1BC8F8B2" w14:textId="77777777">
        <w:trPr>
          <w:trHeight w:val="378"/>
        </w:trPr>
        <w:tc>
          <w:tcPr>
            <w:tcW w:w="2518" w:type="dxa"/>
            <w:vMerge w:val="restart"/>
          </w:tcPr>
          <w:p w14:paraId="70B3B202" w14:textId="77777777" w:rsidR="007E20F1" w:rsidRDefault="00E026B7">
            <w:pPr>
              <w:pStyle w:val="TableParagraph"/>
              <w:spacing w:line="317" w:lineRule="exact"/>
              <w:rPr>
                <w:sz w:val="28"/>
              </w:rPr>
            </w:pPr>
            <w:r>
              <w:rPr>
                <w:spacing w:val="-2"/>
                <w:sz w:val="28"/>
              </w:rPr>
              <w:t>Distance</w:t>
            </w:r>
          </w:p>
        </w:tc>
        <w:tc>
          <w:tcPr>
            <w:tcW w:w="4177" w:type="dxa"/>
            <w:gridSpan w:val="2"/>
          </w:tcPr>
          <w:p w14:paraId="38C0F4E8" w14:textId="77777777" w:rsidR="007E20F1" w:rsidRDefault="00E026B7">
            <w:pPr>
              <w:pStyle w:val="TableParagraph"/>
              <w:spacing w:line="317" w:lineRule="exact"/>
              <w:rPr>
                <w:sz w:val="28"/>
              </w:rPr>
            </w:pPr>
            <w:r>
              <w:rPr>
                <w:sz w:val="28"/>
              </w:rPr>
              <w:t>Sandbagged</w:t>
            </w:r>
            <w:r>
              <w:rPr>
                <w:spacing w:val="-9"/>
                <w:sz w:val="28"/>
              </w:rPr>
              <w:t xml:space="preserve"> </w:t>
            </w:r>
            <w:r>
              <w:rPr>
                <w:spacing w:val="-2"/>
                <w:sz w:val="28"/>
              </w:rPr>
              <w:t>residences</w:t>
            </w:r>
          </w:p>
        </w:tc>
        <w:tc>
          <w:tcPr>
            <w:tcW w:w="2311" w:type="dxa"/>
            <w:vMerge w:val="restart"/>
          </w:tcPr>
          <w:p w14:paraId="5D803DA0" w14:textId="77777777" w:rsidR="007E20F1" w:rsidRDefault="00E026B7">
            <w:pPr>
              <w:pStyle w:val="TableParagraph"/>
              <w:spacing w:line="317" w:lineRule="exact"/>
              <w:ind w:left="108"/>
              <w:rPr>
                <w:sz w:val="28"/>
              </w:rPr>
            </w:pPr>
            <w:r>
              <w:rPr>
                <w:spacing w:val="-4"/>
                <w:sz w:val="28"/>
              </w:rPr>
              <w:t>Total</w:t>
            </w:r>
          </w:p>
        </w:tc>
      </w:tr>
      <w:tr w:rsidR="007E20F1" w14:paraId="3850A402" w14:textId="77777777">
        <w:trPr>
          <w:trHeight w:val="317"/>
        </w:trPr>
        <w:tc>
          <w:tcPr>
            <w:tcW w:w="2518" w:type="dxa"/>
            <w:vMerge/>
            <w:tcBorders>
              <w:top w:val="nil"/>
            </w:tcBorders>
          </w:tcPr>
          <w:p w14:paraId="07F988C7" w14:textId="77777777" w:rsidR="007E20F1" w:rsidRDefault="007E20F1">
            <w:pPr>
              <w:rPr>
                <w:sz w:val="2"/>
                <w:szCs w:val="2"/>
              </w:rPr>
            </w:pPr>
          </w:p>
        </w:tc>
        <w:tc>
          <w:tcPr>
            <w:tcW w:w="2193" w:type="dxa"/>
          </w:tcPr>
          <w:p w14:paraId="0B00F20B" w14:textId="77777777" w:rsidR="007E20F1" w:rsidRDefault="00E026B7">
            <w:pPr>
              <w:pStyle w:val="TableParagraph"/>
              <w:rPr>
                <w:sz w:val="28"/>
              </w:rPr>
            </w:pPr>
            <w:r>
              <w:rPr>
                <w:spacing w:val="-5"/>
                <w:sz w:val="28"/>
              </w:rPr>
              <w:t>No</w:t>
            </w:r>
          </w:p>
        </w:tc>
        <w:tc>
          <w:tcPr>
            <w:tcW w:w="1984" w:type="dxa"/>
          </w:tcPr>
          <w:p w14:paraId="3E5248DE" w14:textId="77777777" w:rsidR="007E20F1" w:rsidRDefault="00E026B7">
            <w:pPr>
              <w:pStyle w:val="TableParagraph"/>
              <w:rPr>
                <w:sz w:val="28"/>
              </w:rPr>
            </w:pPr>
            <w:r>
              <w:rPr>
                <w:spacing w:val="-5"/>
                <w:sz w:val="28"/>
              </w:rPr>
              <w:t>Yes</w:t>
            </w:r>
          </w:p>
        </w:tc>
        <w:tc>
          <w:tcPr>
            <w:tcW w:w="2311" w:type="dxa"/>
            <w:vMerge/>
            <w:tcBorders>
              <w:top w:val="nil"/>
            </w:tcBorders>
          </w:tcPr>
          <w:p w14:paraId="75C24150" w14:textId="77777777" w:rsidR="007E20F1" w:rsidRDefault="007E20F1">
            <w:pPr>
              <w:rPr>
                <w:sz w:val="2"/>
                <w:szCs w:val="2"/>
              </w:rPr>
            </w:pPr>
          </w:p>
        </w:tc>
      </w:tr>
      <w:tr w:rsidR="007E20F1" w14:paraId="1A0E670A" w14:textId="77777777">
        <w:trPr>
          <w:trHeight w:val="316"/>
        </w:trPr>
        <w:tc>
          <w:tcPr>
            <w:tcW w:w="2518" w:type="dxa"/>
            <w:tcBorders>
              <w:bottom w:val="nil"/>
            </w:tcBorders>
          </w:tcPr>
          <w:p w14:paraId="08B0A3A4" w14:textId="77777777" w:rsidR="007E20F1" w:rsidRDefault="00E026B7">
            <w:pPr>
              <w:pStyle w:val="TableParagraph"/>
              <w:tabs>
                <w:tab w:val="left" w:pos="683"/>
              </w:tabs>
              <w:spacing w:line="297" w:lineRule="exact"/>
              <w:rPr>
                <w:sz w:val="28"/>
              </w:rPr>
            </w:pPr>
            <w:r>
              <w:rPr>
                <w:spacing w:val="-10"/>
                <w:sz w:val="28"/>
              </w:rPr>
              <w:t>0</w:t>
            </w:r>
            <w:r>
              <w:rPr>
                <w:sz w:val="28"/>
              </w:rPr>
              <w:tab/>
              <w:t>-</w:t>
            </w:r>
            <w:r>
              <w:rPr>
                <w:spacing w:val="66"/>
                <w:sz w:val="28"/>
              </w:rPr>
              <w:t xml:space="preserve"> </w:t>
            </w:r>
            <w:r>
              <w:rPr>
                <w:spacing w:val="-5"/>
                <w:sz w:val="28"/>
              </w:rPr>
              <w:t>50m</w:t>
            </w:r>
          </w:p>
        </w:tc>
        <w:tc>
          <w:tcPr>
            <w:tcW w:w="2193" w:type="dxa"/>
            <w:tcBorders>
              <w:bottom w:val="nil"/>
            </w:tcBorders>
          </w:tcPr>
          <w:p w14:paraId="7B8285EB" w14:textId="77777777" w:rsidR="007E20F1" w:rsidRDefault="00E026B7">
            <w:pPr>
              <w:pStyle w:val="TableParagraph"/>
              <w:spacing w:line="297" w:lineRule="exact"/>
              <w:rPr>
                <w:sz w:val="28"/>
              </w:rPr>
            </w:pPr>
            <w:r>
              <w:rPr>
                <w:spacing w:val="-5"/>
                <w:sz w:val="28"/>
              </w:rPr>
              <w:t>30</w:t>
            </w:r>
          </w:p>
        </w:tc>
        <w:tc>
          <w:tcPr>
            <w:tcW w:w="1984" w:type="dxa"/>
            <w:tcBorders>
              <w:bottom w:val="nil"/>
            </w:tcBorders>
          </w:tcPr>
          <w:p w14:paraId="5958832D" w14:textId="77777777" w:rsidR="007E20F1" w:rsidRDefault="00E026B7">
            <w:pPr>
              <w:pStyle w:val="TableParagraph"/>
              <w:spacing w:line="297" w:lineRule="exact"/>
              <w:rPr>
                <w:sz w:val="28"/>
              </w:rPr>
            </w:pPr>
            <w:r>
              <w:rPr>
                <w:spacing w:val="-5"/>
                <w:sz w:val="28"/>
              </w:rPr>
              <w:t>70</w:t>
            </w:r>
          </w:p>
        </w:tc>
        <w:tc>
          <w:tcPr>
            <w:tcW w:w="2311" w:type="dxa"/>
            <w:tcBorders>
              <w:bottom w:val="nil"/>
            </w:tcBorders>
          </w:tcPr>
          <w:p w14:paraId="33AD4A76" w14:textId="77777777" w:rsidR="007E20F1" w:rsidRDefault="00E026B7">
            <w:pPr>
              <w:pStyle w:val="TableParagraph"/>
              <w:spacing w:line="297" w:lineRule="exact"/>
              <w:ind w:left="108"/>
              <w:rPr>
                <w:sz w:val="28"/>
              </w:rPr>
            </w:pPr>
            <w:r>
              <w:rPr>
                <w:spacing w:val="-5"/>
                <w:sz w:val="28"/>
              </w:rPr>
              <w:t>100</w:t>
            </w:r>
          </w:p>
        </w:tc>
      </w:tr>
      <w:tr w:rsidR="007E20F1" w14:paraId="3387BC07" w14:textId="77777777">
        <w:trPr>
          <w:trHeight w:val="317"/>
        </w:trPr>
        <w:tc>
          <w:tcPr>
            <w:tcW w:w="2518" w:type="dxa"/>
            <w:tcBorders>
              <w:top w:val="nil"/>
              <w:bottom w:val="nil"/>
            </w:tcBorders>
          </w:tcPr>
          <w:p w14:paraId="359399C4" w14:textId="77777777" w:rsidR="007E20F1" w:rsidRDefault="00E026B7">
            <w:pPr>
              <w:pStyle w:val="TableParagraph"/>
              <w:tabs>
                <w:tab w:val="left" w:pos="628"/>
              </w:tabs>
              <w:rPr>
                <w:sz w:val="28"/>
              </w:rPr>
            </w:pPr>
            <w:r>
              <w:rPr>
                <w:spacing w:val="-5"/>
                <w:sz w:val="28"/>
              </w:rPr>
              <w:t>50</w:t>
            </w:r>
            <w:r>
              <w:rPr>
                <w:sz w:val="28"/>
              </w:rPr>
              <w:tab/>
              <w:t>-</w:t>
            </w:r>
            <w:r>
              <w:rPr>
                <w:spacing w:val="64"/>
                <w:sz w:val="28"/>
              </w:rPr>
              <w:t xml:space="preserve"> </w:t>
            </w:r>
            <w:r>
              <w:rPr>
                <w:spacing w:val="-4"/>
                <w:sz w:val="28"/>
              </w:rPr>
              <w:t>100m</w:t>
            </w:r>
          </w:p>
        </w:tc>
        <w:tc>
          <w:tcPr>
            <w:tcW w:w="2193" w:type="dxa"/>
            <w:tcBorders>
              <w:top w:val="nil"/>
              <w:bottom w:val="nil"/>
            </w:tcBorders>
          </w:tcPr>
          <w:p w14:paraId="7A7EB157" w14:textId="77777777" w:rsidR="007E20F1" w:rsidRDefault="00E026B7">
            <w:pPr>
              <w:pStyle w:val="TableParagraph"/>
              <w:rPr>
                <w:sz w:val="28"/>
              </w:rPr>
            </w:pPr>
            <w:r>
              <w:rPr>
                <w:spacing w:val="-5"/>
                <w:sz w:val="28"/>
              </w:rPr>
              <w:t>27</w:t>
            </w:r>
          </w:p>
        </w:tc>
        <w:tc>
          <w:tcPr>
            <w:tcW w:w="1984" w:type="dxa"/>
            <w:tcBorders>
              <w:top w:val="nil"/>
              <w:bottom w:val="nil"/>
            </w:tcBorders>
          </w:tcPr>
          <w:p w14:paraId="69665F33" w14:textId="77777777" w:rsidR="007E20F1" w:rsidRDefault="00E026B7">
            <w:pPr>
              <w:pStyle w:val="TableParagraph"/>
              <w:rPr>
                <w:sz w:val="28"/>
              </w:rPr>
            </w:pPr>
            <w:r>
              <w:rPr>
                <w:spacing w:val="-5"/>
                <w:sz w:val="28"/>
              </w:rPr>
              <w:t>28</w:t>
            </w:r>
          </w:p>
        </w:tc>
        <w:tc>
          <w:tcPr>
            <w:tcW w:w="2311" w:type="dxa"/>
            <w:tcBorders>
              <w:top w:val="nil"/>
              <w:bottom w:val="nil"/>
            </w:tcBorders>
          </w:tcPr>
          <w:p w14:paraId="175F0677" w14:textId="77777777" w:rsidR="007E20F1" w:rsidRDefault="00E026B7">
            <w:pPr>
              <w:pStyle w:val="TableParagraph"/>
              <w:ind w:left="108"/>
              <w:rPr>
                <w:sz w:val="28"/>
              </w:rPr>
            </w:pPr>
            <w:r>
              <w:rPr>
                <w:spacing w:val="-5"/>
                <w:sz w:val="28"/>
              </w:rPr>
              <w:t>55</w:t>
            </w:r>
          </w:p>
        </w:tc>
      </w:tr>
      <w:tr w:rsidR="007E20F1" w14:paraId="749274CC" w14:textId="77777777">
        <w:trPr>
          <w:trHeight w:val="318"/>
        </w:trPr>
        <w:tc>
          <w:tcPr>
            <w:tcW w:w="2518" w:type="dxa"/>
            <w:tcBorders>
              <w:top w:val="nil"/>
              <w:bottom w:val="nil"/>
            </w:tcBorders>
          </w:tcPr>
          <w:p w14:paraId="7945263E" w14:textId="77777777" w:rsidR="007E20F1" w:rsidRDefault="00E026B7">
            <w:pPr>
              <w:pStyle w:val="TableParagraph"/>
              <w:spacing w:before="1" w:line="297" w:lineRule="exact"/>
              <w:rPr>
                <w:sz w:val="28"/>
              </w:rPr>
            </w:pPr>
            <w:r>
              <w:rPr>
                <w:sz w:val="28"/>
              </w:rPr>
              <w:t>100</w:t>
            </w:r>
            <w:r>
              <w:rPr>
                <w:spacing w:val="-4"/>
                <w:sz w:val="28"/>
              </w:rPr>
              <w:t xml:space="preserve"> </w:t>
            </w:r>
            <w:r>
              <w:rPr>
                <w:sz w:val="28"/>
              </w:rPr>
              <w:t>-</w:t>
            </w:r>
            <w:r>
              <w:rPr>
                <w:spacing w:val="-2"/>
                <w:sz w:val="28"/>
              </w:rPr>
              <w:t xml:space="preserve"> </w:t>
            </w:r>
            <w:r>
              <w:rPr>
                <w:spacing w:val="-4"/>
                <w:sz w:val="28"/>
              </w:rPr>
              <w:t>200m</w:t>
            </w:r>
          </w:p>
        </w:tc>
        <w:tc>
          <w:tcPr>
            <w:tcW w:w="2193" w:type="dxa"/>
            <w:tcBorders>
              <w:top w:val="nil"/>
              <w:bottom w:val="nil"/>
            </w:tcBorders>
          </w:tcPr>
          <w:p w14:paraId="6CD90039" w14:textId="77777777" w:rsidR="007E20F1" w:rsidRDefault="00E026B7">
            <w:pPr>
              <w:pStyle w:val="TableParagraph"/>
              <w:spacing w:before="1" w:line="297" w:lineRule="exact"/>
              <w:rPr>
                <w:sz w:val="28"/>
              </w:rPr>
            </w:pPr>
            <w:r>
              <w:rPr>
                <w:spacing w:val="-5"/>
                <w:sz w:val="28"/>
              </w:rPr>
              <w:t>70</w:t>
            </w:r>
          </w:p>
        </w:tc>
        <w:tc>
          <w:tcPr>
            <w:tcW w:w="1984" w:type="dxa"/>
            <w:tcBorders>
              <w:top w:val="nil"/>
              <w:bottom w:val="nil"/>
            </w:tcBorders>
          </w:tcPr>
          <w:p w14:paraId="5BEA7388" w14:textId="77777777" w:rsidR="007E20F1" w:rsidRDefault="00E026B7">
            <w:pPr>
              <w:pStyle w:val="TableParagraph"/>
              <w:spacing w:before="1" w:line="297" w:lineRule="exact"/>
              <w:rPr>
                <w:sz w:val="28"/>
              </w:rPr>
            </w:pPr>
            <w:r>
              <w:rPr>
                <w:spacing w:val="-5"/>
                <w:sz w:val="28"/>
              </w:rPr>
              <w:t>15</w:t>
            </w:r>
          </w:p>
        </w:tc>
        <w:tc>
          <w:tcPr>
            <w:tcW w:w="2311" w:type="dxa"/>
            <w:tcBorders>
              <w:top w:val="nil"/>
              <w:bottom w:val="nil"/>
            </w:tcBorders>
          </w:tcPr>
          <w:p w14:paraId="4C5F06BE" w14:textId="77777777" w:rsidR="007E20F1" w:rsidRDefault="00E026B7">
            <w:pPr>
              <w:pStyle w:val="TableParagraph"/>
              <w:spacing w:before="1" w:line="297" w:lineRule="exact"/>
              <w:ind w:left="108"/>
              <w:rPr>
                <w:sz w:val="28"/>
              </w:rPr>
            </w:pPr>
            <w:r>
              <w:rPr>
                <w:spacing w:val="-5"/>
                <w:sz w:val="28"/>
              </w:rPr>
              <w:t>85</w:t>
            </w:r>
          </w:p>
        </w:tc>
      </w:tr>
      <w:tr w:rsidR="007E20F1" w14:paraId="0DD1C9DF" w14:textId="77777777">
        <w:trPr>
          <w:trHeight w:val="318"/>
        </w:trPr>
        <w:tc>
          <w:tcPr>
            <w:tcW w:w="2518" w:type="dxa"/>
            <w:tcBorders>
              <w:top w:val="nil"/>
              <w:bottom w:val="nil"/>
            </w:tcBorders>
          </w:tcPr>
          <w:p w14:paraId="3197A4C8" w14:textId="77777777" w:rsidR="007E20F1" w:rsidRDefault="00E026B7">
            <w:pPr>
              <w:pStyle w:val="TableParagraph"/>
              <w:rPr>
                <w:sz w:val="28"/>
              </w:rPr>
            </w:pPr>
            <w:r>
              <w:rPr>
                <w:sz w:val="28"/>
              </w:rPr>
              <w:t>200</w:t>
            </w:r>
            <w:r>
              <w:rPr>
                <w:spacing w:val="-4"/>
                <w:sz w:val="28"/>
              </w:rPr>
              <w:t xml:space="preserve"> </w:t>
            </w:r>
            <w:r>
              <w:rPr>
                <w:sz w:val="28"/>
              </w:rPr>
              <w:t>-</w:t>
            </w:r>
            <w:r>
              <w:rPr>
                <w:spacing w:val="-2"/>
                <w:sz w:val="28"/>
              </w:rPr>
              <w:t xml:space="preserve"> </w:t>
            </w:r>
            <w:r>
              <w:rPr>
                <w:spacing w:val="-4"/>
                <w:sz w:val="28"/>
              </w:rPr>
              <w:t>300m</w:t>
            </w:r>
          </w:p>
        </w:tc>
        <w:tc>
          <w:tcPr>
            <w:tcW w:w="2193" w:type="dxa"/>
            <w:tcBorders>
              <w:top w:val="nil"/>
              <w:bottom w:val="nil"/>
            </w:tcBorders>
          </w:tcPr>
          <w:p w14:paraId="21994B13" w14:textId="77777777" w:rsidR="007E20F1" w:rsidRDefault="00E026B7">
            <w:pPr>
              <w:pStyle w:val="TableParagraph"/>
              <w:rPr>
                <w:sz w:val="28"/>
              </w:rPr>
            </w:pPr>
            <w:r>
              <w:rPr>
                <w:spacing w:val="-5"/>
                <w:sz w:val="28"/>
              </w:rPr>
              <w:t>40</w:t>
            </w:r>
          </w:p>
        </w:tc>
        <w:tc>
          <w:tcPr>
            <w:tcW w:w="1984" w:type="dxa"/>
            <w:tcBorders>
              <w:top w:val="nil"/>
              <w:bottom w:val="nil"/>
            </w:tcBorders>
          </w:tcPr>
          <w:p w14:paraId="10E1D725" w14:textId="77777777" w:rsidR="007E20F1" w:rsidRDefault="00E026B7">
            <w:pPr>
              <w:pStyle w:val="TableParagraph"/>
              <w:rPr>
                <w:sz w:val="28"/>
              </w:rPr>
            </w:pPr>
            <w:r>
              <w:rPr>
                <w:spacing w:val="-5"/>
                <w:sz w:val="28"/>
              </w:rPr>
              <w:t>25</w:t>
            </w:r>
          </w:p>
        </w:tc>
        <w:tc>
          <w:tcPr>
            <w:tcW w:w="2311" w:type="dxa"/>
            <w:tcBorders>
              <w:top w:val="nil"/>
              <w:bottom w:val="nil"/>
            </w:tcBorders>
          </w:tcPr>
          <w:p w14:paraId="4307659B" w14:textId="77777777" w:rsidR="007E20F1" w:rsidRDefault="00E026B7">
            <w:pPr>
              <w:pStyle w:val="TableParagraph"/>
              <w:ind w:left="108"/>
              <w:rPr>
                <w:sz w:val="28"/>
              </w:rPr>
            </w:pPr>
            <w:r>
              <w:rPr>
                <w:spacing w:val="-5"/>
                <w:sz w:val="28"/>
              </w:rPr>
              <w:t>65</w:t>
            </w:r>
          </w:p>
        </w:tc>
      </w:tr>
      <w:tr w:rsidR="007E20F1" w14:paraId="2C55D84B" w14:textId="77777777">
        <w:trPr>
          <w:trHeight w:val="320"/>
        </w:trPr>
        <w:tc>
          <w:tcPr>
            <w:tcW w:w="2518" w:type="dxa"/>
            <w:tcBorders>
              <w:top w:val="nil"/>
            </w:tcBorders>
          </w:tcPr>
          <w:p w14:paraId="443A2C54" w14:textId="77777777" w:rsidR="007E20F1" w:rsidRDefault="00E026B7">
            <w:pPr>
              <w:pStyle w:val="TableParagraph"/>
              <w:spacing w:before="1" w:line="299" w:lineRule="exact"/>
              <w:rPr>
                <w:sz w:val="28"/>
              </w:rPr>
            </w:pPr>
            <w:r>
              <w:rPr>
                <w:sz w:val="28"/>
              </w:rPr>
              <w:t>300</w:t>
            </w:r>
            <w:r>
              <w:rPr>
                <w:spacing w:val="-3"/>
                <w:sz w:val="28"/>
              </w:rPr>
              <w:t xml:space="preserve"> </w:t>
            </w:r>
            <w:r>
              <w:rPr>
                <w:sz w:val="28"/>
              </w:rPr>
              <w:t>-</w:t>
            </w:r>
            <w:r>
              <w:rPr>
                <w:spacing w:val="-2"/>
                <w:sz w:val="28"/>
              </w:rPr>
              <w:t xml:space="preserve"> </w:t>
            </w:r>
            <w:r>
              <w:rPr>
                <w:spacing w:val="-4"/>
                <w:sz w:val="28"/>
              </w:rPr>
              <w:t>400m</w:t>
            </w:r>
          </w:p>
        </w:tc>
        <w:tc>
          <w:tcPr>
            <w:tcW w:w="2193" w:type="dxa"/>
            <w:tcBorders>
              <w:top w:val="nil"/>
            </w:tcBorders>
          </w:tcPr>
          <w:p w14:paraId="06C374D3" w14:textId="77777777" w:rsidR="007E20F1" w:rsidRDefault="00E026B7">
            <w:pPr>
              <w:pStyle w:val="TableParagraph"/>
              <w:spacing w:before="1" w:line="299" w:lineRule="exact"/>
              <w:rPr>
                <w:sz w:val="28"/>
              </w:rPr>
            </w:pPr>
            <w:r>
              <w:rPr>
                <w:spacing w:val="-5"/>
                <w:sz w:val="28"/>
              </w:rPr>
              <w:t>65</w:t>
            </w:r>
          </w:p>
        </w:tc>
        <w:tc>
          <w:tcPr>
            <w:tcW w:w="1984" w:type="dxa"/>
            <w:tcBorders>
              <w:top w:val="nil"/>
            </w:tcBorders>
          </w:tcPr>
          <w:p w14:paraId="1365821F" w14:textId="77777777" w:rsidR="007E20F1" w:rsidRDefault="00E026B7">
            <w:pPr>
              <w:pStyle w:val="TableParagraph"/>
              <w:spacing w:before="1" w:line="299" w:lineRule="exact"/>
              <w:rPr>
                <w:sz w:val="28"/>
              </w:rPr>
            </w:pPr>
            <w:r>
              <w:rPr>
                <w:spacing w:val="-5"/>
                <w:sz w:val="28"/>
              </w:rPr>
              <w:t>30</w:t>
            </w:r>
          </w:p>
        </w:tc>
        <w:tc>
          <w:tcPr>
            <w:tcW w:w="2311" w:type="dxa"/>
            <w:tcBorders>
              <w:top w:val="nil"/>
            </w:tcBorders>
          </w:tcPr>
          <w:p w14:paraId="383D8CF8" w14:textId="77777777" w:rsidR="007E20F1" w:rsidRDefault="00E026B7">
            <w:pPr>
              <w:pStyle w:val="TableParagraph"/>
              <w:spacing w:before="1" w:line="299" w:lineRule="exact"/>
              <w:ind w:left="108"/>
              <w:rPr>
                <w:sz w:val="28"/>
              </w:rPr>
            </w:pPr>
            <w:r>
              <w:rPr>
                <w:spacing w:val="-5"/>
                <w:sz w:val="28"/>
              </w:rPr>
              <w:t>95</w:t>
            </w:r>
          </w:p>
        </w:tc>
      </w:tr>
      <w:tr w:rsidR="007E20F1" w14:paraId="72498AB3" w14:textId="77777777">
        <w:trPr>
          <w:trHeight w:val="317"/>
        </w:trPr>
        <w:tc>
          <w:tcPr>
            <w:tcW w:w="2518" w:type="dxa"/>
          </w:tcPr>
          <w:p w14:paraId="745772AF" w14:textId="77777777" w:rsidR="007E20F1" w:rsidRDefault="00E026B7">
            <w:pPr>
              <w:pStyle w:val="TableParagraph"/>
              <w:rPr>
                <w:sz w:val="28"/>
              </w:rPr>
            </w:pPr>
            <w:r>
              <w:rPr>
                <w:spacing w:val="-4"/>
                <w:sz w:val="28"/>
              </w:rPr>
              <w:t>Total</w:t>
            </w:r>
          </w:p>
        </w:tc>
        <w:tc>
          <w:tcPr>
            <w:tcW w:w="2193" w:type="dxa"/>
          </w:tcPr>
          <w:p w14:paraId="59D7A1AD" w14:textId="77777777" w:rsidR="007E20F1" w:rsidRDefault="00E026B7">
            <w:pPr>
              <w:pStyle w:val="TableParagraph"/>
              <w:rPr>
                <w:sz w:val="28"/>
              </w:rPr>
            </w:pPr>
            <w:r>
              <w:rPr>
                <w:spacing w:val="-5"/>
                <w:sz w:val="28"/>
              </w:rPr>
              <w:t>232</w:t>
            </w:r>
          </w:p>
        </w:tc>
        <w:tc>
          <w:tcPr>
            <w:tcW w:w="1984" w:type="dxa"/>
          </w:tcPr>
          <w:p w14:paraId="40625EA9" w14:textId="77777777" w:rsidR="007E20F1" w:rsidRDefault="00E026B7">
            <w:pPr>
              <w:pStyle w:val="TableParagraph"/>
              <w:rPr>
                <w:sz w:val="28"/>
              </w:rPr>
            </w:pPr>
            <w:r>
              <w:rPr>
                <w:spacing w:val="-5"/>
                <w:sz w:val="28"/>
              </w:rPr>
              <w:t>168</w:t>
            </w:r>
          </w:p>
        </w:tc>
        <w:tc>
          <w:tcPr>
            <w:tcW w:w="2311" w:type="dxa"/>
          </w:tcPr>
          <w:p w14:paraId="18D65A0E" w14:textId="77777777" w:rsidR="007E20F1" w:rsidRDefault="00E026B7">
            <w:pPr>
              <w:pStyle w:val="TableParagraph"/>
              <w:ind w:left="108"/>
              <w:rPr>
                <w:sz w:val="28"/>
              </w:rPr>
            </w:pPr>
            <w:r>
              <w:rPr>
                <w:spacing w:val="-5"/>
                <w:sz w:val="28"/>
              </w:rPr>
              <w:t>400</w:t>
            </w:r>
          </w:p>
        </w:tc>
      </w:tr>
    </w:tbl>
    <w:p w14:paraId="0A5AD70A" w14:textId="77777777" w:rsidR="007E20F1" w:rsidRDefault="00E026B7">
      <w:pPr>
        <w:pStyle w:val="BodyText"/>
        <w:spacing w:before="5"/>
        <w:ind w:left="232"/>
      </w:pPr>
      <w:r>
        <w:t>Field</w:t>
      </w:r>
      <w:r>
        <w:rPr>
          <w:spacing w:val="-8"/>
        </w:rPr>
        <w:t xml:space="preserve"> </w:t>
      </w:r>
      <w:r>
        <w:t>survey,</w:t>
      </w:r>
      <w:r>
        <w:rPr>
          <w:spacing w:val="-5"/>
        </w:rPr>
        <w:t xml:space="preserve"> </w:t>
      </w:r>
      <w:r>
        <w:rPr>
          <w:spacing w:val="-4"/>
        </w:rPr>
        <w:t>2017</w:t>
      </w:r>
    </w:p>
    <w:p w14:paraId="59F83E39" w14:textId="77777777" w:rsidR="007E20F1" w:rsidRDefault="007E20F1">
      <w:pPr>
        <w:pStyle w:val="BodyText"/>
        <w:sectPr w:rsidR="007E20F1">
          <w:type w:val="continuous"/>
          <w:pgSz w:w="11910" w:h="16840"/>
          <w:pgMar w:top="1400" w:right="1275" w:bottom="1040" w:left="1275" w:header="0" w:footer="803" w:gutter="0"/>
          <w:cols w:space="720"/>
        </w:sectPr>
      </w:pPr>
    </w:p>
    <w:p w14:paraId="2377F543" w14:textId="77777777" w:rsidR="007E20F1" w:rsidRDefault="00E026B7">
      <w:pPr>
        <w:pStyle w:val="BodyText"/>
        <w:spacing w:before="231" w:line="276" w:lineRule="auto"/>
        <w:ind w:left="165" w:right="164"/>
        <w:jc w:val="both"/>
      </w:pPr>
      <w:r>
        <w:lastRenderedPageBreak/>
        <w:t>The adoption of sandbagging in Patani as a measure of flood mitigation was inversely related to distance. The study revealed that 41.7 percent of the flood fringe dwellers (those closest to the stream) sandbagged and protected their residences while 48.8 percent of the residents in the</w:t>
      </w:r>
      <w:r>
        <w:rPr>
          <w:spacing w:val="40"/>
        </w:rPr>
        <w:t xml:space="preserve"> </w:t>
      </w:r>
      <w:r>
        <w:t>same location flood-proofed their homes. In contrast, the middle distances</w:t>
      </w:r>
      <w:r>
        <w:rPr>
          <w:spacing w:val="-3"/>
        </w:rPr>
        <w:t xml:space="preserve"> </w:t>
      </w:r>
      <w:r>
        <w:t>contained</w:t>
      </w:r>
      <w:r>
        <w:rPr>
          <w:spacing w:val="-3"/>
        </w:rPr>
        <w:t xml:space="preserve"> </w:t>
      </w:r>
      <w:r>
        <w:t>fewer</w:t>
      </w:r>
      <w:r>
        <w:rPr>
          <w:spacing w:val="-2"/>
        </w:rPr>
        <w:t xml:space="preserve"> </w:t>
      </w:r>
      <w:r>
        <w:t>sandbagged</w:t>
      </w:r>
      <w:r>
        <w:rPr>
          <w:spacing w:val="-5"/>
        </w:rPr>
        <w:t xml:space="preserve"> </w:t>
      </w:r>
      <w:r>
        <w:t>and</w:t>
      </w:r>
      <w:r>
        <w:rPr>
          <w:spacing w:val="-3"/>
        </w:rPr>
        <w:t xml:space="preserve"> </w:t>
      </w:r>
      <w:r>
        <w:t>flood-proofed</w:t>
      </w:r>
      <w:r>
        <w:rPr>
          <w:spacing w:val="-2"/>
        </w:rPr>
        <w:t xml:space="preserve"> </w:t>
      </w:r>
      <w:r>
        <w:t>residences,</w:t>
      </w:r>
      <w:r>
        <w:rPr>
          <w:spacing w:val="-3"/>
        </w:rPr>
        <w:t xml:space="preserve"> </w:t>
      </w:r>
      <w:r>
        <w:t>and this is between 100 - 200meters from the stream. At the backswamps, over 300metres from the stream, 32.7percent and 13.0 percent of sandbagging and flood-proofing mitigation measures were adopted respectively. About 9 percent of the residents were complacent about the hazard and resolved to remain in the flooded zones to accept the loss (Table 3).</w:t>
      </w:r>
    </w:p>
    <w:p w14:paraId="4C08DC0A" w14:textId="77777777" w:rsidR="007E20F1" w:rsidRDefault="007E20F1">
      <w:pPr>
        <w:pStyle w:val="BodyText"/>
        <w:spacing w:before="48"/>
      </w:pPr>
    </w:p>
    <w:p w14:paraId="0AEE372A" w14:textId="77777777" w:rsidR="007E20F1" w:rsidRDefault="00E026B7">
      <w:pPr>
        <w:pStyle w:val="BodyText"/>
        <w:spacing w:before="1" w:after="48"/>
        <w:ind w:left="165"/>
        <w:jc w:val="both"/>
      </w:pPr>
      <w:r>
        <w:rPr>
          <w:b/>
        </w:rPr>
        <w:t>Table</w:t>
      </w:r>
      <w:r>
        <w:rPr>
          <w:b/>
          <w:spacing w:val="-7"/>
        </w:rPr>
        <w:t xml:space="preserve"> </w:t>
      </w:r>
      <w:r>
        <w:rPr>
          <w:b/>
        </w:rPr>
        <w:t>3:</w:t>
      </w:r>
      <w:r>
        <w:rPr>
          <w:b/>
          <w:spacing w:val="-8"/>
        </w:rPr>
        <w:t xml:space="preserve"> </w:t>
      </w:r>
      <w:r>
        <w:t>Distance</w:t>
      </w:r>
      <w:r>
        <w:rPr>
          <w:spacing w:val="-6"/>
        </w:rPr>
        <w:t xml:space="preserve"> </w:t>
      </w:r>
      <w:r>
        <w:t>and</w:t>
      </w:r>
      <w:r>
        <w:rPr>
          <w:spacing w:val="-4"/>
        </w:rPr>
        <w:t xml:space="preserve"> </w:t>
      </w:r>
      <w:r>
        <w:t>Flood-proofing</w:t>
      </w:r>
      <w:r>
        <w:rPr>
          <w:spacing w:val="-3"/>
        </w:rPr>
        <w:t xml:space="preserve"> </w:t>
      </w:r>
      <w:r>
        <w:t>in</w:t>
      </w:r>
      <w:r>
        <w:rPr>
          <w:spacing w:val="-7"/>
        </w:rPr>
        <w:t xml:space="preserve"> </w:t>
      </w:r>
      <w:r>
        <w:t>the</w:t>
      </w:r>
      <w:r>
        <w:rPr>
          <w:spacing w:val="-7"/>
        </w:rPr>
        <w:t xml:space="preserve"> </w:t>
      </w:r>
      <w:proofErr w:type="spellStart"/>
      <w:r>
        <w:t>Forcados</w:t>
      </w:r>
      <w:proofErr w:type="spellEnd"/>
      <w:r>
        <w:rPr>
          <w:spacing w:val="-5"/>
        </w:rPr>
        <w:t xml:space="preserve"> </w:t>
      </w:r>
      <w:r>
        <w:rPr>
          <w:spacing w:val="-2"/>
        </w:rPr>
        <w:t>Basin</w:t>
      </w: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193"/>
        <w:gridCol w:w="1984"/>
        <w:gridCol w:w="2311"/>
      </w:tblGrid>
      <w:tr w:rsidR="007E20F1" w14:paraId="3C73C5BF" w14:textId="77777777">
        <w:trPr>
          <w:trHeight w:val="378"/>
        </w:trPr>
        <w:tc>
          <w:tcPr>
            <w:tcW w:w="2518" w:type="dxa"/>
            <w:vMerge w:val="restart"/>
          </w:tcPr>
          <w:p w14:paraId="6FC6FD54" w14:textId="77777777" w:rsidR="007E20F1" w:rsidRDefault="00E026B7">
            <w:pPr>
              <w:pStyle w:val="TableParagraph"/>
              <w:spacing w:line="240" w:lineRule="auto"/>
              <w:rPr>
                <w:sz w:val="28"/>
              </w:rPr>
            </w:pPr>
            <w:r>
              <w:rPr>
                <w:spacing w:val="-2"/>
                <w:sz w:val="28"/>
              </w:rPr>
              <w:t>Distance</w:t>
            </w:r>
          </w:p>
        </w:tc>
        <w:tc>
          <w:tcPr>
            <w:tcW w:w="4177" w:type="dxa"/>
            <w:gridSpan w:val="2"/>
          </w:tcPr>
          <w:p w14:paraId="3FF16CC3" w14:textId="77777777" w:rsidR="007E20F1" w:rsidRDefault="00E026B7">
            <w:pPr>
              <w:pStyle w:val="TableParagraph"/>
              <w:spacing w:line="240" w:lineRule="auto"/>
              <w:rPr>
                <w:sz w:val="28"/>
              </w:rPr>
            </w:pPr>
            <w:r>
              <w:rPr>
                <w:sz w:val="28"/>
              </w:rPr>
              <w:t>Flood</w:t>
            </w:r>
            <w:r>
              <w:rPr>
                <w:spacing w:val="-5"/>
                <w:sz w:val="28"/>
              </w:rPr>
              <w:t xml:space="preserve"> </w:t>
            </w:r>
            <w:r>
              <w:rPr>
                <w:sz w:val="28"/>
              </w:rPr>
              <w:t>-</w:t>
            </w:r>
            <w:r>
              <w:rPr>
                <w:spacing w:val="-4"/>
                <w:sz w:val="28"/>
              </w:rPr>
              <w:t xml:space="preserve"> </w:t>
            </w:r>
            <w:r>
              <w:rPr>
                <w:sz w:val="28"/>
              </w:rPr>
              <w:t>proofed</w:t>
            </w:r>
            <w:r>
              <w:rPr>
                <w:spacing w:val="-3"/>
                <w:sz w:val="28"/>
              </w:rPr>
              <w:t xml:space="preserve"> </w:t>
            </w:r>
            <w:r>
              <w:rPr>
                <w:spacing w:val="-2"/>
                <w:sz w:val="28"/>
              </w:rPr>
              <w:t>residences</w:t>
            </w:r>
          </w:p>
        </w:tc>
        <w:tc>
          <w:tcPr>
            <w:tcW w:w="2311" w:type="dxa"/>
            <w:vMerge w:val="restart"/>
          </w:tcPr>
          <w:p w14:paraId="2BE64863" w14:textId="77777777" w:rsidR="007E20F1" w:rsidRDefault="00E026B7">
            <w:pPr>
              <w:pStyle w:val="TableParagraph"/>
              <w:spacing w:line="240" w:lineRule="auto"/>
              <w:ind w:left="108"/>
              <w:rPr>
                <w:sz w:val="28"/>
              </w:rPr>
            </w:pPr>
            <w:r>
              <w:rPr>
                <w:spacing w:val="-4"/>
                <w:sz w:val="28"/>
              </w:rPr>
              <w:t>Total</w:t>
            </w:r>
          </w:p>
        </w:tc>
      </w:tr>
      <w:tr w:rsidR="007E20F1" w14:paraId="3AD50A6A" w14:textId="77777777">
        <w:trPr>
          <w:trHeight w:val="318"/>
        </w:trPr>
        <w:tc>
          <w:tcPr>
            <w:tcW w:w="2518" w:type="dxa"/>
            <w:vMerge/>
            <w:tcBorders>
              <w:top w:val="nil"/>
            </w:tcBorders>
          </w:tcPr>
          <w:p w14:paraId="40760AAD" w14:textId="77777777" w:rsidR="007E20F1" w:rsidRDefault="007E20F1">
            <w:pPr>
              <w:rPr>
                <w:sz w:val="2"/>
                <w:szCs w:val="2"/>
              </w:rPr>
            </w:pPr>
          </w:p>
        </w:tc>
        <w:tc>
          <w:tcPr>
            <w:tcW w:w="2193" w:type="dxa"/>
          </w:tcPr>
          <w:p w14:paraId="0B8463F8" w14:textId="77777777" w:rsidR="007E20F1" w:rsidRDefault="00E026B7">
            <w:pPr>
              <w:pStyle w:val="TableParagraph"/>
              <w:rPr>
                <w:sz w:val="28"/>
              </w:rPr>
            </w:pPr>
            <w:r>
              <w:rPr>
                <w:spacing w:val="-5"/>
                <w:sz w:val="28"/>
              </w:rPr>
              <w:t>No</w:t>
            </w:r>
          </w:p>
        </w:tc>
        <w:tc>
          <w:tcPr>
            <w:tcW w:w="1984" w:type="dxa"/>
          </w:tcPr>
          <w:p w14:paraId="70FBE1C1" w14:textId="77777777" w:rsidR="007E20F1" w:rsidRDefault="00E026B7">
            <w:pPr>
              <w:pStyle w:val="TableParagraph"/>
              <w:rPr>
                <w:sz w:val="28"/>
              </w:rPr>
            </w:pPr>
            <w:r>
              <w:rPr>
                <w:spacing w:val="-5"/>
                <w:sz w:val="28"/>
              </w:rPr>
              <w:t>Yes</w:t>
            </w:r>
          </w:p>
        </w:tc>
        <w:tc>
          <w:tcPr>
            <w:tcW w:w="2311" w:type="dxa"/>
            <w:vMerge/>
            <w:tcBorders>
              <w:top w:val="nil"/>
            </w:tcBorders>
          </w:tcPr>
          <w:p w14:paraId="0A109FF4" w14:textId="77777777" w:rsidR="007E20F1" w:rsidRDefault="007E20F1">
            <w:pPr>
              <w:rPr>
                <w:sz w:val="2"/>
                <w:szCs w:val="2"/>
              </w:rPr>
            </w:pPr>
          </w:p>
        </w:tc>
      </w:tr>
      <w:tr w:rsidR="007E20F1" w14:paraId="2BC513AA" w14:textId="77777777">
        <w:trPr>
          <w:trHeight w:val="318"/>
        </w:trPr>
        <w:tc>
          <w:tcPr>
            <w:tcW w:w="2518" w:type="dxa"/>
            <w:tcBorders>
              <w:bottom w:val="nil"/>
            </w:tcBorders>
          </w:tcPr>
          <w:p w14:paraId="19FD55E2" w14:textId="77777777" w:rsidR="007E20F1" w:rsidRDefault="00E026B7">
            <w:pPr>
              <w:pStyle w:val="TableParagraph"/>
              <w:tabs>
                <w:tab w:val="left" w:pos="683"/>
              </w:tabs>
              <w:spacing w:before="1" w:line="297" w:lineRule="exact"/>
              <w:rPr>
                <w:sz w:val="28"/>
              </w:rPr>
            </w:pPr>
            <w:r>
              <w:rPr>
                <w:spacing w:val="-10"/>
                <w:sz w:val="28"/>
              </w:rPr>
              <w:t>0</w:t>
            </w:r>
            <w:r>
              <w:rPr>
                <w:sz w:val="28"/>
              </w:rPr>
              <w:tab/>
              <w:t>-</w:t>
            </w:r>
            <w:r>
              <w:rPr>
                <w:spacing w:val="66"/>
                <w:sz w:val="28"/>
              </w:rPr>
              <w:t xml:space="preserve"> </w:t>
            </w:r>
            <w:r>
              <w:rPr>
                <w:spacing w:val="-5"/>
                <w:sz w:val="28"/>
              </w:rPr>
              <w:t>50m</w:t>
            </w:r>
          </w:p>
        </w:tc>
        <w:tc>
          <w:tcPr>
            <w:tcW w:w="2193" w:type="dxa"/>
            <w:tcBorders>
              <w:bottom w:val="nil"/>
            </w:tcBorders>
          </w:tcPr>
          <w:p w14:paraId="26D47C9F" w14:textId="77777777" w:rsidR="007E20F1" w:rsidRDefault="00E026B7">
            <w:pPr>
              <w:pStyle w:val="TableParagraph"/>
              <w:spacing w:before="1" w:line="297" w:lineRule="exact"/>
              <w:rPr>
                <w:sz w:val="28"/>
              </w:rPr>
            </w:pPr>
            <w:r>
              <w:rPr>
                <w:spacing w:val="-5"/>
                <w:sz w:val="28"/>
              </w:rPr>
              <w:t>12</w:t>
            </w:r>
          </w:p>
        </w:tc>
        <w:tc>
          <w:tcPr>
            <w:tcW w:w="1984" w:type="dxa"/>
            <w:tcBorders>
              <w:bottom w:val="nil"/>
            </w:tcBorders>
          </w:tcPr>
          <w:p w14:paraId="40BD981C" w14:textId="77777777" w:rsidR="007E20F1" w:rsidRDefault="00E026B7">
            <w:pPr>
              <w:pStyle w:val="TableParagraph"/>
              <w:spacing w:before="1" w:line="297" w:lineRule="exact"/>
              <w:rPr>
                <w:sz w:val="28"/>
              </w:rPr>
            </w:pPr>
            <w:r>
              <w:rPr>
                <w:spacing w:val="-5"/>
                <w:sz w:val="28"/>
              </w:rPr>
              <w:t>40</w:t>
            </w:r>
          </w:p>
        </w:tc>
        <w:tc>
          <w:tcPr>
            <w:tcW w:w="2311" w:type="dxa"/>
            <w:tcBorders>
              <w:bottom w:val="nil"/>
            </w:tcBorders>
          </w:tcPr>
          <w:p w14:paraId="4481346D" w14:textId="77777777" w:rsidR="007E20F1" w:rsidRDefault="00E026B7">
            <w:pPr>
              <w:pStyle w:val="TableParagraph"/>
              <w:spacing w:before="1" w:line="297" w:lineRule="exact"/>
              <w:ind w:left="108"/>
              <w:rPr>
                <w:sz w:val="28"/>
              </w:rPr>
            </w:pPr>
            <w:r>
              <w:rPr>
                <w:spacing w:val="-5"/>
                <w:sz w:val="28"/>
              </w:rPr>
              <w:t>52</w:t>
            </w:r>
          </w:p>
        </w:tc>
      </w:tr>
      <w:tr w:rsidR="007E20F1" w14:paraId="1C67FC90" w14:textId="77777777">
        <w:trPr>
          <w:trHeight w:val="317"/>
        </w:trPr>
        <w:tc>
          <w:tcPr>
            <w:tcW w:w="2518" w:type="dxa"/>
            <w:tcBorders>
              <w:top w:val="nil"/>
              <w:bottom w:val="nil"/>
            </w:tcBorders>
          </w:tcPr>
          <w:p w14:paraId="429020F9" w14:textId="77777777" w:rsidR="007E20F1" w:rsidRDefault="00E026B7">
            <w:pPr>
              <w:pStyle w:val="TableParagraph"/>
              <w:tabs>
                <w:tab w:val="left" w:pos="628"/>
              </w:tabs>
              <w:rPr>
                <w:sz w:val="28"/>
              </w:rPr>
            </w:pPr>
            <w:r>
              <w:rPr>
                <w:spacing w:val="-5"/>
                <w:sz w:val="28"/>
              </w:rPr>
              <w:t>50</w:t>
            </w:r>
            <w:r>
              <w:rPr>
                <w:sz w:val="28"/>
              </w:rPr>
              <w:tab/>
              <w:t>-</w:t>
            </w:r>
            <w:r>
              <w:rPr>
                <w:spacing w:val="64"/>
                <w:sz w:val="28"/>
              </w:rPr>
              <w:t xml:space="preserve"> </w:t>
            </w:r>
            <w:r>
              <w:rPr>
                <w:spacing w:val="-4"/>
                <w:sz w:val="28"/>
              </w:rPr>
              <w:t>100m</w:t>
            </w:r>
          </w:p>
        </w:tc>
        <w:tc>
          <w:tcPr>
            <w:tcW w:w="2193" w:type="dxa"/>
            <w:tcBorders>
              <w:top w:val="nil"/>
              <w:bottom w:val="nil"/>
            </w:tcBorders>
          </w:tcPr>
          <w:p w14:paraId="2E4DBD7C" w14:textId="77777777" w:rsidR="007E20F1" w:rsidRDefault="00E026B7">
            <w:pPr>
              <w:pStyle w:val="TableParagraph"/>
              <w:rPr>
                <w:sz w:val="28"/>
              </w:rPr>
            </w:pPr>
            <w:r>
              <w:rPr>
                <w:spacing w:val="-5"/>
                <w:sz w:val="28"/>
              </w:rPr>
              <w:t>22</w:t>
            </w:r>
          </w:p>
        </w:tc>
        <w:tc>
          <w:tcPr>
            <w:tcW w:w="1984" w:type="dxa"/>
            <w:tcBorders>
              <w:top w:val="nil"/>
              <w:bottom w:val="nil"/>
            </w:tcBorders>
          </w:tcPr>
          <w:p w14:paraId="776B0D65" w14:textId="77777777" w:rsidR="007E20F1" w:rsidRDefault="00E026B7">
            <w:pPr>
              <w:pStyle w:val="TableParagraph"/>
              <w:rPr>
                <w:sz w:val="28"/>
              </w:rPr>
            </w:pPr>
            <w:r>
              <w:rPr>
                <w:spacing w:val="-5"/>
                <w:sz w:val="28"/>
              </w:rPr>
              <w:t>25</w:t>
            </w:r>
          </w:p>
        </w:tc>
        <w:tc>
          <w:tcPr>
            <w:tcW w:w="2311" w:type="dxa"/>
            <w:tcBorders>
              <w:top w:val="nil"/>
              <w:bottom w:val="nil"/>
            </w:tcBorders>
          </w:tcPr>
          <w:p w14:paraId="60EDC33E" w14:textId="77777777" w:rsidR="007E20F1" w:rsidRDefault="00E026B7">
            <w:pPr>
              <w:pStyle w:val="TableParagraph"/>
              <w:ind w:left="108"/>
              <w:rPr>
                <w:sz w:val="28"/>
              </w:rPr>
            </w:pPr>
            <w:r>
              <w:rPr>
                <w:spacing w:val="-5"/>
                <w:sz w:val="28"/>
              </w:rPr>
              <w:t>47</w:t>
            </w:r>
          </w:p>
        </w:tc>
      </w:tr>
      <w:tr w:rsidR="007E20F1" w14:paraId="02D2249C" w14:textId="77777777">
        <w:trPr>
          <w:trHeight w:val="317"/>
        </w:trPr>
        <w:tc>
          <w:tcPr>
            <w:tcW w:w="2518" w:type="dxa"/>
            <w:tcBorders>
              <w:top w:val="nil"/>
              <w:bottom w:val="nil"/>
            </w:tcBorders>
          </w:tcPr>
          <w:p w14:paraId="5C50EE63" w14:textId="77777777" w:rsidR="007E20F1" w:rsidRDefault="00E026B7">
            <w:pPr>
              <w:pStyle w:val="TableParagraph"/>
              <w:spacing w:before="1" w:line="297" w:lineRule="exact"/>
              <w:rPr>
                <w:sz w:val="28"/>
              </w:rPr>
            </w:pPr>
            <w:r>
              <w:rPr>
                <w:sz w:val="28"/>
              </w:rPr>
              <w:t>100</w:t>
            </w:r>
            <w:r>
              <w:rPr>
                <w:spacing w:val="-4"/>
                <w:sz w:val="28"/>
              </w:rPr>
              <w:t xml:space="preserve"> </w:t>
            </w:r>
            <w:r>
              <w:rPr>
                <w:sz w:val="28"/>
              </w:rPr>
              <w:t>-</w:t>
            </w:r>
            <w:r>
              <w:rPr>
                <w:spacing w:val="-2"/>
                <w:sz w:val="28"/>
              </w:rPr>
              <w:t xml:space="preserve"> </w:t>
            </w:r>
            <w:r>
              <w:rPr>
                <w:spacing w:val="-4"/>
                <w:sz w:val="28"/>
              </w:rPr>
              <w:t>200m</w:t>
            </w:r>
          </w:p>
        </w:tc>
        <w:tc>
          <w:tcPr>
            <w:tcW w:w="2193" w:type="dxa"/>
            <w:tcBorders>
              <w:top w:val="nil"/>
              <w:bottom w:val="nil"/>
            </w:tcBorders>
          </w:tcPr>
          <w:p w14:paraId="27D63025" w14:textId="77777777" w:rsidR="007E20F1" w:rsidRDefault="00E026B7">
            <w:pPr>
              <w:pStyle w:val="TableParagraph"/>
              <w:spacing w:before="1" w:line="297" w:lineRule="exact"/>
              <w:rPr>
                <w:sz w:val="28"/>
              </w:rPr>
            </w:pPr>
            <w:r>
              <w:rPr>
                <w:spacing w:val="-5"/>
                <w:sz w:val="28"/>
              </w:rPr>
              <w:t>42</w:t>
            </w:r>
          </w:p>
        </w:tc>
        <w:tc>
          <w:tcPr>
            <w:tcW w:w="1984" w:type="dxa"/>
            <w:tcBorders>
              <w:top w:val="nil"/>
              <w:bottom w:val="nil"/>
            </w:tcBorders>
          </w:tcPr>
          <w:p w14:paraId="5F01CFA9" w14:textId="77777777" w:rsidR="007E20F1" w:rsidRDefault="00E026B7">
            <w:pPr>
              <w:pStyle w:val="TableParagraph"/>
              <w:spacing w:before="1" w:line="297" w:lineRule="exact"/>
              <w:rPr>
                <w:sz w:val="28"/>
              </w:rPr>
            </w:pPr>
            <w:r>
              <w:rPr>
                <w:spacing w:val="-10"/>
                <w:sz w:val="28"/>
              </w:rPr>
              <w:t>5</w:t>
            </w:r>
          </w:p>
        </w:tc>
        <w:tc>
          <w:tcPr>
            <w:tcW w:w="2311" w:type="dxa"/>
            <w:tcBorders>
              <w:top w:val="nil"/>
              <w:bottom w:val="nil"/>
            </w:tcBorders>
          </w:tcPr>
          <w:p w14:paraId="63886687" w14:textId="77777777" w:rsidR="007E20F1" w:rsidRDefault="00E026B7">
            <w:pPr>
              <w:pStyle w:val="TableParagraph"/>
              <w:spacing w:before="1" w:line="297" w:lineRule="exact"/>
              <w:ind w:left="108"/>
              <w:rPr>
                <w:sz w:val="28"/>
              </w:rPr>
            </w:pPr>
            <w:r>
              <w:rPr>
                <w:spacing w:val="-5"/>
                <w:sz w:val="28"/>
              </w:rPr>
              <w:t>47</w:t>
            </w:r>
          </w:p>
        </w:tc>
      </w:tr>
      <w:tr w:rsidR="007E20F1" w14:paraId="22C13784" w14:textId="77777777">
        <w:trPr>
          <w:trHeight w:val="317"/>
        </w:trPr>
        <w:tc>
          <w:tcPr>
            <w:tcW w:w="2518" w:type="dxa"/>
            <w:tcBorders>
              <w:top w:val="nil"/>
              <w:bottom w:val="nil"/>
            </w:tcBorders>
          </w:tcPr>
          <w:p w14:paraId="52D326CC" w14:textId="77777777" w:rsidR="007E20F1" w:rsidRDefault="00E026B7">
            <w:pPr>
              <w:pStyle w:val="TableParagraph"/>
              <w:rPr>
                <w:sz w:val="28"/>
              </w:rPr>
            </w:pPr>
            <w:r>
              <w:rPr>
                <w:sz w:val="28"/>
              </w:rPr>
              <w:t>200</w:t>
            </w:r>
            <w:r>
              <w:rPr>
                <w:spacing w:val="-4"/>
                <w:sz w:val="28"/>
              </w:rPr>
              <w:t xml:space="preserve"> </w:t>
            </w:r>
            <w:r>
              <w:rPr>
                <w:sz w:val="28"/>
              </w:rPr>
              <w:t>-</w:t>
            </w:r>
            <w:r>
              <w:rPr>
                <w:spacing w:val="-2"/>
                <w:sz w:val="28"/>
              </w:rPr>
              <w:t xml:space="preserve"> </w:t>
            </w:r>
            <w:r>
              <w:rPr>
                <w:spacing w:val="-4"/>
                <w:sz w:val="28"/>
              </w:rPr>
              <w:t>300m</w:t>
            </w:r>
          </w:p>
        </w:tc>
        <w:tc>
          <w:tcPr>
            <w:tcW w:w="2193" w:type="dxa"/>
            <w:tcBorders>
              <w:top w:val="nil"/>
              <w:bottom w:val="nil"/>
            </w:tcBorders>
          </w:tcPr>
          <w:p w14:paraId="09844DCF" w14:textId="77777777" w:rsidR="007E20F1" w:rsidRDefault="00E026B7">
            <w:pPr>
              <w:pStyle w:val="TableParagraph"/>
              <w:rPr>
                <w:sz w:val="28"/>
              </w:rPr>
            </w:pPr>
            <w:r>
              <w:rPr>
                <w:spacing w:val="-5"/>
                <w:sz w:val="28"/>
              </w:rPr>
              <w:t>34</w:t>
            </w:r>
          </w:p>
        </w:tc>
        <w:tc>
          <w:tcPr>
            <w:tcW w:w="1984" w:type="dxa"/>
            <w:tcBorders>
              <w:top w:val="nil"/>
              <w:bottom w:val="nil"/>
            </w:tcBorders>
          </w:tcPr>
          <w:p w14:paraId="33A9C5AF" w14:textId="77777777" w:rsidR="007E20F1" w:rsidRDefault="00E026B7">
            <w:pPr>
              <w:pStyle w:val="TableParagraph"/>
              <w:rPr>
                <w:sz w:val="28"/>
              </w:rPr>
            </w:pPr>
            <w:r>
              <w:rPr>
                <w:spacing w:val="-5"/>
                <w:sz w:val="28"/>
              </w:rPr>
              <w:t>10</w:t>
            </w:r>
          </w:p>
        </w:tc>
        <w:tc>
          <w:tcPr>
            <w:tcW w:w="2311" w:type="dxa"/>
            <w:tcBorders>
              <w:top w:val="nil"/>
              <w:bottom w:val="nil"/>
            </w:tcBorders>
          </w:tcPr>
          <w:p w14:paraId="131188FE" w14:textId="77777777" w:rsidR="007E20F1" w:rsidRDefault="00E026B7">
            <w:pPr>
              <w:pStyle w:val="TableParagraph"/>
              <w:ind w:left="108"/>
              <w:rPr>
                <w:sz w:val="28"/>
              </w:rPr>
            </w:pPr>
            <w:r>
              <w:rPr>
                <w:spacing w:val="-5"/>
                <w:sz w:val="28"/>
              </w:rPr>
              <w:t>44</w:t>
            </w:r>
          </w:p>
        </w:tc>
      </w:tr>
      <w:tr w:rsidR="007E20F1" w14:paraId="49897E11" w14:textId="77777777">
        <w:trPr>
          <w:trHeight w:val="318"/>
        </w:trPr>
        <w:tc>
          <w:tcPr>
            <w:tcW w:w="2518" w:type="dxa"/>
            <w:tcBorders>
              <w:top w:val="nil"/>
            </w:tcBorders>
          </w:tcPr>
          <w:p w14:paraId="697B821E" w14:textId="77777777" w:rsidR="007E20F1" w:rsidRDefault="00E026B7">
            <w:pPr>
              <w:pStyle w:val="TableParagraph"/>
              <w:spacing w:before="1"/>
              <w:rPr>
                <w:sz w:val="28"/>
              </w:rPr>
            </w:pPr>
            <w:r>
              <w:rPr>
                <w:sz w:val="28"/>
              </w:rPr>
              <w:t>300</w:t>
            </w:r>
            <w:r>
              <w:rPr>
                <w:spacing w:val="-3"/>
                <w:sz w:val="28"/>
              </w:rPr>
              <w:t xml:space="preserve"> </w:t>
            </w:r>
            <w:r>
              <w:rPr>
                <w:sz w:val="28"/>
              </w:rPr>
              <w:t>-</w:t>
            </w:r>
            <w:r>
              <w:rPr>
                <w:spacing w:val="-2"/>
                <w:sz w:val="28"/>
              </w:rPr>
              <w:t xml:space="preserve"> </w:t>
            </w:r>
            <w:r>
              <w:rPr>
                <w:spacing w:val="-4"/>
                <w:sz w:val="28"/>
              </w:rPr>
              <w:t>400m</w:t>
            </w:r>
          </w:p>
        </w:tc>
        <w:tc>
          <w:tcPr>
            <w:tcW w:w="2193" w:type="dxa"/>
            <w:tcBorders>
              <w:top w:val="nil"/>
            </w:tcBorders>
          </w:tcPr>
          <w:p w14:paraId="423B9775" w14:textId="77777777" w:rsidR="007E20F1" w:rsidRDefault="00E026B7">
            <w:pPr>
              <w:pStyle w:val="TableParagraph"/>
              <w:spacing w:before="1"/>
              <w:rPr>
                <w:sz w:val="28"/>
              </w:rPr>
            </w:pPr>
            <w:r>
              <w:rPr>
                <w:spacing w:val="-5"/>
                <w:sz w:val="28"/>
              </w:rPr>
              <w:t>30</w:t>
            </w:r>
          </w:p>
        </w:tc>
        <w:tc>
          <w:tcPr>
            <w:tcW w:w="1984" w:type="dxa"/>
            <w:tcBorders>
              <w:top w:val="nil"/>
            </w:tcBorders>
          </w:tcPr>
          <w:p w14:paraId="032E4630" w14:textId="77777777" w:rsidR="007E20F1" w:rsidRDefault="00E026B7">
            <w:pPr>
              <w:pStyle w:val="TableParagraph"/>
              <w:spacing w:before="1"/>
              <w:rPr>
                <w:sz w:val="28"/>
              </w:rPr>
            </w:pPr>
            <w:r>
              <w:rPr>
                <w:spacing w:val="-5"/>
                <w:sz w:val="28"/>
              </w:rPr>
              <w:t>12</w:t>
            </w:r>
          </w:p>
        </w:tc>
        <w:tc>
          <w:tcPr>
            <w:tcW w:w="2311" w:type="dxa"/>
            <w:tcBorders>
              <w:top w:val="nil"/>
            </w:tcBorders>
          </w:tcPr>
          <w:p w14:paraId="21475B62" w14:textId="77777777" w:rsidR="007E20F1" w:rsidRDefault="00E026B7">
            <w:pPr>
              <w:pStyle w:val="TableParagraph"/>
              <w:spacing w:before="1"/>
              <w:ind w:left="108"/>
              <w:rPr>
                <w:sz w:val="28"/>
              </w:rPr>
            </w:pPr>
            <w:r>
              <w:rPr>
                <w:spacing w:val="-5"/>
                <w:sz w:val="28"/>
              </w:rPr>
              <w:t>42</w:t>
            </w:r>
          </w:p>
        </w:tc>
      </w:tr>
      <w:tr w:rsidR="007E20F1" w14:paraId="31C838C7" w14:textId="77777777">
        <w:trPr>
          <w:trHeight w:val="318"/>
        </w:trPr>
        <w:tc>
          <w:tcPr>
            <w:tcW w:w="2518" w:type="dxa"/>
          </w:tcPr>
          <w:p w14:paraId="3AB63D40" w14:textId="77777777" w:rsidR="007E20F1" w:rsidRDefault="00E026B7">
            <w:pPr>
              <w:pStyle w:val="TableParagraph"/>
              <w:rPr>
                <w:sz w:val="28"/>
              </w:rPr>
            </w:pPr>
            <w:r>
              <w:rPr>
                <w:spacing w:val="-4"/>
                <w:sz w:val="28"/>
              </w:rPr>
              <w:t>Total</w:t>
            </w:r>
          </w:p>
        </w:tc>
        <w:tc>
          <w:tcPr>
            <w:tcW w:w="2193" w:type="dxa"/>
          </w:tcPr>
          <w:p w14:paraId="7C588960" w14:textId="77777777" w:rsidR="007E20F1" w:rsidRDefault="00E026B7">
            <w:pPr>
              <w:pStyle w:val="TableParagraph"/>
              <w:rPr>
                <w:sz w:val="28"/>
              </w:rPr>
            </w:pPr>
            <w:r>
              <w:rPr>
                <w:spacing w:val="-5"/>
                <w:sz w:val="28"/>
              </w:rPr>
              <w:t>140</w:t>
            </w:r>
          </w:p>
        </w:tc>
        <w:tc>
          <w:tcPr>
            <w:tcW w:w="1984" w:type="dxa"/>
          </w:tcPr>
          <w:p w14:paraId="6B9B32DD" w14:textId="77777777" w:rsidR="007E20F1" w:rsidRDefault="00E026B7">
            <w:pPr>
              <w:pStyle w:val="TableParagraph"/>
              <w:rPr>
                <w:sz w:val="28"/>
              </w:rPr>
            </w:pPr>
            <w:r>
              <w:rPr>
                <w:spacing w:val="-5"/>
                <w:sz w:val="28"/>
              </w:rPr>
              <w:t>92</w:t>
            </w:r>
          </w:p>
        </w:tc>
        <w:tc>
          <w:tcPr>
            <w:tcW w:w="2311" w:type="dxa"/>
          </w:tcPr>
          <w:p w14:paraId="3BFB4664" w14:textId="77777777" w:rsidR="007E20F1" w:rsidRDefault="00E026B7">
            <w:pPr>
              <w:pStyle w:val="TableParagraph"/>
              <w:ind w:left="108"/>
              <w:rPr>
                <w:sz w:val="28"/>
              </w:rPr>
            </w:pPr>
            <w:r>
              <w:rPr>
                <w:spacing w:val="-5"/>
                <w:sz w:val="28"/>
              </w:rPr>
              <w:t>232</w:t>
            </w:r>
          </w:p>
        </w:tc>
      </w:tr>
    </w:tbl>
    <w:p w14:paraId="69370AF3" w14:textId="77777777" w:rsidR="007E20F1" w:rsidRDefault="00E026B7">
      <w:pPr>
        <w:pStyle w:val="BodyText"/>
        <w:spacing w:before="4"/>
        <w:ind w:left="165"/>
        <w:jc w:val="both"/>
      </w:pPr>
      <w:r>
        <w:t>Field</w:t>
      </w:r>
      <w:r>
        <w:rPr>
          <w:spacing w:val="-9"/>
        </w:rPr>
        <w:t xml:space="preserve"> </w:t>
      </w:r>
      <w:r>
        <w:t>Survey,</w:t>
      </w:r>
      <w:r>
        <w:rPr>
          <w:spacing w:val="-6"/>
        </w:rPr>
        <w:t xml:space="preserve"> </w:t>
      </w:r>
      <w:r>
        <w:rPr>
          <w:spacing w:val="-4"/>
        </w:rPr>
        <w:t>2017</w:t>
      </w:r>
    </w:p>
    <w:p w14:paraId="7FABF240" w14:textId="77777777" w:rsidR="007E20F1" w:rsidRDefault="007E20F1">
      <w:pPr>
        <w:pStyle w:val="BodyText"/>
        <w:spacing w:before="95"/>
      </w:pPr>
    </w:p>
    <w:p w14:paraId="027989A0" w14:textId="77777777" w:rsidR="007E20F1" w:rsidRDefault="00E026B7">
      <w:pPr>
        <w:pStyle w:val="BodyText"/>
        <w:spacing w:line="276" w:lineRule="auto"/>
        <w:ind w:left="165" w:right="163"/>
        <w:jc w:val="both"/>
      </w:pPr>
      <w:r>
        <w:t xml:space="preserve">Other adopted mitigation measures pointed at the establishment of local planning, zoning and disaster aids. Though there exists no relationship between the adoption of these measures with the distance factor, the resistance of flood victims to resettle away from floodplains is often abetted by disaster aids as well as local planning and zoning in the </w:t>
      </w:r>
      <w:proofErr w:type="spellStart"/>
      <w:r>
        <w:t>Forados</w:t>
      </w:r>
      <w:proofErr w:type="spellEnd"/>
      <w:r>
        <w:t xml:space="preserve"> Basin of the Niger Delta region. Residents who were flooded out typically repaired the damaged properties or built new homes and businesses on the same sites.</w:t>
      </w:r>
    </w:p>
    <w:p w14:paraId="0BA162B8" w14:textId="77777777" w:rsidR="007E20F1" w:rsidRDefault="007E20F1">
      <w:pPr>
        <w:pStyle w:val="BodyText"/>
        <w:spacing w:before="48"/>
      </w:pPr>
    </w:p>
    <w:p w14:paraId="4954EB09" w14:textId="77777777" w:rsidR="007E20F1" w:rsidRDefault="00E026B7">
      <w:pPr>
        <w:pStyle w:val="BodyText"/>
        <w:spacing w:line="276" w:lineRule="auto"/>
        <w:ind w:left="165" w:right="164"/>
        <w:jc w:val="both"/>
      </w:pPr>
      <w:r>
        <w:t>Since the response of society to flooding depends, in part, on how the hazard is perceived, their vulnerability instead was assessed by categorizing</w:t>
      </w:r>
      <w:r>
        <w:rPr>
          <w:spacing w:val="-2"/>
        </w:rPr>
        <w:t xml:space="preserve"> </w:t>
      </w:r>
      <w:r>
        <w:t>the</w:t>
      </w:r>
      <w:r>
        <w:rPr>
          <w:spacing w:val="-2"/>
        </w:rPr>
        <w:t xml:space="preserve"> </w:t>
      </w:r>
      <w:r>
        <w:t>location</w:t>
      </w:r>
      <w:r>
        <w:rPr>
          <w:spacing w:val="-1"/>
        </w:rPr>
        <w:t xml:space="preserve"> </w:t>
      </w:r>
      <w:r>
        <w:t>of</w:t>
      </w:r>
      <w:r>
        <w:rPr>
          <w:spacing w:val="-1"/>
        </w:rPr>
        <w:t xml:space="preserve"> </w:t>
      </w:r>
      <w:r>
        <w:t>the</w:t>
      </w:r>
      <w:r>
        <w:rPr>
          <w:spacing w:val="-2"/>
        </w:rPr>
        <w:t xml:space="preserve"> </w:t>
      </w:r>
      <w:r>
        <w:t>respondents’</w:t>
      </w:r>
      <w:r>
        <w:rPr>
          <w:spacing w:val="-2"/>
        </w:rPr>
        <w:t xml:space="preserve"> </w:t>
      </w:r>
      <w:r>
        <w:t>residences</w:t>
      </w:r>
      <w:r>
        <w:rPr>
          <w:spacing w:val="-2"/>
        </w:rPr>
        <w:t xml:space="preserve"> </w:t>
      </w:r>
      <w:r>
        <w:t>as either</w:t>
      </w:r>
      <w:r>
        <w:rPr>
          <w:spacing w:val="-1"/>
        </w:rPr>
        <w:t xml:space="preserve"> </w:t>
      </w:r>
      <w:r>
        <w:t>being</w:t>
      </w:r>
      <w:r>
        <w:rPr>
          <w:spacing w:val="-3"/>
        </w:rPr>
        <w:t xml:space="preserve"> </w:t>
      </w:r>
      <w:r>
        <w:t>at the flood-fringe (most vulnerable), the levees(less vulnerable), or in the backswamps.</w:t>
      </w:r>
      <w:r>
        <w:rPr>
          <w:spacing w:val="23"/>
        </w:rPr>
        <w:t xml:space="preserve"> </w:t>
      </w:r>
      <w:r>
        <w:t>Within</w:t>
      </w:r>
      <w:r>
        <w:rPr>
          <w:spacing w:val="24"/>
        </w:rPr>
        <w:t xml:space="preserve"> </w:t>
      </w:r>
      <w:r>
        <w:t>these</w:t>
      </w:r>
      <w:r>
        <w:rPr>
          <w:spacing w:val="25"/>
        </w:rPr>
        <w:t xml:space="preserve"> </w:t>
      </w:r>
      <w:r>
        <w:t>areas,</w:t>
      </w:r>
      <w:r>
        <w:rPr>
          <w:spacing w:val="23"/>
        </w:rPr>
        <w:t xml:space="preserve"> </w:t>
      </w:r>
      <w:r>
        <w:t>the</w:t>
      </w:r>
      <w:r>
        <w:rPr>
          <w:spacing w:val="25"/>
        </w:rPr>
        <w:t xml:space="preserve"> </w:t>
      </w:r>
      <w:r>
        <w:t>actions</w:t>
      </w:r>
      <w:r>
        <w:rPr>
          <w:spacing w:val="25"/>
        </w:rPr>
        <w:t xml:space="preserve"> </w:t>
      </w:r>
      <w:r>
        <w:t>of</w:t>
      </w:r>
      <w:r>
        <w:rPr>
          <w:spacing w:val="27"/>
        </w:rPr>
        <w:t xml:space="preserve"> </w:t>
      </w:r>
      <w:r>
        <w:t>evacuation</w:t>
      </w:r>
      <w:r>
        <w:rPr>
          <w:spacing w:val="24"/>
        </w:rPr>
        <w:t xml:space="preserve"> </w:t>
      </w:r>
      <w:r>
        <w:t>and</w:t>
      </w:r>
      <w:r>
        <w:rPr>
          <w:spacing w:val="26"/>
        </w:rPr>
        <w:t xml:space="preserve"> </w:t>
      </w:r>
      <w:r>
        <w:rPr>
          <w:spacing w:val="-2"/>
        </w:rPr>
        <w:t>making</w:t>
      </w:r>
    </w:p>
    <w:p w14:paraId="59C99FF6" w14:textId="77777777" w:rsidR="007E20F1" w:rsidRDefault="007E20F1">
      <w:pPr>
        <w:pStyle w:val="BodyText"/>
        <w:spacing w:line="276" w:lineRule="auto"/>
        <w:jc w:val="both"/>
        <w:sectPr w:rsidR="007E20F1">
          <w:pgSz w:w="11910" w:h="16840"/>
          <w:pgMar w:top="1920" w:right="1275" w:bottom="1000" w:left="1275" w:header="0" w:footer="803" w:gutter="0"/>
          <w:cols w:space="720"/>
        </w:sectPr>
      </w:pPr>
    </w:p>
    <w:p w14:paraId="270A79E9" w14:textId="77777777" w:rsidR="007E20F1" w:rsidRDefault="00E026B7">
      <w:pPr>
        <w:pStyle w:val="BodyText"/>
        <w:spacing w:before="82" w:line="276" w:lineRule="auto"/>
        <w:ind w:left="165" w:right="164"/>
        <w:jc w:val="both"/>
      </w:pPr>
      <w:r>
        <w:lastRenderedPageBreak/>
        <w:t xml:space="preserve">emergency preparations or accepting the loss were studied (after Baker, </w:t>
      </w:r>
      <w:r>
        <w:rPr>
          <w:spacing w:val="-2"/>
        </w:rPr>
        <w:t>1979).</w:t>
      </w:r>
    </w:p>
    <w:p w14:paraId="57F39571" w14:textId="77777777" w:rsidR="007E20F1" w:rsidRDefault="007E20F1">
      <w:pPr>
        <w:pStyle w:val="BodyText"/>
        <w:spacing w:before="46"/>
      </w:pPr>
    </w:p>
    <w:p w14:paraId="36B8F9ED" w14:textId="77777777" w:rsidR="007E20F1" w:rsidRDefault="00E026B7">
      <w:pPr>
        <w:pStyle w:val="BodyText"/>
        <w:spacing w:before="1" w:line="276" w:lineRule="auto"/>
        <w:ind w:left="165" w:right="163"/>
        <w:jc w:val="both"/>
      </w:pPr>
      <w:r>
        <w:t xml:space="preserve">There existed a significant relationship between vulnerability and evacuation in the study. About 55.8 percent of the flood-fringe dwellers evacuated while about 16.4 percent and 27.9 percent in the levees and backswamps respectively also evacuated. </w:t>
      </w:r>
      <w:proofErr w:type="gramStart"/>
      <w:r>
        <w:t>Thus</w:t>
      </w:r>
      <w:proofErr w:type="gramEnd"/>
      <w:r>
        <w:t xml:space="preserve"> it was concluded that the adoption of mitigation measures increased with increasing vulnerability among resource users in the face of hazardous situations in the </w:t>
      </w:r>
      <w:proofErr w:type="spellStart"/>
      <w:r>
        <w:t>Forcados</w:t>
      </w:r>
      <w:proofErr w:type="spellEnd"/>
      <w:r>
        <w:t xml:space="preserve"> Basin. It was therefore inferred that those in the levee areas had time to make emergency preparations in lieu of evacuation than those in the flood fringe zone (Table 4).</w:t>
      </w:r>
    </w:p>
    <w:p w14:paraId="7158C5D2" w14:textId="77777777" w:rsidR="007E20F1" w:rsidRDefault="007E20F1">
      <w:pPr>
        <w:pStyle w:val="BodyText"/>
        <w:spacing w:before="46"/>
      </w:pPr>
    </w:p>
    <w:p w14:paraId="75AA097D" w14:textId="77777777" w:rsidR="007E20F1" w:rsidRDefault="00E026B7">
      <w:pPr>
        <w:pStyle w:val="BodyText"/>
        <w:spacing w:line="276" w:lineRule="auto"/>
        <w:ind w:left="165" w:right="164"/>
        <w:jc w:val="both"/>
      </w:pPr>
      <w:r>
        <w:rPr>
          <w:b/>
        </w:rPr>
        <w:t xml:space="preserve">Table 4: </w:t>
      </w:r>
      <w:r>
        <w:t xml:space="preserve">Flood hazard vulnerability and Evacuation in the </w:t>
      </w:r>
      <w:proofErr w:type="spellStart"/>
      <w:r>
        <w:t>Forcados</w:t>
      </w:r>
      <w:proofErr w:type="spellEnd"/>
      <w:r>
        <w:t xml:space="preserve"> </w:t>
      </w:r>
      <w:r>
        <w:rPr>
          <w:spacing w:val="-2"/>
        </w:rPr>
        <w:t>Basin</w:t>
      </w:r>
    </w:p>
    <w:p w14:paraId="173AF886" w14:textId="77777777" w:rsidR="007E20F1" w:rsidRDefault="007E20F1">
      <w:pPr>
        <w:pStyle w:val="BodyText"/>
        <w:spacing w:before="140"/>
        <w:rPr>
          <w:sz w:val="20"/>
        </w:rPr>
      </w:pPr>
    </w:p>
    <w:tbl>
      <w:tblPr>
        <w:tblW w:w="0" w:type="auto"/>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2193"/>
        <w:gridCol w:w="1984"/>
        <w:gridCol w:w="2311"/>
      </w:tblGrid>
      <w:tr w:rsidR="007E20F1" w14:paraId="26506E3A" w14:textId="77777777">
        <w:trPr>
          <w:trHeight w:val="378"/>
        </w:trPr>
        <w:tc>
          <w:tcPr>
            <w:tcW w:w="2518" w:type="dxa"/>
            <w:vMerge w:val="restart"/>
          </w:tcPr>
          <w:p w14:paraId="4C5CE6C0" w14:textId="77777777" w:rsidR="007E20F1" w:rsidRDefault="00E026B7">
            <w:pPr>
              <w:pStyle w:val="TableParagraph"/>
              <w:spacing w:line="240" w:lineRule="auto"/>
              <w:rPr>
                <w:sz w:val="28"/>
              </w:rPr>
            </w:pPr>
            <w:r>
              <w:rPr>
                <w:spacing w:val="-4"/>
                <w:sz w:val="28"/>
              </w:rPr>
              <w:t>Area</w:t>
            </w:r>
          </w:p>
        </w:tc>
        <w:tc>
          <w:tcPr>
            <w:tcW w:w="4177" w:type="dxa"/>
            <w:gridSpan w:val="2"/>
          </w:tcPr>
          <w:p w14:paraId="230D24D3" w14:textId="77777777" w:rsidR="007E20F1" w:rsidRDefault="00E026B7">
            <w:pPr>
              <w:pStyle w:val="TableParagraph"/>
              <w:spacing w:line="240" w:lineRule="auto"/>
              <w:rPr>
                <w:sz w:val="28"/>
              </w:rPr>
            </w:pPr>
            <w:r>
              <w:rPr>
                <w:spacing w:val="-2"/>
                <w:sz w:val="28"/>
              </w:rPr>
              <w:t>Evacuated</w:t>
            </w:r>
          </w:p>
        </w:tc>
        <w:tc>
          <w:tcPr>
            <w:tcW w:w="2311" w:type="dxa"/>
            <w:vMerge w:val="restart"/>
          </w:tcPr>
          <w:p w14:paraId="4A4A7AA8" w14:textId="77777777" w:rsidR="007E20F1" w:rsidRDefault="00E026B7">
            <w:pPr>
              <w:pStyle w:val="TableParagraph"/>
              <w:spacing w:line="240" w:lineRule="auto"/>
              <w:ind w:left="108"/>
              <w:rPr>
                <w:sz w:val="28"/>
              </w:rPr>
            </w:pPr>
            <w:r>
              <w:rPr>
                <w:spacing w:val="-4"/>
                <w:sz w:val="28"/>
              </w:rPr>
              <w:t>Total</w:t>
            </w:r>
          </w:p>
        </w:tc>
      </w:tr>
      <w:tr w:rsidR="007E20F1" w14:paraId="53F94F92" w14:textId="77777777">
        <w:trPr>
          <w:trHeight w:val="318"/>
        </w:trPr>
        <w:tc>
          <w:tcPr>
            <w:tcW w:w="2518" w:type="dxa"/>
            <w:vMerge/>
            <w:tcBorders>
              <w:top w:val="nil"/>
            </w:tcBorders>
          </w:tcPr>
          <w:p w14:paraId="76A16FD3" w14:textId="77777777" w:rsidR="007E20F1" w:rsidRDefault="007E20F1">
            <w:pPr>
              <w:rPr>
                <w:sz w:val="2"/>
                <w:szCs w:val="2"/>
              </w:rPr>
            </w:pPr>
          </w:p>
        </w:tc>
        <w:tc>
          <w:tcPr>
            <w:tcW w:w="2193" w:type="dxa"/>
          </w:tcPr>
          <w:p w14:paraId="2A4BD9CE" w14:textId="77777777" w:rsidR="007E20F1" w:rsidRDefault="00E026B7">
            <w:pPr>
              <w:pStyle w:val="TableParagraph"/>
              <w:rPr>
                <w:sz w:val="28"/>
              </w:rPr>
            </w:pPr>
            <w:r>
              <w:rPr>
                <w:spacing w:val="-5"/>
                <w:sz w:val="28"/>
              </w:rPr>
              <w:t>No</w:t>
            </w:r>
          </w:p>
        </w:tc>
        <w:tc>
          <w:tcPr>
            <w:tcW w:w="1984" w:type="dxa"/>
          </w:tcPr>
          <w:p w14:paraId="3AEF79E5" w14:textId="77777777" w:rsidR="007E20F1" w:rsidRDefault="00E026B7">
            <w:pPr>
              <w:pStyle w:val="TableParagraph"/>
              <w:rPr>
                <w:sz w:val="28"/>
              </w:rPr>
            </w:pPr>
            <w:r>
              <w:rPr>
                <w:spacing w:val="-5"/>
                <w:sz w:val="28"/>
              </w:rPr>
              <w:t>Yes</w:t>
            </w:r>
          </w:p>
        </w:tc>
        <w:tc>
          <w:tcPr>
            <w:tcW w:w="2311" w:type="dxa"/>
            <w:vMerge/>
            <w:tcBorders>
              <w:top w:val="nil"/>
            </w:tcBorders>
          </w:tcPr>
          <w:p w14:paraId="102419AA" w14:textId="77777777" w:rsidR="007E20F1" w:rsidRDefault="007E20F1">
            <w:pPr>
              <w:rPr>
                <w:sz w:val="2"/>
                <w:szCs w:val="2"/>
              </w:rPr>
            </w:pPr>
          </w:p>
        </w:tc>
      </w:tr>
      <w:tr w:rsidR="007E20F1" w14:paraId="3FA4DBE6" w14:textId="77777777">
        <w:trPr>
          <w:trHeight w:val="318"/>
        </w:trPr>
        <w:tc>
          <w:tcPr>
            <w:tcW w:w="2518" w:type="dxa"/>
            <w:tcBorders>
              <w:bottom w:val="nil"/>
            </w:tcBorders>
          </w:tcPr>
          <w:p w14:paraId="1E6E7273" w14:textId="77777777" w:rsidR="007E20F1" w:rsidRDefault="00E026B7">
            <w:pPr>
              <w:pStyle w:val="TableParagraph"/>
              <w:spacing w:before="1" w:line="297" w:lineRule="exact"/>
              <w:rPr>
                <w:sz w:val="28"/>
              </w:rPr>
            </w:pPr>
            <w:r>
              <w:rPr>
                <w:sz w:val="28"/>
              </w:rPr>
              <w:t>Flood</w:t>
            </w:r>
            <w:r>
              <w:rPr>
                <w:spacing w:val="-5"/>
                <w:sz w:val="28"/>
              </w:rPr>
              <w:t xml:space="preserve"> </w:t>
            </w:r>
            <w:r>
              <w:rPr>
                <w:spacing w:val="-2"/>
                <w:sz w:val="28"/>
              </w:rPr>
              <w:t>fringes</w:t>
            </w:r>
          </w:p>
        </w:tc>
        <w:tc>
          <w:tcPr>
            <w:tcW w:w="2193" w:type="dxa"/>
            <w:tcBorders>
              <w:bottom w:val="nil"/>
            </w:tcBorders>
          </w:tcPr>
          <w:p w14:paraId="0E297A86" w14:textId="77777777" w:rsidR="007E20F1" w:rsidRDefault="00E026B7">
            <w:pPr>
              <w:pStyle w:val="TableParagraph"/>
              <w:spacing w:before="1" w:line="297" w:lineRule="exact"/>
              <w:rPr>
                <w:sz w:val="28"/>
              </w:rPr>
            </w:pPr>
            <w:r>
              <w:rPr>
                <w:spacing w:val="-5"/>
                <w:sz w:val="28"/>
              </w:rPr>
              <w:t>12</w:t>
            </w:r>
          </w:p>
        </w:tc>
        <w:tc>
          <w:tcPr>
            <w:tcW w:w="1984" w:type="dxa"/>
            <w:tcBorders>
              <w:bottom w:val="nil"/>
            </w:tcBorders>
          </w:tcPr>
          <w:p w14:paraId="684E2ADD" w14:textId="77777777" w:rsidR="007E20F1" w:rsidRDefault="00E026B7">
            <w:pPr>
              <w:pStyle w:val="TableParagraph"/>
              <w:spacing w:before="1" w:line="297" w:lineRule="exact"/>
              <w:rPr>
                <w:sz w:val="28"/>
              </w:rPr>
            </w:pPr>
            <w:r>
              <w:rPr>
                <w:spacing w:val="-5"/>
                <w:sz w:val="28"/>
              </w:rPr>
              <w:t>58</w:t>
            </w:r>
          </w:p>
        </w:tc>
        <w:tc>
          <w:tcPr>
            <w:tcW w:w="2311" w:type="dxa"/>
            <w:tcBorders>
              <w:bottom w:val="nil"/>
            </w:tcBorders>
          </w:tcPr>
          <w:p w14:paraId="19CF455E" w14:textId="77777777" w:rsidR="007E20F1" w:rsidRDefault="00E026B7">
            <w:pPr>
              <w:pStyle w:val="TableParagraph"/>
              <w:spacing w:before="1" w:line="297" w:lineRule="exact"/>
              <w:ind w:left="108"/>
              <w:rPr>
                <w:sz w:val="28"/>
              </w:rPr>
            </w:pPr>
            <w:r>
              <w:rPr>
                <w:spacing w:val="-5"/>
                <w:sz w:val="28"/>
              </w:rPr>
              <w:t>70</w:t>
            </w:r>
          </w:p>
        </w:tc>
      </w:tr>
      <w:tr w:rsidR="007E20F1" w14:paraId="61124C8A" w14:textId="77777777">
        <w:trPr>
          <w:trHeight w:val="317"/>
        </w:trPr>
        <w:tc>
          <w:tcPr>
            <w:tcW w:w="2518" w:type="dxa"/>
            <w:tcBorders>
              <w:top w:val="nil"/>
              <w:bottom w:val="nil"/>
            </w:tcBorders>
          </w:tcPr>
          <w:p w14:paraId="3294DB99" w14:textId="77777777" w:rsidR="007E20F1" w:rsidRDefault="00E026B7">
            <w:pPr>
              <w:pStyle w:val="TableParagraph"/>
              <w:rPr>
                <w:sz w:val="28"/>
              </w:rPr>
            </w:pPr>
            <w:r>
              <w:rPr>
                <w:spacing w:val="-2"/>
                <w:sz w:val="28"/>
              </w:rPr>
              <w:t>Levees</w:t>
            </w:r>
          </w:p>
        </w:tc>
        <w:tc>
          <w:tcPr>
            <w:tcW w:w="2193" w:type="dxa"/>
            <w:tcBorders>
              <w:top w:val="nil"/>
              <w:bottom w:val="nil"/>
            </w:tcBorders>
          </w:tcPr>
          <w:p w14:paraId="13B95CA5" w14:textId="77777777" w:rsidR="007E20F1" w:rsidRDefault="00E026B7">
            <w:pPr>
              <w:pStyle w:val="TableParagraph"/>
              <w:rPr>
                <w:sz w:val="28"/>
              </w:rPr>
            </w:pPr>
            <w:r>
              <w:rPr>
                <w:spacing w:val="-5"/>
                <w:sz w:val="28"/>
              </w:rPr>
              <w:t>13</w:t>
            </w:r>
          </w:p>
        </w:tc>
        <w:tc>
          <w:tcPr>
            <w:tcW w:w="1984" w:type="dxa"/>
            <w:tcBorders>
              <w:top w:val="nil"/>
              <w:bottom w:val="nil"/>
            </w:tcBorders>
          </w:tcPr>
          <w:p w14:paraId="4923D42C" w14:textId="77777777" w:rsidR="007E20F1" w:rsidRDefault="00E026B7">
            <w:pPr>
              <w:pStyle w:val="TableParagraph"/>
              <w:rPr>
                <w:sz w:val="28"/>
              </w:rPr>
            </w:pPr>
            <w:r>
              <w:rPr>
                <w:spacing w:val="-5"/>
                <w:sz w:val="28"/>
              </w:rPr>
              <w:t>17</w:t>
            </w:r>
          </w:p>
        </w:tc>
        <w:tc>
          <w:tcPr>
            <w:tcW w:w="2311" w:type="dxa"/>
            <w:tcBorders>
              <w:top w:val="nil"/>
              <w:bottom w:val="nil"/>
            </w:tcBorders>
          </w:tcPr>
          <w:p w14:paraId="7E8F7898" w14:textId="77777777" w:rsidR="007E20F1" w:rsidRDefault="00E026B7">
            <w:pPr>
              <w:pStyle w:val="TableParagraph"/>
              <w:ind w:left="108"/>
              <w:rPr>
                <w:sz w:val="28"/>
              </w:rPr>
            </w:pPr>
            <w:r>
              <w:rPr>
                <w:spacing w:val="-5"/>
                <w:sz w:val="28"/>
              </w:rPr>
              <w:t>30</w:t>
            </w:r>
          </w:p>
        </w:tc>
      </w:tr>
      <w:tr w:rsidR="007E20F1" w14:paraId="42D096EF" w14:textId="77777777">
        <w:trPr>
          <w:trHeight w:val="344"/>
        </w:trPr>
        <w:tc>
          <w:tcPr>
            <w:tcW w:w="2518" w:type="dxa"/>
            <w:tcBorders>
              <w:top w:val="nil"/>
            </w:tcBorders>
          </w:tcPr>
          <w:p w14:paraId="160F2493" w14:textId="77777777" w:rsidR="007E20F1" w:rsidRDefault="00E026B7">
            <w:pPr>
              <w:pStyle w:val="TableParagraph"/>
              <w:spacing w:before="1" w:line="240" w:lineRule="auto"/>
              <w:rPr>
                <w:sz w:val="28"/>
              </w:rPr>
            </w:pPr>
            <w:r>
              <w:rPr>
                <w:spacing w:val="-2"/>
                <w:sz w:val="28"/>
              </w:rPr>
              <w:t>Backswamps</w:t>
            </w:r>
          </w:p>
        </w:tc>
        <w:tc>
          <w:tcPr>
            <w:tcW w:w="2193" w:type="dxa"/>
            <w:tcBorders>
              <w:top w:val="nil"/>
            </w:tcBorders>
          </w:tcPr>
          <w:p w14:paraId="5DFAD818" w14:textId="77777777" w:rsidR="007E20F1" w:rsidRDefault="00E026B7">
            <w:pPr>
              <w:pStyle w:val="TableParagraph"/>
              <w:spacing w:before="1" w:line="240" w:lineRule="auto"/>
              <w:rPr>
                <w:sz w:val="28"/>
              </w:rPr>
            </w:pPr>
            <w:r>
              <w:rPr>
                <w:spacing w:val="-5"/>
                <w:sz w:val="28"/>
              </w:rPr>
              <w:t>11</w:t>
            </w:r>
          </w:p>
        </w:tc>
        <w:tc>
          <w:tcPr>
            <w:tcW w:w="1984" w:type="dxa"/>
            <w:tcBorders>
              <w:top w:val="nil"/>
            </w:tcBorders>
          </w:tcPr>
          <w:p w14:paraId="7B40EF80" w14:textId="77777777" w:rsidR="007E20F1" w:rsidRDefault="00E026B7">
            <w:pPr>
              <w:pStyle w:val="TableParagraph"/>
              <w:spacing w:before="1" w:line="240" w:lineRule="auto"/>
              <w:rPr>
                <w:sz w:val="28"/>
              </w:rPr>
            </w:pPr>
            <w:r>
              <w:rPr>
                <w:spacing w:val="-5"/>
                <w:sz w:val="28"/>
              </w:rPr>
              <w:t>29</w:t>
            </w:r>
          </w:p>
        </w:tc>
        <w:tc>
          <w:tcPr>
            <w:tcW w:w="2311" w:type="dxa"/>
            <w:tcBorders>
              <w:top w:val="nil"/>
            </w:tcBorders>
          </w:tcPr>
          <w:p w14:paraId="0530F917" w14:textId="77777777" w:rsidR="007E20F1" w:rsidRDefault="00E026B7">
            <w:pPr>
              <w:pStyle w:val="TableParagraph"/>
              <w:spacing w:before="1" w:line="240" w:lineRule="auto"/>
              <w:ind w:left="108"/>
              <w:rPr>
                <w:sz w:val="28"/>
              </w:rPr>
            </w:pPr>
            <w:r>
              <w:rPr>
                <w:spacing w:val="-5"/>
                <w:sz w:val="28"/>
              </w:rPr>
              <w:t>40</w:t>
            </w:r>
          </w:p>
        </w:tc>
      </w:tr>
      <w:tr w:rsidR="007E20F1" w14:paraId="07302111" w14:textId="77777777">
        <w:trPr>
          <w:trHeight w:val="318"/>
        </w:trPr>
        <w:tc>
          <w:tcPr>
            <w:tcW w:w="2518" w:type="dxa"/>
          </w:tcPr>
          <w:p w14:paraId="573B35C6" w14:textId="77777777" w:rsidR="007E20F1" w:rsidRDefault="00E026B7">
            <w:pPr>
              <w:pStyle w:val="TableParagraph"/>
              <w:spacing w:before="1" w:line="297" w:lineRule="exact"/>
              <w:rPr>
                <w:sz w:val="28"/>
              </w:rPr>
            </w:pPr>
            <w:r>
              <w:rPr>
                <w:spacing w:val="-4"/>
                <w:sz w:val="28"/>
              </w:rPr>
              <w:t>Total</w:t>
            </w:r>
          </w:p>
        </w:tc>
        <w:tc>
          <w:tcPr>
            <w:tcW w:w="2193" w:type="dxa"/>
          </w:tcPr>
          <w:p w14:paraId="158ADCCD" w14:textId="77777777" w:rsidR="007E20F1" w:rsidRDefault="00E026B7">
            <w:pPr>
              <w:pStyle w:val="TableParagraph"/>
              <w:spacing w:before="1" w:line="297" w:lineRule="exact"/>
              <w:rPr>
                <w:sz w:val="28"/>
              </w:rPr>
            </w:pPr>
            <w:r>
              <w:rPr>
                <w:spacing w:val="-5"/>
                <w:sz w:val="28"/>
              </w:rPr>
              <w:t>36</w:t>
            </w:r>
          </w:p>
        </w:tc>
        <w:tc>
          <w:tcPr>
            <w:tcW w:w="1984" w:type="dxa"/>
          </w:tcPr>
          <w:p w14:paraId="0B455F38" w14:textId="77777777" w:rsidR="007E20F1" w:rsidRDefault="00E026B7">
            <w:pPr>
              <w:pStyle w:val="TableParagraph"/>
              <w:spacing w:before="1" w:line="297" w:lineRule="exact"/>
              <w:rPr>
                <w:sz w:val="28"/>
              </w:rPr>
            </w:pPr>
            <w:r>
              <w:rPr>
                <w:spacing w:val="-5"/>
                <w:sz w:val="28"/>
              </w:rPr>
              <w:t>104</w:t>
            </w:r>
          </w:p>
        </w:tc>
        <w:tc>
          <w:tcPr>
            <w:tcW w:w="2311" w:type="dxa"/>
          </w:tcPr>
          <w:p w14:paraId="7F62AA67" w14:textId="77777777" w:rsidR="007E20F1" w:rsidRDefault="00E026B7">
            <w:pPr>
              <w:pStyle w:val="TableParagraph"/>
              <w:spacing w:before="1" w:line="297" w:lineRule="exact"/>
              <w:ind w:left="108"/>
              <w:rPr>
                <w:sz w:val="28"/>
              </w:rPr>
            </w:pPr>
            <w:r>
              <w:rPr>
                <w:spacing w:val="-5"/>
                <w:sz w:val="28"/>
              </w:rPr>
              <w:t>140</w:t>
            </w:r>
          </w:p>
        </w:tc>
      </w:tr>
    </w:tbl>
    <w:p w14:paraId="5C712F2A" w14:textId="77777777" w:rsidR="007E20F1" w:rsidRDefault="00E026B7">
      <w:pPr>
        <w:pStyle w:val="BodyText"/>
        <w:spacing w:before="2"/>
        <w:ind w:left="165"/>
        <w:jc w:val="both"/>
      </w:pPr>
      <w:r>
        <w:t>Field</w:t>
      </w:r>
      <w:r>
        <w:rPr>
          <w:spacing w:val="-9"/>
        </w:rPr>
        <w:t xml:space="preserve"> </w:t>
      </w:r>
      <w:r>
        <w:t>Survey,</w:t>
      </w:r>
      <w:r>
        <w:rPr>
          <w:spacing w:val="-6"/>
        </w:rPr>
        <w:t xml:space="preserve"> </w:t>
      </w:r>
      <w:r>
        <w:rPr>
          <w:spacing w:val="-4"/>
        </w:rPr>
        <w:t>2017</w:t>
      </w:r>
    </w:p>
    <w:p w14:paraId="7D2B3B9D" w14:textId="77777777" w:rsidR="007E20F1" w:rsidRDefault="007E20F1">
      <w:pPr>
        <w:pStyle w:val="BodyText"/>
        <w:spacing w:before="96"/>
      </w:pPr>
    </w:p>
    <w:p w14:paraId="7E9B02AC" w14:textId="77777777" w:rsidR="007E20F1" w:rsidRDefault="00E026B7">
      <w:pPr>
        <w:pStyle w:val="BodyText"/>
        <w:spacing w:line="276" w:lineRule="auto"/>
        <w:ind w:left="165" w:right="90"/>
        <w:jc w:val="both"/>
      </w:pPr>
      <w:r>
        <w:t xml:space="preserve">The rate of the adoption of flood mitigation measures were analyzed in different designated areas of the floodplains in </w:t>
      </w:r>
      <w:proofErr w:type="spellStart"/>
      <w:r>
        <w:t>Bomadi</w:t>
      </w:r>
      <w:proofErr w:type="spellEnd"/>
      <w:r>
        <w:t xml:space="preserve"> community in terms of the residents’ vulnerability and evacuation and their plans of action in the face of flooding. The results showed two extreme situations. The vulnerability and eventual evacuation of residents and the establishment of a local planning and zoning exhibited gradual decreases as one moves away from the 100-year floodplain (the area submerged by the highest flood magnitude likely to occur over a 100-year period). The extent of flood-proofing increased outside the 100-year floodplains. Residents in and outside the 100 year floodplains are most likely to establish a plan of action. On the other hand, those outside the</w:t>
      </w:r>
      <w:r>
        <w:rPr>
          <w:spacing w:val="40"/>
        </w:rPr>
        <w:t xml:space="preserve"> </w:t>
      </w:r>
      <w:r>
        <w:t>designated floodplains are more likely to have their homes flood-proofed. These divergent actions may be adduced to several factors, viz:</w:t>
      </w:r>
    </w:p>
    <w:p w14:paraId="1BC27E71"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0F797591" w14:textId="77777777" w:rsidR="007E20F1" w:rsidRDefault="00E026B7">
      <w:pPr>
        <w:pStyle w:val="ListParagraph"/>
        <w:numPr>
          <w:ilvl w:val="0"/>
          <w:numId w:val="2"/>
        </w:numPr>
        <w:tabs>
          <w:tab w:val="left" w:pos="525"/>
        </w:tabs>
        <w:spacing w:before="82" w:line="276" w:lineRule="auto"/>
        <w:jc w:val="both"/>
        <w:rPr>
          <w:sz w:val="28"/>
        </w:rPr>
      </w:pPr>
      <w:r>
        <w:rPr>
          <w:sz w:val="28"/>
        </w:rPr>
        <w:lastRenderedPageBreak/>
        <w:t>The differences in the interpretation of the term flood-proofing rather than in the propensity of residents to undertake such action (</w:t>
      </w:r>
      <w:proofErr w:type="spellStart"/>
      <w:r>
        <w:rPr>
          <w:sz w:val="28"/>
        </w:rPr>
        <w:t>McNei</w:t>
      </w:r>
      <w:proofErr w:type="gramStart"/>
      <w:r>
        <w:rPr>
          <w:sz w:val="28"/>
        </w:rPr>
        <w:t>,l</w:t>
      </w:r>
      <w:proofErr w:type="spellEnd"/>
      <w:proofErr w:type="gramEnd"/>
      <w:r>
        <w:rPr>
          <w:sz w:val="28"/>
        </w:rPr>
        <w:t xml:space="preserve"> </w:t>
      </w:r>
      <w:r>
        <w:rPr>
          <w:spacing w:val="-2"/>
          <w:sz w:val="28"/>
        </w:rPr>
        <w:t>2000).</w:t>
      </w:r>
    </w:p>
    <w:p w14:paraId="419FFE36" w14:textId="77777777" w:rsidR="007E20F1" w:rsidRDefault="00E026B7">
      <w:pPr>
        <w:pStyle w:val="ListParagraph"/>
        <w:numPr>
          <w:ilvl w:val="0"/>
          <w:numId w:val="2"/>
        </w:numPr>
        <w:tabs>
          <w:tab w:val="left" w:pos="525"/>
        </w:tabs>
        <w:spacing w:line="276" w:lineRule="auto"/>
        <w:ind w:right="164"/>
        <w:jc w:val="both"/>
        <w:rPr>
          <w:sz w:val="28"/>
        </w:rPr>
      </w:pPr>
      <w:r>
        <w:rPr>
          <w:sz w:val="28"/>
        </w:rPr>
        <w:t>When</w:t>
      </w:r>
      <w:r>
        <w:rPr>
          <w:spacing w:val="-5"/>
          <w:sz w:val="28"/>
        </w:rPr>
        <w:t xml:space="preserve"> </w:t>
      </w:r>
      <w:r>
        <w:rPr>
          <w:sz w:val="28"/>
        </w:rPr>
        <w:t>the</w:t>
      </w:r>
      <w:r>
        <w:rPr>
          <w:spacing w:val="-4"/>
          <w:sz w:val="28"/>
        </w:rPr>
        <w:t xml:space="preserve"> </w:t>
      </w:r>
      <w:r>
        <w:rPr>
          <w:sz w:val="28"/>
        </w:rPr>
        <w:t>residents</w:t>
      </w:r>
      <w:r>
        <w:rPr>
          <w:spacing w:val="-4"/>
          <w:sz w:val="28"/>
        </w:rPr>
        <w:t xml:space="preserve"> </w:t>
      </w:r>
      <w:r>
        <w:rPr>
          <w:sz w:val="28"/>
        </w:rPr>
        <w:t>are</w:t>
      </w:r>
      <w:r>
        <w:rPr>
          <w:spacing w:val="-4"/>
          <w:sz w:val="28"/>
        </w:rPr>
        <w:t xml:space="preserve"> </w:t>
      </w:r>
      <w:r>
        <w:rPr>
          <w:sz w:val="28"/>
        </w:rPr>
        <w:t>not</w:t>
      </w:r>
      <w:r>
        <w:rPr>
          <w:spacing w:val="-3"/>
          <w:sz w:val="28"/>
        </w:rPr>
        <w:t xml:space="preserve"> </w:t>
      </w:r>
      <w:r>
        <w:rPr>
          <w:sz w:val="28"/>
        </w:rPr>
        <w:t>in</w:t>
      </w:r>
      <w:r>
        <w:rPr>
          <w:spacing w:val="-5"/>
          <w:sz w:val="28"/>
        </w:rPr>
        <w:t xml:space="preserve"> </w:t>
      </w:r>
      <w:r>
        <w:rPr>
          <w:sz w:val="28"/>
        </w:rPr>
        <w:t>designated</w:t>
      </w:r>
      <w:r>
        <w:rPr>
          <w:spacing w:val="-3"/>
          <w:sz w:val="28"/>
        </w:rPr>
        <w:t xml:space="preserve"> </w:t>
      </w:r>
      <w:r>
        <w:rPr>
          <w:sz w:val="28"/>
        </w:rPr>
        <w:t>flood</w:t>
      </w:r>
      <w:r>
        <w:rPr>
          <w:spacing w:val="-3"/>
          <w:sz w:val="28"/>
        </w:rPr>
        <w:t xml:space="preserve"> </w:t>
      </w:r>
      <w:r>
        <w:rPr>
          <w:sz w:val="28"/>
        </w:rPr>
        <w:t>hazard</w:t>
      </w:r>
      <w:r>
        <w:rPr>
          <w:spacing w:val="-3"/>
          <w:sz w:val="28"/>
        </w:rPr>
        <w:t xml:space="preserve"> </w:t>
      </w:r>
      <w:r>
        <w:rPr>
          <w:sz w:val="28"/>
        </w:rPr>
        <w:t>areas,</w:t>
      </w:r>
      <w:r>
        <w:rPr>
          <w:spacing w:val="-4"/>
          <w:sz w:val="28"/>
        </w:rPr>
        <w:t xml:space="preserve"> </w:t>
      </w:r>
      <w:r>
        <w:rPr>
          <w:sz w:val="28"/>
        </w:rPr>
        <w:t>they</w:t>
      </w:r>
      <w:r>
        <w:rPr>
          <w:spacing w:val="-4"/>
          <w:sz w:val="28"/>
        </w:rPr>
        <w:t xml:space="preserve"> </w:t>
      </w:r>
      <w:r>
        <w:rPr>
          <w:sz w:val="28"/>
        </w:rPr>
        <w:t>may develop different perception of what it takes to flood-proof since they are above the 100-year flood heights.</w:t>
      </w:r>
    </w:p>
    <w:p w14:paraId="31E842D9" w14:textId="77777777" w:rsidR="007E20F1" w:rsidRDefault="00E026B7">
      <w:pPr>
        <w:pStyle w:val="ListParagraph"/>
        <w:numPr>
          <w:ilvl w:val="0"/>
          <w:numId w:val="2"/>
        </w:numPr>
        <w:tabs>
          <w:tab w:val="left" w:pos="523"/>
          <w:tab w:val="left" w:pos="525"/>
        </w:tabs>
        <w:spacing w:line="276" w:lineRule="auto"/>
        <w:jc w:val="both"/>
        <w:rPr>
          <w:sz w:val="28"/>
        </w:rPr>
      </w:pPr>
      <w:r>
        <w:rPr>
          <w:sz w:val="28"/>
        </w:rPr>
        <w:t>Local topography may be an important factor at distances greater</w:t>
      </w:r>
      <w:r>
        <w:rPr>
          <w:spacing w:val="40"/>
          <w:sz w:val="28"/>
        </w:rPr>
        <w:t xml:space="preserve"> </w:t>
      </w:r>
      <w:r>
        <w:rPr>
          <w:sz w:val="28"/>
        </w:rPr>
        <w:t>than 400 meters from the stream (Moritz, 1982).</w:t>
      </w:r>
    </w:p>
    <w:p w14:paraId="36594185" w14:textId="77777777" w:rsidR="007E20F1" w:rsidRDefault="007E20F1">
      <w:pPr>
        <w:pStyle w:val="BodyText"/>
        <w:spacing w:before="45"/>
      </w:pPr>
    </w:p>
    <w:p w14:paraId="1933581F" w14:textId="77777777" w:rsidR="007E20F1" w:rsidRDefault="00E026B7" w:rsidP="002023A5">
      <w:pPr>
        <w:pStyle w:val="Heading1"/>
        <w:numPr>
          <w:ilvl w:val="0"/>
          <w:numId w:val="6"/>
        </w:numPr>
      </w:pPr>
      <w:r>
        <w:rPr>
          <w:spacing w:val="-2"/>
        </w:rPr>
        <w:t>Discussion</w:t>
      </w:r>
    </w:p>
    <w:p w14:paraId="61C857B4" w14:textId="77777777" w:rsidR="007E20F1" w:rsidRDefault="00E026B7">
      <w:pPr>
        <w:pStyle w:val="BodyText"/>
        <w:spacing w:before="49" w:line="276" w:lineRule="auto"/>
        <w:ind w:left="165" w:right="163"/>
        <w:jc w:val="both"/>
      </w:pPr>
      <w:r>
        <w:t xml:space="preserve">Space perception and locational decisions affects the adoption of </w:t>
      </w:r>
      <w:proofErr w:type="gramStart"/>
      <w:r>
        <w:t>flood hazard mitigation measures</w:t>
      </w:r>
      <w:proofErr w:type="gramEnd"/>
      <w:r>
        <w:t xml:space="preserve"> in the </w:t>
      </w:r>
      <w:proofErr w:type="spellStart"/>
      <w:r>
        <w:t>Forcados</w:t>
      </w:r>
      <w:proofErr w:type="spellEnd"/>
      <w:r>
        <w:t xml:space="preserve"> Basin of the Niger Delta region. The investigations on the importance of location as a means to predict the adoption of flood hazards mitigation measures was based on the premise that the most vulnerable floodplain areas are necessarily those closer to the source of the hazard and that the residents of those areas would be the most likely to adopt needed measures (Montz, 1982). Studies in Panama City (Baker et al, 1979) however, revealed that the results may vary from this premise. Evacuation in Panama City and the adoption of flood insurance in Binghamton were both found to be statistically associated with vulnerability to the hazard. However, in the </w:t>
      </w:r>
      <w:proofErr w:type="spellStart"/>
      <w:r>
        <w:t>Forcados</w:t>
      </w:r>
      <w:proofErr w:type="spellEnd"/>
      <w:r>
        <w:t xml:space="preserve"> Basin, since little is known about flood insurance, other mitigation measures, structural and non-structural, were adopted.</w:t>
      </w:r>
    </w:p>
    <w:p w14:paraId="5DD9884E" w14:textId="77777777" w:rsidR="007E20F1" w:rsidRDefault="007E20F1">
      <w:pPr>
        <w:pStyle w:val="BodyText"/>
        <w:spacing w:before="47"/>
      </w:pPr>
    </w:p>
    <w:p w14:paraId="7D4EF219" w14:textId="77777777" w:rsidR="007E20F1" w:rsidRDefault="00E026B7">
      <w:pPr>
        <w:pStyle w:val="BodyText"/>
        <w:spacing w:line="276" w:lineRule="auto"/>
        <w:ind w:left="165" w:right="163"/>
        <w:jc w:val="both"/>
      </w:pPr>
      <w:r>
        <w:t xml:space="preserve">In the </w:t>
      </w:r>
      <w:proofErr w:type="spellStart"/>
      <w:r>
        <w:t>Forcados</w:t>
      </w:r>
      <w:proofErr w:type="spellEnd"/>
      <w:r>
        <w:t xml:space="preserve"> basin, particularly in the riverine urban communities such as </w:t>
      </w:r>
      <w:proofErr w:type="spellStart"/>
      <w:r>
        <w:t>Patani</w:t>
      </w:r>
      <w:proofErr w:type="spellEnd"/>
      <w:r>
        <w:t xml:space="preserve">, </w:t>
      </w:r>
      <w:proofErr w:type="spellStart"/>
      <w:r>
        <w:t>Sagbama</w:t>
      </w:r>
      <w:proofErr w:type="spellEnd"/>
      <w:r>
        <w:t xml:space="preserve">, </w:t>
      </w:r>
      <w:proofErr w:type="spellStart"/>
      <w:r>
        <w:t>Bomadi</w:t>
      </w:r>
      <w:proofErr w:type="spellEnd"/>
      <w:r>
        <w:t xml:space="preserve"> and </w:t>
      </w:r>
      <w:proofErr w:type="spellStart"/>
      <w:r>
        <w:t>Ekeremor</w:t>
      </w:r>
      <w:proofErr w:type="spellEnd"/>
      <w:r>
        <w:t xml:space="preserve"> where little is known about non-Structural flood mitigation measures, the residents largely depended on engineering structures to control the effects of flooding.</w:t>
      </w:r>
      <w:r>
        <w:rPr>
          <w:spacing w:val="40"/>
        </w:rPr>
        <w:t xml:space="preserve"> </w:t>
      </w:r>
      <w:r>
        <w:t xml:space="preserve">The reliance upon these controls have encouraged encroachment on the protected areas along the natural levees. This has increased the vulnerability of floodplain resource users to the impact of flooding. The real and perceived inter-annual variability of flood losses thus continue to rise in the communities and in the basin generally. Vlachos (1995), Promise (2005), </w:t>
      </w:r>
      <w:proofErr w:type="spellStart"/>
      <w:r>
        <w:t>Shaka</w:t>
      </w:r>
      <w:proofErr w:type="spellEnd"/>
      <w:r>
        <w:t xml:space="preserve"> (2005) and </w:t>
      </w:r>
      <w:proofErr w:type="spellStart"/>
      <w:r>
        <w:t>Atakpu</w:t>
      </w:r>
      <w:proofErr w:type="spellEnd"/>
      <w:r>
        <w:t xml:space="preserve"> (2001) in their studies and estimates of the impact of flooding in Nigeria have suggested that flood damages have been rising during</w:t>
      </w:r>
      <w:r>
        <w:rPr>
          <w:spacing w:val="-1"/>
        </w:rPr>
        <w:t xml:space="preserve"> </w:t>
      </w:r>
      <w:r>
        <w:t>this century at about 4 percent per</w:t>
      </w:r>
      <w:r>
        <w:rPr>
          <w:spacing w:val="-1"/>
        </w:rPr>
        <w:t xml:space="preserve"> </w:t>
      </w:r>
      <w:r>
        <w:t>year in real dollars. At the same time, the public cost of building flood mitigation works has also risen. Since 1936, the United States government,</w:t>
      </w:r>
      <w:r>
        <w:rPr>
          <w:spacing w:val="16"/>
        </w:rPr>
        <w:t xml:space="preserve"> </w:t>
      </w:r>
      <w:r>
        <w:t>for</w:t>
      </w:r>
      <w:r>
        <w:rPr>
          <w:spacing w:val="18"/>
        </w:rPr>
        <w:t xml:space="preserve"> </w:t>
      </w:r>
      <w:r>
        <w:t>instance,</w:t>
      </w:r>
      <w:r>
        <w:rPr>
          <w:spacing w:val="19"/>
        </w:rPr>
        <w:t xml:space="preserve"> </w:t>
      </w:r>
      <w:r>
        <w:t>has</w:t>
      </w:r>
      <w:r>
        <w:rPr>
          <w:spacing w:val="18"/>
        </w:rPr>
        <w:t xml:space="preserve"> </w:t>
      </w:r>
      <w:r>
        <w:t>spent</w:t>
      </w:r>
      <w:r>
        <w:rPr>
          <w:spacing w:val="20"/>
        </w:rPr>
        <w:t xml:space="preserve"> </w:t>
      </w:r>
      <w:r>
        <w:t>more</w:t>
      </w:r>
      <w:r>
        <w:rPr>
          <w:spacing w:val="19"/>
        </w:rPr>
        <w:t xml:space="preserve"> </w:t>
      </w:r>
      <w:r>
        <w:t>than</w:t>
      </w:r>
      <w:r>
        <w:rPr>
          <w:spacing w:val="19"/>
        </w:rPr>
        <w:t xml:space="preserve"> </w:t>
      </w:r>
      <w:r>
        <w:t>$15</w:t>
      </w:r>
      <w:r>
        <w:rPr>
          <w:spacing w:val="16"/>
        </w:rPr>
        <w:t xml:space="preserve"> </w:t>
      </w:r>
      <w:r>
        <w:t>billion</w:t>
      </w:r>
      <w:r>
        <w:rPr>
          <w:spacing w:val="18"/>
        </w:rPr>
        <w:t xml:space="preserve"> </w:t>
      </w:r>
      <w:r>
        <w:t>on</w:t>
      </w:r>
      <w:r>
        <w:rPr>
          <w:spacing w:val="20"/>
        </w:rPr>
        <w:t xml:space="preserve"> </w:t>
      </w:r>
      <w:r>
        <w:rPr>
          <w:spacing w:val="-2"/>
        </w:rPr>
        <w:t>structural</w:t>
      </w:r>
    </w:p>
    <w:p w14:paraId="58AA9A26"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23E88164" w14:textId="77777777" w:rsidR="007E20F1" w:rsidRDefault="00E026B7">
      <w:pPr>
        <w:pStyle w:val="BodyText"/>
        <w:spacing w:before="82" w:line="276" w:lineRule="auto"/>
        <w:ind w:left="165" w:right="163"/>
        <w:jc w:val="both"/>
      </w:pPr>
      <w:r>
        <w:lastRenderedPageBreak/>
        <w:t>flood control works. Data from other countries also show a similar picture. In New Zealand, Erickson (2010) estimated that the insured direct property losses grew from less than NZ $ 2 million in 1953 to</w:t>
      </w:r>
      <w:r>
        <w:rPr>
          <w:spacing w:val="40"/>
        </w:rPr>
        <w:t xml:space="preserve"> </w:t>
      </w:r>
      <w:r>
        <w:t>about NZ $ 20 million in 1985.</w:t>
      </w:r>
    </w:p>
    <w:p w14:paraId="29B8AE26" w14:textId="77777777" w:rsidR="007E20F1" w:rsidRDefault="007E20F1">
      <w:pPr>
        <w:pStyle w:val="BodyText"/>
        <w:spacing w:before="47"/>
      </w:pPr>
    </w:p>
    <w:p w14:paraId="2CFDB2F6" w14:textId="77777777" w:rsidR="007E20F1" w:rsidRDefault="00E026B7">
      <w:pPr>
        <w:pStyle w:val="BodyText"/>
        <w:spacing w:line="276" w:lineRule="auto"/>
        <w:ind w:left="165" w:right="163"/>
        <w:jc w:val="both"/>
      </w:pPr>
      <w:r>
        <w:t>In areas where flood insurance is adopted, one would expect an inverse relationship between distance from the stream and adoption if there</w:t>
      </w:r>
      <w:r>
        <w:rPr>
          <w:spacing w:val="40"/>
        </w:rPr>
        <w:t xml:space="preserve"> </w:t>
      </w:r>
      <w:r>
        <w:t xml:space="preserve">were little topographic variations. Studies in Binghamton, New York (Montz, 1982); Bauman and Sims (1978) showed that this is not always the case. Several low-lying areas some distance from the source of flooding are affected by poor drainage and flood insurance is purchased for needed protection. In the </w:t>
      </w:r>
      <w:proofErr w:type="spellStart"/>
      <w:r>
        <w:t>Forcados</w:t>
      </w:r>
      <w:proofErr w:type="spellEnd"/>
      <w:r>
        <w:t xml:space="preserve"> Basin, when flood insurance is eventually adopted as a mitigation measure, the backswamps which are less than 1000 meters from the stream would influence development patterns in the communities. Topography will impose characteristic dense urbanization processes in well drained areas and otherwise in vulnerable areas.</w:t>
      </w:r>
    </w:p>
    <w:p w14:paraId="1BC741F7" w14:textId="77777777" w:rsidR="007E20F1" w:rsidRDefault="007E20F1">
      <w:pPr>
        <w:pStyle w:val="BodyText"/>
        <w:spacing w:before="46"/>
      </w:pPr>
    </w:p>
    <w:p w14:paraId="463A55DB" w14:textId="77777777" w:rsidR="007E20F1" w:rsidRDefault="00E026B7">
      <w:pPr>
        <w:pStyle w:val="BodyText"/>
        <w:spacing w:line="276" w:lineRule="auto"/>
        <w:ind w:left="165" w:right="162"/>
        <w:jc w:val="both"/>
      </w:pPr>
      <w:r>
        <w:t xml:space="preserve">Distance as a factor influencing the choice of flood mitigation measures adoption, was particularly important in predicting the relationship that existed in the adoption of flood-proofing and vulnerability in the study communities. The adoption of sandbagging, emergency evacuation and flood-proofing of residential structures was observed to be significantly associated with distance from the flood fringe of the </w:t>
      </w:r>
      <w:proofErr w:type="spellStart"/>
      <w:r>
        <w:t>Forcados</w:t>
      </w:r>
      <w:proofErr w:type="spellEnd"/>
      <w:r>
        <w:t xml:space="preserve"> River. Schein (2015),</w:t>
      </w:r>
      <w:r>
        <w:rPr>
          <w:spacing w:val="-1"/>
        </w:rPr>
        <w:t xml:space="preserve"> </w:t>
      </w:r>
      <w:r>
        <w:t>in his</w:t>
      </w:r>
      <w:r>
        <w:rPr>
          <w:spacing w:val="-1"/>
        </w:rPr>
        <w:t xml:space="preserve"> </w:t>
      </w:r>
      <w:r>
        <w:t>studies</w:t>
      </w:r>
      <w:r>
        <w:rPr>
          <w:spacing w:val="-1"/>
        </w:rPr>
        <w:t xml:space="preserve"> </w:t>
      </w:r>
      <w:r>
        <w:t>in Denver City asserted</w:t>
      </w:r>
      <w:r>
        <w:rPr>
          <w:spacing w:val="-1"/>
        </w:rPr>
        <w:t xml:space="preserve"> </w:t>
      </w:r>
      <w:r>
        <w:t>that distance</w:t>
      </w:r>
      <w:r>
        <w:rPr>
          <w:spacing w:val="-1"/>
        </w:rPr>
        <w:t xml:space="preserve"> </w:t>
      </w:r>
      <w:r>
        <w:t xml:space="preserve">cannot always be used as a surrogate for measuring vulnerability. The distances used in his study of Denver City were rather crude, straight-line measures and did not consider the effect of topography. Accordingly; there may be low-lying areas at great distance from the source of the hazard; and while the distance measure may be large, the areas may be very vulnerable to flooding. Thus, distance may be an important factor influencing the choice of mitigation measures adoption in areas in closer proximity to a stream. However, other variables may come into play at farther distances as observed in the </w:t>
      </w:r>
      <w:proofErr w:type="spellStart"/>
      <w:r>
        <w:t>Forcados</w:t>
      </w:r>
      <w:proofErr w:type="spellEnd"/>
      <w:r>
        <w:t xml:space="preserve"> Basin.</w:t>
      </w:r>
    </w:p>
    <w:p w14:paraId="46FC8415" w14:textId="77777777" w:rsidR="007E20F1" w:rsidRDefault="007E20F1">
      <w:pPr>
        <w:pStyle w:val="BodyText"/>
        <w:spacing w:before="48"/>
      </w:pPr>
    </w:p>
    <w:p w14:paraId="6063E514" w14:textId="77777777" w:rsidR="007E20F1" w:rsidRDefault="00E026B7">
      <w:pPr>
        <w:pStyle w:val="BodyText"/>
        <w:spacing w:before="1" w:line="276" w:lineRule="auto"/>
        <w:ind w:left="165" w:right="163"/>
        <w:jc w:val="both"/>
      </w:pPr>
      <w:r>
        <w:t>The</w:t>
      </w:r>
      <w:r>
        <w:rPr>
          <w:spacing w:val="-5"/>
        </w:rPr>
        <w:t xml:space="preserve"> </w:t>
      </w:r>
      <w:r>
        <w:t>study</w:t>
      </w:r>
      <w:r>
        <w:rPr>
          <w:spacing w:val="-3"/>
        </w:rPr>
        <w:t xml:space="preserve"> </w:t>
      </w:r>
      <w:r>
        <w:t>revealed</w:t>
      </w:r>
      <w:r>
        <w:rPr>
          <w:spacing w:val="-4"/>
        </w:rPr>
        <w:t xml:space="preserve"> </w:t>
      </w:r>
      <w:r>
        <w:t>that</w:t>
      </w:r>
      <w:r>
        <w:rPr>
          <w:spacing w:val="-2"/>
        </w:rPr>
        <w:t xml:space="preserve"> </w:t>
      </w:r>
      <w:r>
        <w:t>the</w:t>
      </w:r>
      <w:r>
        <w:rPr>
          <w:spacing w:val="-2"/>
        </w:rPr>
        <w:t xml:space="preserve"> </w:t>
      </w:r>
      <w:r>
        <w:t>adoption</w:t>
      </w:r>
      <w:r>
        <w:rPr>
          <w:spacing w:val="-1"/>
        </w:rPr>
        <w:t xml:space="preserve"> </w:t>
      </w:r>
      <w:r>
        <w:t>of</w:t>
      </w:r>
      <w:r>
        <w:rPr>
          <w:spacing w:val="-4"/>
        </w:rPr>
        <w:t xml:space="preserve"> </w:t>
      </w:r>
      <w:r>
        <w:t>measures</w:t>
      </w:r>
      <w:r>
        <w:rPr>
          <w:spacing w:val="-2"/>
        </w:rPr>
        <w:t xml:space="preserve"> </w:t>
      </w:r>
      <w:r>
        <w:t>requiring</w:t>
      </w:r>
      <w:r>
        <w:rPr>
          <w:spacing w:val="-2"/>
        </w:rPr>
        <w:t xml:space="preserve"> </w:t>
      </w:r>
      <w:r>
        <w:t xml:space="preserve">planning and forethought is not related to location. Vulnerability on the other hand impels floodplain dwellers in the </w:t>
      </w:r>
      <w:proofErr w:type="spellStart"/>
      <w:r>
        <w:t>Forcados</w:t>
      </w:r>
      <w:proofErr w:type="spellEnd"/>
      <w:r>
        <w:t xml:space="preserve"> Basin to respond spontaneously</w:t>
      </w:r>
      <w:r>
        <w:rPr>
          <w:spacing w:val="41"/>
        </w:rPr>
        <w:t xml:space="preserve"> </w:t>
      </w:r>
      <w:r>
        <w:t>and</w:t>
      </w:r>
      <w:r>
        <w:rPr>
          <w:spacing w:val="44"/>
        </w:rPr>
        <w:t xml:space="preserve"> </w:t>
      </w:r>
      <w:r>
        <w:t>thus</w:t>
      </w:r>
      <w:r>
        <w:rPr>
          <w:spacing w:val="43"/>
        </w:rPr>
        <w:t xml:space="preserve"> </w:t>
      </w:r>
      <w:r>
        <w:t>resolves</w:t>
      </w:r>
      <w:r>
        <w:rPr>
          <w:spacing w:val="46"/>
        </w:rPr>
        <w:t xml:space="preserve"> </w:t>
      </w:r>
      <w:r>
        <w:t>to</w:t>
      </w:r>
      <w:r>
        <w:rPr>
          <w:spacing w:val="44"/>
        </w:rPr>
        <w:t xml:space="preserve"> </w:t>
      </w:r>
      <w:r>
        <w:t>evacuation</w:t>
      </w:r>
      <w:r>
        <w:rPr>
          <w:spacing w:val="44"/>
        </w:rPr>
        <w:t xml:space="preserve"> </w:t>
      </w:r>
      <w:r>
        <w:t>in</w:t>
      </w:r>
      <w:r>
        <w:rPr>
          <w:spacing w:val="42"/>
        </w:rPr>
        <w:t xml:space="preserve"> </w:t>
      </w:r>
      <w:r>
        <w:t>the</w:t>
      </w:r>
      <w:r>
        <w:rPr>
          <w:spacing w:val="45"/>
        </w:rPr>
        <w:t xml:space="preserve"> </w:t>
      </w:r>
      <w:r>
        <w:t>face</w:t>
      </w:r>
      <w:r>
        <w:rPr>
          <w:spacing w:val="43"/>
        </w:rPr>
        <w:t xml:space="preserve"> </w:t>
      </w:r>
      <w:r>
        <w:t>of</w:t>
      </w:r>
      <w:r>
        <w:rPr>
          <w:spacing w:val="47"/>
        </w:rPr>
        <w:t xml:space="preserve"> </w:t>
      </w:r>
      <w:r>
        <w:rPr>
          <w:spacing w:val="-2"/>
        </w:rPr>
        <w:t>flooding.</w:t>
      </w:r>
    </w:p>
    <w:p w14:paraId="73582D18"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18C6E317" w14:textId="77777777" w:rsidR="007E20F1" w:rsidRDefault="00E026B7">
      <w:pPr>
        <w:pStyle w:val="BodyText"/>
        <w:spacing w:before="82" w:line="276" w:lineRule="auto"/>
        <w:ind w:left="165" w:right="163"/>
        <w:jc w:val="both"/>
      </w:pPr>
      <w:r>
        <w:lastRenderedPageBreak/>
        <w:t xml:space="preserve">Although not popularly adopted in the </w:t>
      </w:r>
      <w:proofErr w:type="spellStart"/>
      <w:r>
        <w:t>Forcados</w:t>
      </w:r>
      <w:proofErr w:type="spellEnd"/>
      <w:r>
        <w:t xml:space="preserve"> Basin, flood insurance and flood-proofing require planning. The adoption of these measures in closer, more vulnerable areas may result from the wider publicity and awareness created than the other measures. The proximity of resource users to the stream coupled with intensified publicity of the aforementioned measures may lead to the wider adoption of flood mitigation measures in the </w:t>
      </w:r>
      <w:proofErr w:type="spellStart"/>
      <w:r>
        <w:t>Forcados</w:t>
      </w:r>
      <w:proofErr w:type="spellEnd"/>
      <w:r>
        <w:t xml:space="preserve"> Basin of the Niger Delta region.</w:t>
      </w:r>
    </w:p>
    <w:p w14:paraId="21029617" w14:textId="77777777" w:rsidR="007E20F1" w:rsidRDefault="007E20F1">
      <w:pPr>
        <w:pStyle w:val="BodyText"/>
      </w:pPr>
    </w:p>
    <w:p w14:paraId="7B44B4B0" w14:textId="77777777" w:rsidR="007E20F1" w:rsidRDefault="007E20F1">
      <w:pPr>
        <w:pStyle w:val="BodyText"/>
        <w:spacing w:before="93"/>
      </w:pPr>
    </w:p>
    <w:p w14:paraId="15D4B6F5" w14:textId="77777777" w:rsidR="007E20F1" w:rsidRDefault="00E026B7" w:rsidP="002023A5">
      <w:pPr>
        <w:pStyle w:val="Heading1"/>
        <w:numPr>
          <w:ilvl w:val="0"/>
          <w:numId w:val="6"/>
        </w:numPr>
      </w:pPr>
      <w:r>
        <w:rPr>
          <w:spacing w:val="-2"/>
        </w:rPr>
        <w:t>Conclusions</w:t>
      </w:r>
    </w:p>
    <w:p w14:paraId="1C7B8197" w14:textId="77777777" w:rsidR="007E20F1" w:rsidRDefault="00E026B7">
      <w:pPr>
        <w:pStyle w:val="BodyText"/>
        <w:spacing w:before="49" w:line="276" w:lineRule="auto"/>
        <w:ind w:left="165" w:right="163"/>
        <w:jc w:val="both"/>
      </w:pPr>
      <w:r>
        <w:t>Space</w:t>
      </w:r>
      <w:r>
        <w:rPr>
          <w:spacing w:val="-2"/>
        </w:rPr>
        <w:t xml:space="preserve"> </w:t>
      </w:r>
      <w:r>
        <w:t>perception</w:t>
      </w:r>
      <w:r>
        <w:rPr>
          <w:spacing w:val="-4"/>
        </w:rPr>
        <w:t xml:space="preserve"> </w:t>
      </w:r>
      <w:r>
        <w:t>and</w:t>
      </w:r>
      <w:r>
        <w:rPr>
          <w:spacing w:val="-2"/>
        </w:rPr>
        <w:t xml:space="preserve"> </w:t>
      </w:r>
      <w:r>
        <w:t>locational</w:t>
      </w:r>
      <w:r>
        <w:rPr>
          <w:spacing w:val="-2"/>
        </w:rPr>
        <w:t xml:space="preserve"> </w:t>
      </w:r>
      <w:r>
        <w:t>decisions</w:t>
      </w:r>
      <w:r>
        <w:rPr>
          <w:spacing w:val="-2"/>
        </w:rPr>
        <w:t xml:space="preserve"> </w:t>
      </w:r>
      <w:r>
        <w:t>influence</w:t>
      </w:r>
      <w:r>
        <w:rPr>
          <w:spacing w:val="-2"/>
        </w:rPr>
        <w:t xml:space="preserve"> </w:t>
      </w:r>
      <w:r>
        <w:t>the</w:t>
      </w:r>
      <w:r>
        <w:rPr>
          <w:spacing w:val="-2"/>
        </w:rPr>
        <w:t xml:space="preserve"> </w:t>
      </w:r>
      <w:r>
        <w:t>adoption</w:t>
      </w:r>
      <w:r>
        <w:rPr>
          <w:spacing w:val="-1"/>
        </w:rPr>
        <w:t xml:space="preserve"> </w:t>
      </w:r>
      <w:r>
        <w:t>of</w:t>
      </w:r>
      <w:r>
        <w:rPr>
          <w:spacing w:val="-1"/>
        </w:rPr>
        <w:t xml:space="preserve"> </w:t>
      </w:r>
      <w:r>
        <w:t xml:space="preserve">flood hazards mitigation measures in the </w:t>
      </w:r>
      <w:proofErr w:type="spellStart"/>
      <w:r>
        <w:t>Forcados</w:t>
      </w:r>
      <w:proofErr w:type="spellEnd"/>
      <w:r>
        <w:t xml:space="preserve"> Basin of the Niger Delta </w:t>
      </w:r>
      <w:r>
        <w:rPr>
          <w:spacing w:val="-2"/>
        </w:rPr>
        <w:t>region.</w:t>
      </w:r>
    </w:p>
    <w:p w14:paraId="49273441" w14:textId="77777777" w:rsidR="007E20F1" w:rsidRDefault="00E026B7">
      <w:pPr>
        <w:pStyle w:val="ListParagraph"/>
        <w:numPr>
          <w:ilvl w:val="0"/>
          <w:numId w:val="1"/>
        </w:numPr>
        <w:tabs>
          <w:tab w:val="left" w:pos="525"/>
        </w:tabs>
        <w:spacing w:line="276" w:lineRule="auto"/>
        <w:rPr>
          <w:sz w:val="28"/>
        </w:rPr>
      </w:pPr>
      <w:r>
        <w:rPr>
          <w:sz w:val="28"/>
        </w:rPr>
        <w:t>In the riverine urban communities, little is known about non- structural flood mitigation measures and the residents depended on engineering structures to control the effects of flooding and this has greatly encouraged encroachment on the protected areas along the natural levees.</w:t>
      </w:r>
    </w:p>
    <w:p w14:paraId="000C7683" w14:textId="77777777" w:rsidR="007E20F1" w:rsidRDefault="00E026B7">
      <w:pPr>
        <w:pStyle w:val="ListParagraph"/>
        <w:numPr>
          <w:ilvl w:val="0"/>
          <w:numId w:val="1"/>
        </w:numPr>
        <w:tabs>
          <w:tab w:val="left" w:pos="525"/>
        </w:tabs>
        <w:spacing w:line="276" w:lineRule="auto"/>
        <w:rPr>
          <w:sz w:val="28"/>
        </w:rPr>
      </w:pPr>
      <w:r>
        <w:rPr>
          <w:sz w:val="28"/>
        </w:rPr>
        <w:t xml:space="preserve">Distance and location from the stream influenced the choice of flood mitigation measures adopted in the </w:t>
      </w:r>
      <w:proofErr w:type="spellStart"/>
      <w:r>
        <w:rPr>
          <w:sz w:val="28"/>
        </w:rPr>
        <w:t>Forcados</w:t>
      </w:r>
      <w:proofErr w:type="spellEnd"/>
      <w:r>
        <w:rPr>
          <w:sz w:val="28"/>
        </w:rPr>
        <w:t xml:space="preserve"> Basin, while the adoption of sandbagging, emergency evacuation and flood-proofing were significantly associated with the distance from the flood fringe, other variables may come into play at farther distances as observed in the Basin.</w:t>
      </w:r>
    </w:p>
    <w:p w14:paraId="792B2B58" w14:textId="77777777" w:rsidR="007E20F1" w:rsidRDefault="00E026B7">
      <w:pPr>
        <w:pStyle w:val="ListParagraph"/>
        <w:numPr>
          <w:ilvl w:val="0"/>
          <w:numId w:val="1"/>
        </w:numPr>
        <w:tabs>
          <w:tab w:val="left" w:pos="525"/>
        </w:tabs>
        <w:spacing w:line="276" w:lineRule="auto"/>
        <w:rPr>
          <w:sz w:val="28"/>
        </w:rPr>
      </w:pPr>
      <w:r>
        <w:rPr>
          <w:sz w:val="28"/>
        </w:rPr>
        <w:t>The adoption of measures requiring planning and forethought is not related to location. The residents in very vulnerable areas in the basin responded spontaneously and resolved to immediate evacuation in</w:t>
      </w:r>
      <w:r>
        <w:rPr>
          <w:spacing w:val="40"/>
          <w:sz w:val="28"/>
        </w:rPr>
        <w:t xml:space="preserve"> </w:t>
      </w:r>
      <w:r>
        <w:rPr>
          <w:sz w:val="28"/>
        </w:rPr>
        <w:t>the face of flooding.</w:t>
      </w:r>
    </w:p>
    <w:p w14:paraId="082AD22C" w14:textId="77777777" w:rsidR="007E20F1" w:rsidRDefault="00E026B7">
      <w:pPr>
        <w:pStyle w:val="ListParagraph"/>
        <w:numPr>
          <w:ilvl w:val="0"/>
          <w:numId w:val="1"/>
        </w:numPr>
        <w:tabs>
          <w:tab w:val="left" w:pos="525"/>
        </w:tabs>
        <w:spacing w:line="276" w:lineRule="auto"/>
        <w:rPr>
          <w:sz w:val="28"/>
        </w:rPr>
      </w:pPr>
      <w:r>
        <w:rPr>
          <w:sz w:val="28"/>
        </w:rPr>
        <w:t>Flood insurance and flood-proofing require adequate planning and legislation. The adoption of these measures will depend on a basin wide publicity and awareness created in the study area.</w:t>
      </w:r>
    </w:p>
    <w:p w14:paraId="6DCDA531" w14:textId="77777777" w:rsidR="007E20F1" w:rsidRDefault="007E20F1">
      <w:pPr>
        <w:pStyle w:val="BodyText"/>
      </w:pPr>
    </w:p>
    <w:p w14:paraId="05474662" w14:textId="77777777" w:rsidR="007E20F1" w:rsidRDefault="007E20F1">
      <w:pPr>
        <w:pStyle w:val="BodyText"/>
      </w:pPr>
    </w:p>
    <w:p w14:paraId="1A63E190" w14:textId="77777777" w:rsidR="007E20F1" w:rsidRDefault="007E20F1">
      <w:pPr>
        <w:pStyle w:val="BodyText"/>
        <w:spacing w:before="144"/>
      </w:pPr>
    </w:p>
    <w:p w14:paraId="04D1217D" w14:textId="77777777" w:rsidR="007E20F1" w:rsidRDefault="00E026B7">
      <w:pPr>
        <w:pStyle w:val="Heading1"/>
        <w:ind w:left="3875"/>
      </w:pPr>
      <w:r>
        <w:rPr>
          <w:spacing w:val="-2"/>
        </w:rPr>
        <w:t>References</w:t>
      </w:r>
    </w:p>
    <w:p w14:paraId="65FE7985" w14:textId="77777777" w:rsidR="007E20F1" w:rsidRDefault="00E026B7">
      <w:pPr>
        <w:pStyle w:val="BodyText"/>
        <w:tabs>
          <w:tab w:val="left" w:pos="1304"/>
          <w:tab w:val="left" w:pos="1604"/>
          <w:tab w:val="left" w:pos="2012"/>
          <w:tab w:val="left" w:pos="3174"/>
          <w:tab w:val="left" w:pos="4225"/>
          <w:tab w:val="left" w:pos="4988"/>
          <w:tab w:val="left" w:pos="6155"/>
          <w:tab w:val="left" w:pos="7516"/>
          <w:tab w:val="left" w:pos="8166"/>
        </w:tabs>
        <w:spacing w:before="46" w:line="276" w:lineRule="auto"/>
        <w:ind w:left="165" w:right="163"/>
      </w:pPr>
      <w:r>
        <w:rPr>
          <w:spacing w:val="-2"/>
        </w:rPr>
        <w:t>Abbott,</w:t>
      </w:r>
      <w:r>
        <w:tab/>
      </w:r>
      <w:r>
        <w:rPr>
          <w:spacing w:val="-4"/>
        </w:rPr>
        <w:t>L.P.</w:t>
      </w:r>
      <w:r>
        <w:tab/>
      </w:r>
      <w:r>
        <w:rPr>
          <w:spacing w:val="-2"/>
        </w:rPr>
        <w:t>(2004).</w:t>
      </w:r>
      <w:r>
        <w:tab/>
      </w:r>
      <w:r>
        <w:rPr>
          <w:spacing w:val="-2"/>
        </w:rPr>
        <w:t>Floods</w:t>
      </w:r>
      <w:r>
        <w:tab/>
      </w:r>
      <w:r>
        <w:rPr>
          <w:spacing w:val="-4"/>
        </w:rPr>
        <w:t>(in):</w:t>
      </w:r>
      <w:r>
        <w:tab/>
      </w:r>
      <w:r>
        <w:rPr>
          <w:spacing w:val="-2"/>
        </w:rPr>
        <w:t>Natural</w:t>
      </w:r>
      <w:r>
        <w:tab/>
      </w:r>
      <w:r>
        <w:rPr>
          <w:spacing w:val="-2"/>
        </w:rPr>
        <w:t>Disasters</w:t>
      </w:r>
      <w:r>
        <w:tab/>
      </w:r>
      <w:r>
        <w:rPr>
          <w:spacing w:val="-4"/>
        </w:rPr>
        <w:t>(4</w:t>
      </w:r>
      <w:proofErr w:type="spellStart"/>
      <w:r>
        <w:rPr>
          <w:spacing w:val="-4"/>
          <w:position w:val="9"/>
          <w:sz w:val="18"/>
        </w:rPr>
        <w:t>th</w:t>
      </w:r>
      <w:proofErr w:type="spellEnd"/>
      <w:r>
        <w:rPr>
          <w:position w:val="9"/>
          <w:sz w:val="18"/>
        </w:rPr>
        <w:tab/>
      </w:r>
      <w:r>
        <w:rPr>
          <w:spacing w:val="-2"/>
        </w:rPr>
        <w:t>Edition) McGraw-</w:t>
      </w:r>
      <w:r>
        <w:tab/>
        <w:t>Hill. pp. 334-364.</w:t>
      </w:r>
    </w:p>
    <w:p w14:paraId="6E88DD99" w14:textId="77777777" w:rsidR="007E20F1" w:rsidRDefault="007E20F1">
      <w:pPr>
        <w:pStyle w:val="BodyText"/>
        <w:spacing w:line="276" w:lineRule="auto"/>
        <w:sectPr w:rsidR="007E20F1">
          <w:pgSz w:w="11910" w:h="16840"/>
          <w:pgMar w:top="1340" w:right="1275" w:bottom="1040" w:left="1275" w:header="0" w:footer="803" w:gutter="0"/>
          <w:cols w:space="720"/>
        </w:sectPr>
      </w:pPr>
    </w:p>
    <w:p w14:paraId="13AA2135" w14:textId="77777777" w:rsidR="007E20F1" w:rsidRDefault="00E026B7">
      <w:pPr>
        <w:pStyle w:val="BodyText"/>
        <w:spacing w:before="82" w:line="276" w:lineRule="auto"/>
        <w:ind w:left="885" w:right="163" w:hanging="720"/>
        <w:jc w:val="both"/>
      </w:pPr>
      <w:r>
        <w:lastRenderedPageBreak/>
        <w:t>Andjelkovic, I. (2001). Guidelines on Non-Structural measures in Urban Flood</w:t>
      </w:r>
      <w:r>
        <w:rPr>
          <w:spacing w:val="-5"/>
        </w:rPr>
        <w:t xml:space="preserve"> </w:t>
      </w:r>
      <w:r>
        <w:t>Management,</w:t>
      </w:r>
      <w:r>
        <w:rPr>
          <w:spacing w:val="-1"/>
        </w:rPr>
        <w:t xml:space="preserve"> </w:t>
      </w:r>
      <w:r>
        <w:t>International</w:t>
      </w:r>
      <w:r>
        <w:rPr>
          <w:spacing w:val="-3"/>
        </w:rPr>
        <w:t xml:space="preserve"> </w:t>
      </w:r>
      <w:r>
        <w:t>Hydrological</w:t>
      </w:r>
      <w:r>
        <w:rPr>
          <w:spacing w:val="-3"/>
        </w:rPr>
        <w:t xml:space="preserve"> </w:t>
      </w:r>
      <w:proofErr w:type="spellStart"/>
      <w:r>
        <w:t>Programme</w:t>
      </w:r>
      <w:proofErr w:type="spellEnd"/>
      <w:r>
        <w:rPr>
          <w:spacing w:val="-3"/>
        </w:rPr>
        <w:t xml:space="preserve"> </w:t>
      </w:r>
      <w:r>
        <w:t>-</w:t>
      </w:r>
      <w:r>
        <w:rPr>
          <w:spacing w:val="-4"/>
        </w:rPr>
        <w:t xml:space="preserve"> </w:t>
      </w:r>
      <w:proofErr w:type="spellStart"/>
      <w:r>
        <w:t>vol</w:t>
      </w:r>
      <w:proofErr w:type="spellEnd"/>
      <w:r>
        <w:rPr>
          <w:spacing w:val="-3"/>
        </w:rPr>
        <w:t xml:space="preserve"> </w:t>
      </w:r>
      <w:r>
        <w:t>5. Technical document in hydrology, UNESCO, Paris, pp. 25-29.</w:t>
      </w:r>
    </w:p>
    <w:p w14:paraId="00C8B404" w14:textId="77777777" w:rsidR="007E20F1" w:rsidRDefault="007E20F1">
      <w:pPr>
        <w:pStyle w:val="BodyText"/>
        <w:spacing w:before="45"/>
      </w:pPr>
    </w:p>
    <w:p w14:paraId="2EAEB50D" w14:textId="77777777" w:rsidR="007E20F1" w:rsidRDefault="00E026B7">
      <w:pPr>
        <w:pStyle w:val="BodyText"/>
        <w:spacing w:before="1" w:line="276" w:lineRule="auto"/>
        <w:ind w:left="165" w:right="163"/>
        <w:jc w:val="both"/>
      </w:pPr>
      <w:proofErr w:type="spellStart"/>
      <w:r>
        <w:t>Atakpu</w:t>
      </w:r>
      <w:proofErr w:type="spellEnd"/>
      <w:r>
        <w:t xml:space="preserve">, L. (2001). World Commission on Dams, Flood Disaster in </w:t>
      </w:r>
      <w:proofErr w:type="gramStart"/>
      <w:r>
        <w:t>Northern</w:t>
      </w:r>
      <w:r>
        <w:rPr>
          <w:spacing w:val="40"/>
        </w:rPr>
        <w:t xml:space="preserve">  </w:t>
      </w:r>
      <w:r>
        <w:t>Nigeria</w:t>
      </w:r>
      <w:proofErr w:type="gramEnd"/>
      <w:r>
        <w:t>.</w:t>
      </w:r>
    </w:p>
    <w:p w14:paraId="7F648504" w14:textId="77777777" w:rsidR="007E20F1" w:rsidRDefault="007E20F1">
      <w:pPr>
        <w:pStyle w:val="BodyText"/>
        <w:spacing w:before="49"/>
      </w:pPr>
    </w:p>
    <w:p w14:paraId="4E4FF93A" w14:textId="77777777" w:rsidR="007E20F1" w:rsidRDefault="00E026B7">
      <w:pPr>
        <w:pStyle w:val="BodyText"/>
        <w:spacing w:line="276" w:lineRule="auto"/>
        <w:ind w:left="165" w:right="163"/>
        <w:jc w:val="both"/>
      </w:pPr>
      <w:r>
        <w:t xml:space="preserve">Baker, E.J. (1979). “Predicting Response to Hurricane Warning: An </w:t>
      </w:r>
      <w:proofErr w:type="gramStart"/>
      <w:r>
        <w:t>Analysis</w:t>
      </w:r>
      <w:r>
        <w:rPr>
          <w:spacing w:val="80"/>
        </w:rPr>
        <w:t xml:space="preserve">  </w:t>
      </w:r>
      <w:r>
        <w:t>of</w:t>
      </w:r>
      <w:proofErr w:type="gramEnd"/>
      <w:r>
        <w:t xml:space="preserve"> Data from Four studies” Mass Emergencies, Vol 4, pp. 9- </w:t>
      </w:r>
      <w:r>
        <w:rPr>
          <w:spacing w:val="-4"/>
        </w:rPr>
        <w:t>24.</w:t>
      </w:r>
    </w:p>
    <w:p w14:paraId="6D191796" w14:textId="77777777" w:rsidR="007E20F1" w:rsidRDefault="007E20F1">
      <w:pPr>
        <w:pStyle w:val="BodyText"/>
        <w:spacing w:before="46"/>
      </w:pPr>
    </w:p>
    <w:p w14:paraId="76AAB672" w14:textId="77777777" w:rsidR="007E20F1" w:rsidRDefault="00E026B7">
      <w:pPr>
        <w:pStyle w:val="BodyText"/>
        <w:spacing w:line="276" w:lineRule="auto"/>
        <w:ind w:left="165" w:right="164"/>
        <w:jc w:val="both"/>
      </w:pPr>
      <w:r>
        <w:t xml:space="preserve">Bauman, D.D. and Sims, J.H. (1978). “Flood Insurance: Some </w:t>
      </w:r>
      <w:proofErr w:type="gramStart"/>
      <w:r>
        <w:t>Determinants</w:t>
      </w:r>
      <w:r>
        <w:rPr>
          <w:spacing w:val="80"/>
        </w:rPr>
        <w:t xml:space="preserve">  </w:t>
      </w:r>
      <w:r>
        <w:t>of</w:t>
      </w:r>
      <w:proofErr w:type="gramEnd"/>
      <w:r>
        <w:t xml:space="preserve"> Adoption.” Economic Geography Vol. 54, pp. 189 - </w:t>
      </w:r>
      <w:r>
        <w:rPr>
          <w:spacing w:val="-4"/>
        </w:rPr>
        <w:t>196.</w:t>
      </w:r>
    </w:p>
    <w:p w14:paraId="0E26356B" w14:textId="77777777" w:rsidR="007E20F1" w:rsidRDefault="007E20F1">
      <w:pPr>
        <w:pStyle w:val="BodyText"/>
        <w:spacing w:before="48"/>
      </w:pPr>
    </w:p>
    <w:p w14:paraId="6ADC030A" w14:textId="77777777" w:rsidR="007E20F1" w:rsidRDefault="00E026B7">
      <w:pPr>
        <w:pStyle w:val="BodyText"/>
        <w:spacing w:line="276" w:lineRule="auto"/>
        <w:ind w:left="165" w:right="164"/>
        <w:jc w:val="both"/>
      </w:pPr>
      <w:r>
        <w:t>Burton, I.R.; Kates, R.W. &amp; White G.F. (1979). The Environment as Hazard</w:t>
      </w:r>
      <w:proofErr w:type="gramStart"/>
      <w:r>
        <w:t>,</w:t>
      </w:r>
      <w:r>
        <w:rPr>
          <w:spacing w:val="80"/>
          <w:w w:val="150"/>
        </w:rPr>
        <w:t xml:space="preserve">  </w:t>
      </w:r>
      <w:r>
        <w:t>Oxford</w:t>
      </w:r>
      <w:proofErr w:type="gramEnd"/>
      <w:r>
        <w:t xml:space="preserve"> University Press, Oxford, pp.35 – 37.</w:t>
      </w:r>
    </w:p>
    <w:p w14:paraId="156D872E" w14:textId="77777777" w:rsidR="007E20F1" w:rsidRDefault="007E20F1">
      <w:pPr>
        <w:pStyle w:val="BodyText"/>
        <w:spacing w:before="47"/>
      </w:pPr>
    </w:p>
    <w:p w14:paraId="25E79C98" w14:textId="77777777" w:rsidR="007E20F1" w:rsidRDefault="00E026B7">
      <w:pPr>
        <w:pStyle w:val="BodyText"/>
        <w:spacing w:line="276" w:lineRule="auto"/>
        <w:ind w:left="165" w:right="163"/>
        <w:jc w:val="both"/>
      </w:pPr>
      <w:r>
        <w:t xml:space="preserve">Cooke, R.U. and </w:t>
      </w:r>
      <w:proofErr w:type="spellStart"/>
      <w:r>
        <w:t>Doornkamp</w:t>
      </w:r>
      <w:proofErr w:type="spellEnd"/>
      <w:r>
        <w:t xml:space="preserve">, J.C. (2015). Geomorphology in </w:t>
      </w:r>
      <w:proofErr w:type="gramStart"/>
      <w:r>
        <w:t>Environmental</w:t>
      </w:r>
      <w:r>
        <w:rPr>
          <w:spacing w:val="71"/>
        </w:rPr>
        <w:t xml:space="preserve">  </w:t>
      </w:r>
      <w:r>
        <w:t>Management</w:t>
      </w:r>
      <w:proofErr w:type="gramEnd"/>
      <w:r>
        <w:t>:</w:t>
      </w:r>
      <w:r>
        <w:rPr>
          <w:spacing w:val="63"/>
        </w:rPr>
        <w:t xml:space="preserve"> </w:t>
      </w:r>
      <w:r>
        <w:t>A</w:t>
      </w:r>
      <w:r>
        <w:rPr>
          <w:spacing w:val="61"/>
        </w:rPr>
        <w:t xml:space="preserve"> </w:t>
      </w:r>
      <w:r>
        <w:t>New</w:t>
      </w:r>
      <w:r>
        <w:rPr>
          <w:spacing w:val="63"/>
        </w:rPr>
        <w:t xml:space="preserve"> </w:t>
      </w:r>
      <w:r>
        <w:t>Introduction.</w:t>
      </w:r>
      <w:r>
        <w:rPr>
          <w:spacing w:val="61"/>
        </w:rPr>
        <w:t xml:space="preserve"> </w:t>
      </w:r>
      <w:proofErr w:type="spellStart"/>
      <w:r>
        <w:t>Clarradom</w:t>
      </w:r>
      <w:proofErr w:type="spellEnd"/>
      <w:r>
        <w:rPr>
          <w:spacing w:val="63"/>
        </w:rPr>
        <w:t xml:space="preserve"> </w:t>
      </w:r>
      <w:r>
        <w:rPr>
          <w:spacing w:val="-2"/>
        </w:rPr>
        <w:t>Press,</w:t>
      </w:r>
    </w:p>
    <w:p w14:paraId="416F457E" w14:textId="77777777" w:rsidR="007E20F1" w:rsidRDefault="00E026B7">
      <w:pPr>
        <w:pStyle w:val="BodyText"/>
        <w:ind w:left="165"/>
      </w:pPr>
      <w:r>
        <w:t>pp.</w:t>
      </w:r>
      <w:r>
        <w:rPr>
          <w:spacing w:val="-12"/>
        </w:rPr>
        <w:t xml:space="preserve"> </w:t>
      </w:r>
      <w:r>
        <w:t>160-</w:t>
      </w:r>
      <w:r>
        <w:rPr>
          <w:spacing w:val="-4"/>
        </w:rPr>
        <w:t>168.</w:t>
      </w:r>
    </w:p>
    <w:p w14:paraId="64C9B72E" w14:textId="77777777" w:rsidR="007E20F1" w:rsidRDefault="007E20F1">
      <w:pPr>
        <w:pStyle w:val="BodyText"/>
        <w:spacing w:before="96"/>
      </w:pPr>
    </w:p>
    <w:p w14:paraId="298559B2" w14:textId="77777777" w:rsidR="007E20F1" w:rsidRDefault="00E026B7">
      <w:pPr>
        <w:pStyle w:val="BodyText"/>
        <w:spacing w:line="276" w:lineRule="auto"/>
        <w:ind w:left="165" w:right="163"/>
        <w:jc w:val="both"/>
      </w:pPr>
      <w:r>
        <w:t>Criss, R.E. and Shock, E. (2001). Flood Enhancement through Flood Control.</w:t>
      </w:r>
      <w:r>
        <w:rPr>
          <w:spacing w:val="80"/>
          <w:w w:val="150"/>
        </w:rPr>
        <w:t xml:space="preserve">  </w:t>
      </w:r>
      <w:r>
        <w:t>Geology, Vol 29, pp. 875 - 878.</w:t>
      </w:r>
    </w:p>
    <w:p w14:paraId="7BCED069" w14:textId="77777777" w:rsidR="007E20F1" w:rsidRDefault="007E20F1">
      <w:pPr>
        <w:pStyle w:val="BodyText"/>
        <w:spacing w:before="47"/>
      </w:pPr>
    </w:p>
    <w:p w14:paraId="481E48AD" w14:textId="77777777" w:rsidR="007E20F1" w:rsidRDefault="00E026B7">
      <w:pPr>
        <w:pStyle w:val="BodyText"/>
        <w:spacing w:line="276" w:lineRule="auto"/>
        <w:ind w:left="165" w:right="164"/>
        <w:jc w:val="both"/>
      </w:pPr>
      <w:r>
        <w:t>Erickson, N.</w:t>
      </w:r>
      <w:r>
        <w:rPr>
          <w:spacing w:val="-1"/>
        </w:rPr>
        <w:t xml:space="preserve"> </w:t>
      </w:r>
      <w:r>
        <w:t>J. (2010).</w:t>
      </w:r>
      <w:r>
        <w:rPr>
          <w:spacing w:val="-1"/>
        </w:rPr>
        <w:t xml:space="preserve"> </w:t>
      </w:r>
      <w:r>
        <w:t>Creating Flood</w:t>
      </w:r>
      <w:r>
        <w:rPr>
          <w:spacing w:val="-1"/>
        </w:rPr>
        <w:t xml:space="preserve"> </w:t>
      </w:r>
      <w:r>
        <w:t>Disasters? New</w:t>
      </w:r>
      <w:r>
        <w:rPr>
          <w:spacing w:val="-1"/>
        </w:rPr>
        <w:t xml:space="preserve"> </w:t>
      </w:r>
      <w:r>
        <w:t>Zealand’s</w:t>
      </w:r>
      <w:r>
        <w:rPr>
          <w:spacing w:val="-1"/>
        </w:rPr>
        <w:t xml:space="preserve"> </w:t>
      </w:r>
      <w:r>
        <w:t>need</w:t>
      </w:r>
      <w:r>
        <w:rPr>
          <w:spacing w:val="-1"/>
        </w:rPr>
        <w:t xml:space="preserve"> </w:t>
      </w:r>
      <w:r>
        <w:t>for a</w:t>
      </w:r>
      <w:r>
        <w:rPr>
          <w:spacing w:val="72"/>
        </w:rPr>
        <w:t xml:space="preserve">    </w:t>
      </w:r>
      <w:r>
        <w:t>New</w:t>
      </w:r>
      <w:r>
        <w:rPr>
          <w:spacing w:val="33"/>
        </w:rPr>
        <w:t xml:space="preserve"> </w:t>
      </w:r>
      <w:r>
        <w:t>Approach</w:t>
      </w:r>
      <w:r>
        <w:rPr>
          <w:spacing w:val="31"/>
        </w:rPr>
        <w:t xml:space="preserve"> </w:t>
      </w:r>
      <w:r>
        <w:t>to</w:t>
      </w:r>
      <w:r>
        <w:rPr>
          <w:spacing w:val="31"/>
        </w:rPr>
        <w:t xml:space="preserve"> </w:t>
      </w:r>
      <w:r>
        <w:t>Urban</w:t>
      </w:r>
      <w:r>
        <w:rPr>
          <w:spacing w:val="31"/>
        </w:rPr>
        <w:t xml:space="preserve"> </w:t>
      </w:r>
      <w:r>
        <w:t>Flood</w:t>
      </w:r>
      <w:r>
        <w:rPr>
          <w:spacing w:val="31"/>
        </w:rPr>
        <w:t xml:space="preserve"> </w:t>
      </w:r>
      <w:r>
        <w:t>Hazards.</w:t>
      </w:r>
      <w:r>
        <w:rPr>
          <w:spacing w:val="33"/>
        </w:rPr>
        <w:t xml:space="preserve"> </w:t>
      </w:r>
      <w:r>
        <w:t>National</w:t>
      </w:r>
      <w:r>
        <w:rPr>
          <w:spacing w:val="30"/>
        </w:rPr>
        <w:t xml:space="preserve"> </w:t>
      </w:r>
      <w:r>
        <w:t>Water</w:t>
      </w:r>
      <w:r>
        <w:rPr>
          <w:spacing w:val="32"/>
        </w:rPr>
        <w:t xml:space="preserve"> </w:t>
      </w:r>
      <w:r>
        <w:t>and</w:t>
      </w:r>
      <w:r>
        <w:rPr>
          <w:spacing w:val="31"/>
        </w:rPr>
        <w:t xml:space="preserve"> </w:t>
      </w:r>
      <w:r>
        <w:rPr>
          <w:spacing w:val="-4"/>
        </w:rPr>
        <w:t>Soil</w:t>
      </w:r>
    </w:p>
    <w:p w14:paraId="4CD6EA7E" w14:textId="77777777" w:rsidR="007E20F1" w:rsidRDefault="00E026B7">
      <w:pPr>
        <w:pStyle w:val="BodyText"/>
        <w:ind w:left="885"/>
      </w:pPr>
      <w:r>
        <w:t>Conservation</w:t>
      </w:r>
      <w:r>
        <w:rPr>
          <w:spacing w:val="-11"/>
        </w:rPr>
        <w:t xml:space="preserve"> </w:t>
      </w:r>
      <w:r>
        <w:t>Authority,</w:t>
      </w:r>
      <w:r>
        <w:rPr>
          <w:spacing w:val="-9"/>
        </w:rPr>
        <w:t xml:space="preserve"> </w:t>
      </w:r>
      <w:r>
        <w:rPr>
          <w:spacing w:val="-2"/>
        </w:rPr>
        <w:t>Wellington.</w:t>
      </w:r>
    </w:p>
    <w:p w14:paraId="6BEEAED9" w14:textId="77777777" w:rsidR="007E20F1" w:rsidRDefault="007E20F1">
      <w:pPr>
        <w:pStyle w:val="BodyText"/>
        <w:spacing w:before="96"/>
      </w:pPr>
    </w:p>
    <w:p w14:paraId="3EB6BB2F" w14:textId="77777777" w:rsidR="007E20F1" w:rsidRDefault="00E026B7">
      <w:pPr>
        <w:pStyle w:val="BodyText"/>
        <w:spacing w:line="276" w:lineRule="auto"/>
        <w:ind w:left="885" w:right="164" w:hanging="720"/>
        <w:jc w:val="both"/>
      </w:pPr>
      <w:r>
        <w:t xml:space="preserve">McNeil, J. R. (2000), Something New Under the Sun. New York: W.W. </w:t>
      </w:r>
      <w:proofErr w:type="spellStart"/>
      <w:r>
        <w:t>Northon</w:t>
      </w:r>
      <w:proofErr w:type="spellEnd"/>
      <w:r>
        <w:t>, p. 4.</w:t>
      </w:r>
    </w:p>
    <w:p w14:paraId="0337D9C3" w14:textId="77777777" w:rsidR="007E20F1" w:rsidRDefault="007E20F1">
      <w:pPr>
        <w:pStyle w:val="BodyText"/>
        <w:spacing w:before="49"/>
      </w:pPr>
    </w:p>
    <w:p w14:paraId="10A9BF98" w14:textId="77777777" w:rsidR="007E20F1" w:rsidRDefault="00E026B7">
      <w:pPr>
        <w:pStyle w:val="BodyText"/>
        <w:spacing w:line="276" w:lineRule="auto"/>
        <w:ind w:left="885" w:right="165" w:hanging="720"/>
        <w:jc w:val="both"/>
      </w:pPr>
      <w:r>
        <w:t>Montz. B. E. (1982). Location and the Adoption of Hazard Mitigation Measures (In): The Professional Geographer, Vol. 34:416 - 422.</w:t>
      </w:r>
    </w:p>
    <w:p w14:paraId="5B27F513" w14:textId="77777777" w:rsidR="007E20F1" w:rsidRDefault="007E20F1">
      <w:pPr>
        <w:pStyle w:val="BodyText"/>
        <w:spacing w:before="47"/>
      </w:pPr>
    </w:p>
    <w:p w14:paraId="26F1B5FE" w14:textId="77777777" w:rsidR="007E20F1" w:rsidRDefault="00E026B7">
      <w:pPr>
        <w:pStyle w:val="BodyText"/>
        <w:spacing w:line="276" w:lineRule="auto"/>
        <w:ind w:left="885" w:right="164" w:hanging="720"/>
        <w:jc w:val="both"/>
      </w:pPr>
      <w:r>
        <w:t>NDRDMP, (2007), Federal Republic of Nigeria: Niger Delta Regional Development Master Plan. NDDC. pp. 59-63.</w:t>
      </w:r>
    </w:p>
    <w:p w14:paraId="21DF8DD1" w14:textId="77777777" w:rsidR="007E20F1" w:rsidRDefault="007E20F1">
      <w:pPr>
        <w:pStyle w:val="BodyText"/>
        <w:spacing w:line="276" w:lineRule="auto"/>
        <w:jc w:val="both"/>
        <w:sectPr w:rsidR="007E20F1">
          <w:pgSz w:w="11910" w:h="16840"/>
          <w:pgMar w:top="1340" w:right="1275" w:bottom="1040" w:left="1275" w:header="0" w:footer="803" w:gutter="0"/>
          <w:cols w:space="720"/>
        </w:sectPr>
      </w:pPr>
    </w:p>
    <w:p w14:paraId="18505BC7" w14:textId="77777777" w:rsidR="007E20F1" w:rsidRDefault="00E026B7">
      <w:pPr>
        <w:pStyle w:val="BodyText"/>
        <w:tabs>
          <w:tab w:val="left" w:pos="884"/>
        </w:tabs>
        <w:spacing w:before="82" w:line="276" w:lineRule="auto"/>
        <w:ind w:left="165" w:right="164"/>
      </w:pPr>
      <w:r>
        <w:lastRenderedPageBreak/>
        <w:t>Perry,</w:t>
      </w:r>
      <w:r>
        <w:rPr>
          <w:spacing w:val="35"/>
        </w:rPr>
        <w:t xml:space="preserve"> </w:t>
      </w:r>
      <w:r>
        <w:t>C.</w:t>
      </w:r>
      <w:r>
        <w:rPr>
          <w:spacing w:val="37"/>
        </w:rPr>
        <w:t xml:space="preserve"> </w:t>
      </w:r>
      <w:r>
        <w:t>A.</w:t>
      </w:r>
      <w:r>
        <w:rPr>
          <w:spacing w:val="35"/>
        </w:rPr>
        <w:t xml:space="preserve"> </w:t>
      </w:r>
      <w:r>
        <w:t>(2000).</w:t>
      </w:r>
      <w:r>
        <w:rPr>
          <w:spacing w:val="38"/>
        </w:rPr>
        <w:t xml:space="preserve"> </w:t>
      </w:r>
      <w:r>
        <w:t>Significant</w:t>
      </w:r>
      <w:r>
        <w:rPr>
          <w:spacing w:val="38"/>
        </w:rPr>
        <w:t xml:space="preserve"> </w:t>
      </w:r>
      <w:r>
        <w:t>Floods</w:t>
      </w:r>
      <w:r>
        <w:rPr>
          <w:spacing w:val="35"/>
        </w:rPr>
        <w:t xml:space="preserve"> </w:t>
      </w:r>
      <w:r>
        <w:t>in</w:t>
      </w:r>
      <w:r>
        <w:rPr>
          <w:spacing w:val="36"/>
        </w:rPr>
        <w:t xml:space="preserve"> </w:t>
      </w:r>
      <w:r>
        <w:t>the</w:t>
      </w:r>
      <w:r>
        <w:rPr>
          <w:spacing w:val="35"/>
        </w:rPr>
        <w:t xml:space="preserve"> </w:t>
      </w:r>
      <w:r>
        <w:t>United</w:t>
      </w:r>
      <w:r>
        <w:rPr>
          <w:spacing w:val="34"/>
        </w:rPr>
        <w:t xml:space="preserve"> </w:t>
      </w:r>
      <w:r>
        <w:t>States</w:t>
      </w:r>
      <w:r>
        <w:rPr>
          <w:spacing w:val="35"/>
        </w:rPr>
        <w:t xml:space="preserve"> </w:t>
      </w:r>
      <w:r>
        <w:t>during</w:t>
      </w:r>
      <w:r>
        <w:rPr>
          <w:spacing w:val="35"/>
        </w:rPr>
        <w:t xml:space="preserve"> </w:t>
      </w:r>
      <w:r>
        <w:t xml:space="preserve">the </w:t>
      </w:r>
      <w:r>
        <w:rPr>
          <w:spacing w:val="-4"/>
        </w:rPr>
        <w:t>20</w:t>
      </w:r>
      <w:proofErr w:type="spellStart"/>
      <w:r>
        <w:rPr>
          <w:spacing w:val="-4"/>
          <w:position w:val="9"/>
          <w:sz w:val="18"/>
        </w:rPr>
        <w:t>th</w:t>
      </w:r>
      <w:proofErr w:type="spellEnd"/>
      <w:r>
        <w:rPr>
          <w:position w:val="9"/>
          <w:sz w:val="18"/>
        </w:rPr>
        <w:tab/>
      </w:r>
      <w:r>
        <w:t>Century. U.S. Geological Survey Facts Sheet, pp. 24-54.</w:t>
      </w:r>
    </w:p>
    <w:p w14:paraId="5DDD9464" w14:textId="77777777" w:rsidR="007E20F1" w:rsidRDefault="007E20F1">
      <w:pPr>
        <w:pStyle w:val="BodyText"/>
        <w:spacing w:before="46"/>
      </w:pPr>
    </w:p>
    <w:p w14:paraId="1892BBE3" w14:textId="77777777" w:rsidR="007E20F1" w:rsidRDefault="00E026B7">
      <w:pPr>
        <w:pStyle w:val="BodyText"/>
        <w:spacing w:before="1" w:line="276" w:lineRule="auto"/>
        <w:ind w:left="165" w:right="164"/>
      </w:pPr>
      <w:r>
        <w:t>Promise,</w:t>
      </w:r>
      <w:r>
        <w:rPr>
          <w:spacing w:val="80"/>
        </w:rPr>
        <w:t xml:space="preserve"> </w:t>
      </w:r>
      <w:r>
        <w:t>T.</w:t>
      </w:r>
      <w:r>
        <w:rPr>
          <w:spacing w:val="80"/>
        </w:rPr>
        <w:t xml:space="preserve"> </w:t>
      </w:r>
      <w:r>
        <w:t>(2005).</w:t>
      </w:r>
      <w:r>
        <w:rPr>
          <w:spacing w:val="80"/>
        </w:rPr>
        <w:t xml:space="preserve"> </w:t>
      </w:r>
      <w:r>
        <w:t>Floods</w:t>
      </w:r>
      <w:r>
        <w:rPr>
          <w:spacing w:val="80"/>
        </w:rPr>
        <w:t xml:space="preserve"> </w:t>
      </w:r>
      <w:r>
        <w:t>Take</w:t>
      </w:r>
      <w:r>
        <w:rPr>
          <w:spacing w:val="80"/>
        </w:rPr>
        <w:t xml:space="preserve"> </w:t>
      </w:r>
      <w:r>
        <w:t>Over</w:t>
      </w:r>
      <w:r>
        <w:rPr>
          <w:spacing w:val="80"/>
        </w:rPr>
        <w:t xml:space="preserve"> </w:t>
      </w:r>
      <w:proofErr w:type="spellStart"/>
      <w:r>
        <w:t>Jalingo</w:t>
      </w:r>
      <w:proofErr w:type="spellEnd"/>
      <w:r>
        <w:t>.</w:t>
      </w:r>
      <w:r>
        <w:rPr>
          <w:spacing w:val="80"/>
        </w:rPr>
        <w:t xml:space="preserve"> </w:t>
      </w:r>
      <w:r>
        <w:t>Vanguard,</w:t>
      </w:r>
      <w:r>
        <w:rPr>
          <w:spacing w:val="80"/>
        </w:rPr>
        <w:t xml:space="preserve"> </w:t>
      </w:r>
      <w:r>
        <w:t>Abuja</w:t>
      </w:r>
      <w:r>
        <w:rPr>
          <w:spacing w:val="80"/>
        </w:rPr>
        <w:t xml:space="preserve"> </w:t>
      </w:r>
      <w:r>
        <w:t>7</w:t>
      </w:r>
      <w:proofErr w:type="spellStart"/>
      <w:r>
        <w:rPr>
          <w:position w:val="9"/>
          <w:sz w:val="18"/>
        </w:rPr>
        <w:t>th</w:t>
      </w:r>
      <w:proofErr w:type="spellEnd"/>
      <w:r>
        <w:rPr>
          <w:position w:val="9"/>
          <w:sz w:val="18"/>
        </w:rPr>
        <w:t xml:space="preserve"> </w:t>
      </w:r>
      <w:r>
        <w:t>August, p.</w:t>
      </w:r>
      <w:r>
        <w:rPr>
          <w:spacing w:val="80"/>
        </w:rPr>
        <w:t xml:space="preserve"> </w:t>
      </w:r>
      <w:r>
        <w:t>6.</w:t>
      </w:r>
    </w:p>
    <w:p w14:paraId="503EBB18" w14:textId="77777777" w:rsidR="007E20F1" w:rsidRDefault="007E20F1">
      <w:pPr>
        <w:pStyle w:val="BodyText"/>
        <w:spacing w:before="46"/>
      </w:pPr>
    </w:p>
    <w:p w14:paraId="119C7A70" w14:textId="77777777" w:rsidR="007E20F1" w:rsidRDefault="00E026B7">
      <w:pPr>
        <w:pStyle w:val="BodyText"/>
        <w:spacing w:before="1" w:line="276" w:lineRule="auto"/>
        <w:ind w:left="885" w:right="164" w:hanging="720"/>
      </w:pPr>
      <w:r>
        <w:t>Schein, D. L. (2015). Federal</w:t>
      </w:r>
      <w:r>
        <w:rPr>
          <w:spacing w:val="-2"/>
        </w:rPr>
        <w:t xml:space="preserve"> </w:t>
      </w:r>
      <w:r>
        <w:t>Emergency Management Agency, Region V. Chicago, I. L. Personal Communication. p. 2.</w:t>
      </w:r>
    </w:p>
    <w:p w14:paraId="3B11D1AF" w14:textId="77777777" w:rsidR="007E20F1" w:rsidRDefault="007E20F1">
      <w:pPr>
        <w:pStyle w:val="BodyText"/>
        <w:spacing w:before="46"/>
      </w:pPr>
    </w:p>
    <w:p w14:paraId="35A60CDA" w14:textId="77777777" w:rsidR="007E20F1" w:rsidRDefault="00E026B7">
      <w:pPr>
        <w:pStyle w:val="BodyText"/>
        <w:spacing w:line="276" w:lineRule="auto"/>
        <w:ind w:left="165" w:right="164"/>
      </w:pPr>
      <w:r>
        <w:t>Shaka, M. (2004). Floods Sack Lagos. This day Newspaper, 18</w:t>
      </w:r>
      <w:proofErr w:type="spellStart"/>
      <w:r>
        <w:rPr>
          <w:position w:val="9"/>
          <w:sz w:val="18"/>
        </w:rPr>
        <w:t>th</w:t>
      </w:r>
      <w:proofErr w:type="spellEnd"/>
      <w:r>
        <w:rPr>
          <w:spacing w:val="34"/>
          <w:position w:val="9"/>
          <w:sz w:val="18"/>
        </w:rPr>
        <w:t xml:space="preserve"> </w:t>
      </w:r>
      <w:r>
        <w:t xml:space="preserve">June, p. </w:t>
      </w:r>
      <w:r>
        <w:rPr>
          <w:spacing w:val="-4"/>
        </w:rPr>
        <w:t>16.</w:t>
      </w:r>
    </w:p>
    <w:p w14:paraId="3E47DEB6" w14:textId="77777777" w:rsidR="007E20F1" w:rsidRDefault="00E026B7">
      <w:pPr>
        <w:pStyle w:val="BodyText"/>
        <w:spacing w:before="1" w:line="276" w:lineRule="auto"/>
        <w:ind w:left="885" w:hanging="720"/>
      </w:pPr>
      <w:r>
        <w:t>Udo,</w:t>
      </w:r>
      <w:r>
        <w:rPr>
          <w:spacing w:val="-4"/>
        </w:rPr>
        <w:t xml:space="preserve"> </w:t>
      </w:r>
      <w:r>
        <w:t>R. K.</w:t>
      </w:r>
      <w:r>
        <w:rPr>
          <w:spacing w:val="-4"/>
        </w:rPr>
        <w:t xml:space="preserve"> </w:t>
      </w:r>
      <w:r>
        <w:t>(1978). A</w:t>
      </w:r>
      <w:r>
        <w:rPr>
          <w:spacing w:val="-4"/>
        </w:rPr>
        <w:t xml:space="preserve"> </w:t>
      </w:r>
      <w:r>
        <w:t>Comprehensive</w:t>
      </w:r>
      <w:r>
        <w:rPr>
          <w:spacing w:val="-1"/>
        </w:rPr>
        <w:t xml:space="preserve"> </w:t>
      </w:r>
      <w:r>
        <w:t>Geography</w:t>
      </w:r>
      <w:r>
        <w:rPr>
          <w:spacing w:val="-4"/>
        </w:rPr>
        <w:t xml:space="preserve"> </w:t>
      </w:r>
      <w:r>
        <w:t>of</w:t>
      </w:r>
      <w:r>
        <w:rPr>
          <w:spacing w:val="-1"/>
        </w:rPr>
        <w:t xml:space="preserve"> </w:t>
      </w:r>
      <w:r>
        <w:t>West</w:t>
      </w:r>
      <w:r>
        <w:rPr>
          <w:spacing w:val="-1"/>
        </w:rPr>
        <w:t xml:space="preserve"> </w:t>
      </w:r>
      <w:r>
        <w:t xml:space="preserve">Africa. </w:t>
      </w:r>
      <w:proofErr w:type="spellStart"/>
      <w:r>
        <w:t>Heinman</w:t>
      </w:r>
      <w:proofErr w:type="spellEnd"/>
      <w:r>
        <w:t xml:space="preserve"> Educational Books (Nigeria) Ltd, Ibadan pp. 226 - 227.</w:t>
      </w:r>
    </w:p>
    <w:p w14:paraId="6637CBF3" w14:textId="77777777" w:rsidR="007E20F1" w:rsidRDefault="007E20F1">
      <w:pPr>
        <w:pStyle w:val="BodyText"/>
        <w:spacing w:before="49"/>
      </w:pPr>
    </w:p>
    <w:p w14:paraId="05980F55" w14:textId="77777777" w:rsidR="007E20F1" w:rsidRDefault="00E026B7">
      <w:pPr>
        <w:pStyle w:val="BodyText"/>
        <w:tabs>
          <w:tab w:val="left" w:pos="2428"/>
          <w:tab w:val="left" w:pos="3942"/>
          <w:tab w:val="left" w:pos="5473"/>
          <w:tab w:val="left" w:pos="7100"/>
          <w:tab w:val="left" w:pos="8874"/>
        </w:tabs>
        <w:spacing w:line="276" w:lineRule="auto"/>
        <w:ind w:left="885" w:right="165" w:hanging="720"/>
      </w:pPr>
      <w:r>
        <w:t>Vlachos,</w:t>
      </w:r>
      <w:r>
        <w:rPr>
          <w:spacing w:val="40"/>
        </w:rPr>
        <w:t xml:space="preserve"> </w:t>
      </w:r>
      <w:r>
        <w:t>E.</w:t>
      </w:r>
      <w:r>
        <w:rPr>
          <w:spacing w:val="40"/>
        </w:rPr>
        <w:t xml:space="preserve"> </w:t>
      </w:r>
      <w:r>
        <w:t>(1995)</w:t>
      </w:r>
      <w:r>
        <w:rPr>
          <w:spacing w:val="40"/>
        </w:rPr>
        <w:t xml:space="preserve"> </w:t>
      </w:r>
      <w:r>
        <w:t>“Socio-Economic</w:t>
      </w:r>
      <w:r>
        <w:rPr>
          <w:spacing w:val="40"/>
        </w:rPr>
        <w:t xml:space="preserve"> </w:t>
      </w:r>
      <w:r>
        <w:t>Impacts</w:t>
      </w:r>
      <w:r>
        <w:rPr>
          <w:spacing w:val="40"/>
        </w:rPr>
        <w:t xml:space="preserve"> </w:t>
      </w:r>
      <w:r>
        <w:t>and</w:t>
      </w:r>
      <w:r>
        <w:rPr>
          <w:spacing w:val="40"/>
        </w:rPr>
        <w:t xml:space="preserve"> </w:t>
      </w:r>
      <w:r>
        <w:t>the</w:t>
      </w:r>
      <w:r>
        <w:rPr>
          <w:spacing w:val="40"/>
        </w:rPr>
        <w:t xml:space="preserve"> </w:t>
      </w:r>
      <w:r>
        <w:t>Consequences</w:t>
      </w:r>
      <w:r>
        <w:rPr>
          <w:spacing w:val="40"/>
        </w:rPr>
        <w:t xml:space="preserve"> </w:t>
      </w:r>
      <w:r>
        <w:t xml:space="preserve">of </w:t>
      </w:r>
      <w:r>
        <w:rPr>
          <w:spacing w:val="-2"/>
        </w:rPr>
        <w:t>Extreme</w:t>
      </w:r>
      <w:r>
        <w:tab/>
      </w:r>
      <w:r>
        <w:rPr>
          <w:spacing w:val="-2"/>
        </w:rPr>
        <w:t>Floods.”</w:t>
      </w:r>
      <w:r>
        <w:tab/>
      </w:r>
      <w:r>
        <w:rPr>
          <w:spacing w:val="-2"/>
        </w:rPr>
        <w:t>US-</w:t>
      </w:r>
      <w:r>
        <w:rPr>
          <w:spacing w:val="-4"/>
        </w:rPr>
        <w:t>Italy</w:t>
      </w:r>
      <w:r>
        <w:tab/>
      </w:r>
      <w:r>
        <w:rPr>
          <w:spacing w:val="-2"/>
        </w:rPr>
        <w:t>Research</w:t>
      </w:r>
      <w:r>
        <w:tab/>
      </w:r>
      <w:r>
        <w:rPr>
          <w:spacing w:val="-2"/>
        </w:rPr>
        <w:t>Workshop</w:t>
      </w:r>
      <w:r>
        <w:tab/>
      </w:r>
      <w:r>
        <w:rPr>
          <w:spacing w:val="-5"/>
        </w:rPr>
        <w:t>on</w:t>
      </w:r>
    </w:p>
    <w:p w14:paraId="3590F27E" w14:textId="77777777" w:rsidR="007E20F1" w:rsidRDefault="00E026B7">
      <w:pPr>
        <w:pStyle w:val="BodyText"/>
        <w:tabs>
          <w:tab w:val="left" w:pos="3112"/>
        </w:tabs>
        <w:spacing w:line="316" w:lineRule="exact"/>
        <w:ind w:left="165"/>
      </w:pPr>
      <w:r>
        <w:rPr>
          <w:spacing w:val="-2"/>
        </w:rPr>
        <w:t>Hydrometeorology</w:t>
      </w:r>
      <w:r>
        <w:tab/>
        <w:t>in</w:t>
      </w:r>
      <w:r>
        <w:rPr>
          <w:spacing w:val="-8"/>
        </w:rPr>
        <w:t xml:space="preserve"> </w:t>
      </w:r>
      <w:r>
        <w:t>Perugina</w:t>
      </w:r>
      <w:r>
        <w:rPr>
          <w:spacing w:val="-2"/>
        </w:rPr>
        <w:t xml:space="preserve"> (Italy).</w:t>
      </w:r>
    </w:p>
    <w:sectPr w:rsidR="007E20F1">
      <w:pgSz w:w="11910" w:h="16840"/>
      <w:pgMar w:top="1340" w:right="1275" w:bottom="1040" w:left="1275" w:header="0" w:footer="803"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 w:date="2025-04-23T16:23:00Z" w:initials="a">
    <w:p w14:paraId="2302BB41" w14:textId="680089A9" w:rsidR="00494136" w:rsidRDefault="00494136">
      <w:pPr>
        <w:pStyle w:val="CommentText"/>
      </w:pPr>
      <w:r>
        <w:rPr>
          <w:rStyle w:val="CommentReference"/>
        </w:rPr>
        <w:annotationRef/>
      </w:r>
      <w:r w:rsidR="005829CA">
        <w:t>Location</w:t>
      </w:r>
      <w:r>
        <w:t xml:space="preserve"> Influences on Flood Mitigation Practices in</w:t>
      </w:r>
      <w:r>
        <w:t xml:space="preserve"> Niger Delta: The</w:t>
      </w:r>
      <w:r>
        <w:t xml:space="preserve"> </w:t>
      </w:r>
      <w:r>
        <w:t xml:space="preserve">case of </w:t>
      </w:r>
      <w:proofErr w:type="spellStart"/>
      <w:r>
        <w:t>Forcados</w:t>
      </w:r>
      <w:proofErr w:type="spellEnd"/>
      <w:r>
        <w:t xml:space="preserve"> Basin</w:t>
      </w:r>
    </w:p>
  </w:comment>
  <w:comment w:id="1" w:author="admin" w:date="2025-04-23T16:25:00Z" w:initials="a">
    <w:p w14:paraId="5053C488" w14:textId="77777777" w:rsidR="005829CA" w:rsidRDefault="005829CA">
      <w:pPr>
        <w:pStyle w:val="CommentText"/>
      </w:pPr>
      <w:r>
        <w:rPr>
          <w:rStyle w:val="CommentReference"/>
        </w:rPr>
        <w:annotationRef/>
      </w:r>
      <w:r>
        <w:t xml:space="preserve"> Add it purpose</w:t>
      </w:r>
    </w:p>
    <w:p w14:paraId="1F2AFBCF" w14:textId="38A77D68" w:rsidR="005829CA" w:rsidRDefault="005829CA">
      <w:pPr>
        <w:pStyle w:val="CommentText"/>
      </w:pPr>
      <w:r>
        <w:t xml:space="preserve"> </w:t>
      </w:r>
      <w:proofErr w:type="gramStart"/>
      <w:r>
        <w:t>the</w:t>
      </w:r>
      <w:proofErr w:type="gramEnd"/>
      <w:r>
        <w:t xml:space="preserve"> methods </w:t>
      </w:r>
    </w:p>
  </w:comment>
  <w:comment w:id="2" w:author="admin" w:date="2025-04-23T16:24:00Z" w:initials="a">
    <w:p w14:paraId="18C83161" w14:textId="05DD8B05" w:rsidR="005829CA" w:rsidRDefault="005829CA">
      <w:pPr>
        <w:pStyle w:val="CommentText"/>
      </w:pPr>
      <w:r>
        <w:rPr>
          <w:rStyle w:val="CommentReference"/>
        </w:rPr>
        <w:annotationRef/>
      </w:r>
      <w:r>
        <w:t xml:space="preserve"> </w:t>
      </w:r>
      <w:proofErr w:type="gramStart"/>
      <w:r>
        <w:t>specify</w:t>
      </w:r>
      <w:proofErr w:type="gramEnd"/>
      <w:r>
        <w:t xml:space="preserve"> what these variables are</w:t>
      </w:r>
      <w:r>
        <w:t>?</w:t>
      </w:r>
    </w:p>
  </w:comment>
  <w:comment w:id="3" w:author="admin" w:date="2025-04-23T16:26:00Z" w:initials="a">
    <w:p w14:paraId="3DE9B613" w14:textId="1EAEA8B6" w:rsidR="00E26231" w:rsidRDefault="00E26231">
      <w:pPr>
        <w:pStyle w:val="CommentText"/>
      </w:pPr>
      <w:r>
        <w:rPr>
          <w:rStyle w:val="CommentReference"/>
        </w:rPr>
        <w:annotationRef/>
      </w:r>
      <w:r>
        <w:t>To whom?</w:t>
      </w:r>
    </w:p>
  </w:comment>
  <w:comment w:id="4" w:author="admin" w:date="2025-04-23T16:27:00Z" w:initials="a">
    <w:p w14:paraId="2D8B208A" w14:textId="69113C3D" w:rsidR="00E26231" w:rsidRDefault="00E26231">
      <w:pPr>
        <w:pStyle w:val="CommentText"/>
      </w:pPr>
      <w:r>
        <w:rPr>
          <w:rStyle w:val="CommentReference"/>
        </w:rPr>
        <w:annotationRef/>
      </w:r>
      <w:r>
        <w:t xml:space="preserve">Show reasons of motivation </w:t>
      </w:r>
    </w:p>
  </w:comment>
  <w:comment w:id="5" w:author="admin" w:date="2025-04-23T16:34:00Z" w:initials="a">
    <w:p w14:paraId="5540D1B7" w14:textId="4544081F" w:rsidR="00E26231" w:rsidRDefault="00E26231">
      <w:pPr>
        <w:pStyle w:val="CommentText"/>
      </w:pPr>
      <w:r>
        <w:rPr>
          <w:rStyle w:val="CommentReference"/>
        </w:rPr>
        <w:annotationRef/>
      </w:r>
      <w:r w:rsidR="002023A5">
        <w:t xml:space="preserve">Review of </w:t>
      </w:r>
      <w:r>
        <w:t xml:space="preserve">Flood mitigation </w:t>
      </w:r>
      <w:r w:rsidR="002023A5">
        <w:t xml:space="preserve">measures </w:t>
      </w:r>
    </w:p>
  </w:comment>
  <w:comment w:id="6" w:author="admin" w:date="2025-04-23T16:28:00Z" w:initials="a">
    <w:p w14:paraId="66722644" w14:textId="17FD7C61" w:rsidR="00E26231" w:rsidRDefault="00E26231">
      <w:pPr>
        <w:pStyle w:val="CommentText"/>
      </w:pPr>
      <w:r>
        <w:rPr>
          <w:rStyle w:val="CommentReference"/>
        </w:rPr>
        <w:annotationRef/>
      </w:r>
      <w:r>
        <w:t>Sources</w:t>
      </w:r>
      <w:proofErr w:type="gramStart"/>
      <w:r>
        <w:t>??</w:t>
      </w:r>
      <w:proofErr w:type="gramEnd"/>
    </w:p>
  </w:comment>
  <w:comment w:id="7" w:author="admin" w:date="2025-04-23T16:28:00Z" w:initials="a">
    <w:p w14:paraId="72995227" w14:textId="1328A519" w:rsidR="00E26231" w:rsidRDefault="00E26231">
      <w:pPr>
        <w:pStyle w:val="CommentText"/>
      </w:pPr>
      <w:r>
        <w:rPr>
          <w:rStyle w:val="CommentReference"/>
        </w:rPr>
        <w:annotationRef/>
      </w:r>
      <w:r>
        <w:t xml:space="preserve">Citations? </w:t>
      </w:r>
    </w:p>
  </w:comment>
  <w:comment w:id="8" w:author="admin" w:date="2025-04-23T16:30:00Z" w:initials="a">
    <w:p w14:paraId="1952649C" w14:textId="4BFAD5DE" w:rsidR="00E26231" w:rsidRDefault="00E26231">
      <w:pPr>
        <w:pStyle w:val="CommentText"/>
      </w:pPr>
      <w:r>
        <w:rPr>
          <w:rStyle w:val="CommentReference"/>
        </w:rPr>
        <w:annotationRef/>
      </w:r>
      <w:r>
        <w:t xml:space="preserve">Classified into 1. Population of the study 2. Sampling techniques &amp; sample </w:t>
      </w:r>
      <w:proofErr w:type="gramStart"/>
      <w:r>
        <w:t>size  3</w:t>
      </w:r>
      <w:proofErr w:type="gramEnd"/>
      <w:r>
        <w:t>. Data collection tools</w:t>
      </w:r>
    </w:p>
  </w:comment>
  <w:comment w:id="9" w:author="admin" w:date="2025-04-23T16:30:00Z" w:initials="a">
    <w:p w14:paraId="70EB79F1" w14:textId="0AC3531D" w:rsidR="00E26231" w:rsidRDefault="00E26231">
      <w:pPr>
        <w:pStyle w:val="CommentText"/>
      </w:pPr>
      <w:r>
        <w:rPr>
          <w:rStyle w:val="CommentReference"/>
        </w:rPr>
        <w:annotationRef/>
      </w:r>
      <w:r>
        <w:t>?</w:t>
      </w:r>
    </w:p>
  </w:comment>
  <w:comment w:id="10" w:author="admin" w:date="2025-04-23T16:39:00Z" w:initials="a">
    <w:p w14:paraId="20954F90" w14:textId="34539426" w:rsidR="002023A5" w:rsidRDefault="002023A5">
      <w:pPr>
        <w:pStyle w:val="CommentText"/>
      </w:pPr>
      <w:r>
        <w:rPr>
          <w:rStyle w:val="CommentReference"/>
        </w:rPr>
        <w:annotationRef/>
      </w:r>
      <w:r w:rsidR="00893A88">
        <w:t xml:space="preserve">The result &amp; discussion </w:t>
      </w:r>
      <w:proofErr w:type="gramStart"/>
      <w:r w:rsidR="00893A88">
        <w:t xml:space="preserve">parts </w:t>
      </w:r>
      <w:r>
        <w:t xml:space="preserve"> shall</w:t>
      </w:r>
      <w:proofErr w:type="gramEnd"/>
      <w:r>
        <w:t xml:space="preserve"> have sub titles of  </w:t>
      </w:r>
    </w:p>
    <w:p w14:paraId="4EE2071D" w14:textId="5363EF0C" w:rsidR="002023A5" w:rsidRDefault="002023A5" w:rsidP="00893A88">
      <w:pPr>
        <w:pStyle w:val="ListParagraph"/>
        <w:tabs>
          <w:tab w:val="left" w:pos="885"/>
        </w:tabs>
        <w:spacing w:before="1" w:line="276" w:lineRule="auto"/>
        <w:ind w:left="0" w:right="164" w:firstLine="0"/>
        <w:rPr>
          <w:sz w:val="28"/>
        </w:rPr>
      </w:pPr>
      <w:r>
        <w:t xml:space="preserve">5.1. </w:t>
      </w:r>
      <w:proofErr w:type="gramStart"/>
      <w:r>
        <w:rPr>
          <w:sz w:val="28"/>
        </w:rPr>
        <w:t>location</w:t>
      </w:r>
      <w:proofErr w:type="gramEnd"/>
      <w:r>
        <w:rPr>
          <w:sz w:val="28"/>
        </w:rPr>
        <w:t xml:space="preserve"> of the resource users </w:t>
      </w:r>
      <w:r w:rsidR="00893A88">
        <w:rPr>
          <w:sz w:val="28"/>
        </w:rPr>
        <w:t>&amp;</w:t>
      </w:r>
      <w:r>
        <w:rPr>
          <w:sz w:val="28"/>
        </w:rPr>
        <w:t xml:space="preserve"> the observed flood hazards </w:t>
      </w:r>
    </w:p>
    <w:p w14:paraId="5BAF8348" w14:textId="77777777" w:rsidR="00893A88" w:rsidRDefault="002023A5" w:rsidP="002023A5">
      <w:pPr>
        <w:pStyle w:val="ListParagraph"/>
        <w:numPr>
          <w:ilvl w:val="1"/>
          <w:numId w:val="7"/>
        </w:numPr>
        <w:tabs>
          <w:tab w:val="left" w:pos="885"/>
        </w:tabs>
        <w:spacing w:line="276" w:lineRule="auto"/>
        <w:ind w:right="165"/>
        <w:rPr>
          <w:sz w:val="28"/>
        </w:rPr>
      </w:pPr>
      <w:r>
        <w:rPr>
          <w:sz w:val="28"/>
        </w:rPr>
        <w:t xml:space="preserve"> effects of location on the adoption of flood mitigation measures</w:t>
      </w:r>
    </w:p>
    <w:p w14:paraId="2817E251" w14:textId="774C37B2" w:rsidR="002023A5" w:rsidRPr="00893A88" w:rsidRDefault="002023A5" w:rsidP="002023A5">
      <w:pPr>
        <w:pStyle w:val="ListParagraph"/>
        <w:numPr>
          <w:ilvl w:val="1"/>
          <w:numId w:val="7"/>
        </w:numPr>
        <w:tabs>
          <w:tab w:val="left" w:pos="885"/>
        </w:tabs>
        <w:spacing w:line="276" w:lineRule="auto"/>
        <w:ind w:right="165"/>
        <w:rPr>
          <w:sz w:val="28"/>
        </w:rPr>
      </w:pPr>
      <w:r w:rsidRPr="00893A88">
        <w:rPr>
          <w:sz w:val="28"/>
        </w:rPr>
        <w:t xml:space="preserve">impact of other variables in the flood mitigation </w:t>
      </w:r>
      <w:r w:rsidRPr="00893A88">
        <w:rPr>
          <w:spacing w:val="-2"/>
          <w:sz w:val="28"/>
        </w:rPr>
        <w:t>process</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E52A65" w14:textId="77777777" w:rsidR="008F6FA4" w:rsidRDefault="008F6FA4">
      <w:r>
        <w:separator/>
      </w:r>
    </w:p>
  </w:endnote>
  <w:endnote w:type="continuationSeparator" w:id="0">
    <w:p w14:paraId="1255F110" w14:textId="77777777" w:rsidR="008F6FA4" w:rsidRDefault="008F6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E94A7D" w14:textId="77777777" w:rsidR="00E635C4" w:rsidRDefault="00E635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E065A" w14:textId="77777777" w:rsidR="007E20F1" w:rsidRDefault="00E026B7">
    <w:pPr>
      <w:pStyle w:val="BodyText"/>
      <w:spacing w:line="14" w:lineRule="auto"/>
      <w:rPr>
        <w:sz w:val="19"/>
      </w:rPr>
    </w:pPr>
    <w:r>
      <w:rPr>
        <w:noProof/>
        <w:sz w:val="19"/>
      </w:rPr>
      <mc:AlternateContent>
        <mc:Choice Requires="wps">
          <w:drawing>
            <wp:anchor distT="0" distB="0" distL="0" distR="0" simplePos="0" relativeHeight="487322112" behindDoc="1" locked="0" layoutInCell="1" allowOverlap="1" wp14:anchorId="7D3E4EDC" wp14:editId="5A645C36">
              <wp:simplePos x="0" y="0"/>
              <wp:positionH relativeFrom="page">
                <wp:posOffset>3690620</wp:posOffset>
              </wp:positionH>
              <wp:positionV relativeFrom="page">
                <wp:posOffset>10007672</wp:posOffset>
              </wp:positionV>
              <wp:extent cx="179705"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705" cy="182245"/>
                      </a:xfrm>
                      <a:prstGeom prst="rect">
                        <a:avLst/>
                      </a:prstGeom>
                    </wps:spPr>
                    <wps:txbx>
                      <w:txbxContent>
                        <w:p w14:paraId="57325B0F" w14:textId="77777777" w:rsidR="007E20F1" w:rsidRDefault="00E026B7">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893A88">
                            <w:rPr>
                              <w:rFonts w:ascii="Arial MT"/>
                              <w:noProof/>
                              <w:spacing w:val="-5"/>
                            </w:rPr>
                            <w:t>8</w:t>
                          </w:r>
                          <w:r>
                            <w:rPr>
                              <w:rFonts w:ascii="Arial MT"/>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0.6pt;margin-top:788pt;width:14.15pt;height:14.3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3pgEAAD4DAAAOAAAAZHJzL2Uyb0RvYy54bWysUsGO0zAQvSPxD5bv1GnFskvUdAWsQEgr&#10;WGmXD3Acu7GIPcbjNunfM3bS7gpuiIszjt+8N29mtreTG9hRR7TgG75eVZxpr6Czft/wH0+f39xw&#10;hkn6Tg7gdcNPGvnt7vWr7RhqvYEehk5HRiQe6zE0vE8p1EKg6rWTuIKgPT0aiE4musa96KIcid0N&#10;YlNV78QIsQsRlEakv3fzI98VfmO0St+NQZ3Y0HCqLZUzlrPNp9htZb2PMvRWLWXIf6jCSetJ9EJ1&#10;J5Nkh2j/onJWRUAwaaXACTDGKl08kJt19Yebx14GXbxQczBc2oT/j1Z9Oz5EZjuaHWdeOhrRk55S&#10;CxNb5+aMAWvCPAZCpekjTBmYjWK4B/UTCSJeYOYEJHTGTCa6/CWbjBKp/6dLz0mEqcx2/f66uuJM&#10;0dP6ZrN5e5VlxXNyiJi+aHAsBw2PNNJSgDzeY5qhZ8hSyyyfq0pTOy0mWuhO5GGkUTccfx1k1JwN&#10;Xz31Mu/FOYjnoD0HMQ2foGxPtuLhwyGBsUU5S8y8izINqdS+LFTegpf3gnpe+91vAAAA//8DAFBL&#10;AwQUAAYACAAAACEAsOHXsOIAAAANAQAADwAAAGRycy9kb3ducmV2LnhtbEyPwU7DMBBE70j8g7VI&#10;3KjdiCQlxKlQUcUBcWgBiaMbmzgiXkexm7p/z3Iqx515mp2p18kNbDZT6D1KWC4EMIOt1z12Ej7e&#10;t3crYCEq1GrwaCScTYB1c31Vq0r7E+7MvI8doxAMlZJgYxwrzkNrjVNh4UeD5H37yalI59RxPakT&#10;hbuBZ0IU3Kke6YNVo9lY0/7sj07C52bcvqYvq97mXL88Z+XuPLVJytub9PQILJoULzD81afq0FCn&#10;gz+iDmyQkK+WGaFk5GVBqwgpxEMO7EBSIe5L4E3N/69ofgEAAP//AwBQSwECLQAUAAYACAAAACEA&#10;toM4kv4AAADhAQAAEwAAAAAAAAAAAAAAAAAAAAAAW0NvbnRlbnRfVHlwZXNdLnhtbFBLAQItABQA&#10;BgAIAAAAIQA4/SH/1gAAAJQBAAALAAAAAAAAAAAAAAAAAC8BAABfcmVscy8ucmVsc1BLAQItABQA&#10;BgAIAAAAIQAiW+g3pgEAAD4DAAAOAAAAAAAAAAAAAAAAAC4CAABkcnMvZTJvRG9jLnhtbFBLAQIt&#10;ABQABgAIAAAAIQCw4dew4gAAAA0BAAAPAAAAAAAAAAAAAAAAAAAEAABkcnMvZG93bnJldi54bWxQ&#10;SwUGAAAAAAQABADzAAAADwUAAAAA&#10;" filled="f" stroked="f">
              <v:path arrowok="t"/>
              <v:textbox inset="0,0,0,0">
                <w:txbxContent>
                  <w:p w14:paraId="57325B0F" w14:textId="77777777" w:rsidR="007E20F1" w:rsidRDefault="00E026B7">
                    <w:pPr>
                      <w:spacing w:before="13"/>
                      <w:ind w:left="2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sidR="00893A88">
                      <w:rPr>
                        <w:rFonts w:ascii="Arial MT"/>
                        <w:noProof/>
                        <w:spacing w:val="-5"/>
                      </w:rPr>
                      <w:t>8</w:t>
                    </w:r>
                    <w:r>
                      <w:rPr>
                        <w:rFonts w:ascii="Arial MT"/>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703D" w14:textId="77777777" w:rsidR="00E635C4" w:rsidRDefault="00E635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95DD1" w14:textId="77777777" w:rsidR="008F6FA4" w:rsidRDefault="008F6FA4">
      <w:r>
        <w:separator/>
      </w:r>
    </w:p>
  </w:footnote>
  <w:footnote w:type="continuationSeparator" w:id="0">
    <w:p w14:paraId="36F5F916" w14:textId="77777777" w:rsidR="008F6FA4" w:rsidRDefault="008F6F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3CECB" w14:textId="697C8132" w:rsidR="00E635C4" w:rsidRDefault="008F6FA4">
    <w:pPr>
      <w:pStyle w:val="Header"/>
    </w:pPr>
    <w:r>
      <w:rPr>
        <w:noProof/>
      </w:rPr>
      <w:pict w14:anchorId="39255D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49126" o:spid="_x0000_s2050" type="#_x0000_t136" style="position:absolute;margin-left:0;margin-top:0;width:596.9pt;height:62.8pt;rotation:315;z-index:-15990272;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E1753C" w14:textId="65831755" w:rsidR="00E635C4" w:rsidRDefault="008F6FA4">
    <w:pPr>
      <w:pStyle w:val="Header"/>
    </w:pPr>
    <w:r>
      <w:rPr>
        <w:noProof/>
      </w:rPr>
      <w:pict w14:anchorId="26494F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49127" o:spid="_x0000_s2051" type="#_x0000_t136" style="position:absolute;margin-left:0;margin-top:0;width:596.9pt;height:62.8pt;rotation:315;z-index:-15988224;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9D4DE2" w14:textId="33DA5D14" w:rsidR="00E635C4" w:rsidRDefault="008F6FA4">
    <w:pPr>
      <w:pStyle w:val="Header"/>
    </w:pPr>
    <w:r>
      <w:rPr>
        <w:noProof/>
      </w:rPr>
      <w:pict w14:anchorId="290805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49125" o:spid="_x0000_s2049" type="#_x0000_t136" style="position:absolute;margin-left:0;margin-top:0;width:596.9pt;height:62.8pt;rotation:315;z-index:-15992320;mso-position-horizontal:center;mso-position-horizontal-relative:margin;mso-position-vertical:center;mso-position-vertical-relative:margin" o:allowincell="f" fillcolor="silver" stroked="f">
          <v:fill opacity=".5"/>
          <v:textpath style="font-family:&quot;Georgia&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AB5"/>
    <w:multiLevelType w:val="hybridMultilevel"/>
    <w:tmpl w:val="808E5A68"/>
    <w:lvl w:ilvl="0" w:tplc="A942BA80">
      <w:start w:val="1"/>
      <w:numFmt w:val="decimal"/>
      <w:lvlText w:val="%1."/>
      <w:lvlJc w:val="left"/>
      <w:pPr>
        <w:ind w:left="525" w:hanging="360"/>
        <w:jc w:val="left"/>
      </w:pPr>
      <w:rPr>
        <w:rFonts w:ascii="Georgia" w:eastAsia="Georgia" w:hAnsi="Georgia" w:cs="Georgia" w:hint="default"/>
        <w:b w:val="0"/>
        <w:bCs w:val="0"/>
        <w:i w:val="0"/>
        <w:iCs w:val="0"/>
        <w:spacing w:val="-1"/>
        <w:w w:val="100"/>
        <w:sz w:val="28"/>
        <w:szCs w:val="28"/>
        <w:lang w:val="en-US" w:eastAsia="en-US" w:bidi="ar-SA"/>
      </w:rPr>
    </w:lvl>
    <w:lvl w:ilvl="1" w:tplc="63ECE970">
      <w:numFmt w:val="bullet"/>
      <w:lvlText w:val="•"/>
      <w:lvlJc w:val="left"/>
      <w:pPr>
        <w:ind w:left="1403" w:hanging="360"/>
      </w:pPr>
      <w:rPr>
        <w:rFonts w:hint="default"/>
        <w:lang w:val="en-US" w:eastAsia="en-US" w:bidi="ar-SA"/>
      </w:rPr>
    </w:lvl>
    <w:lvl w:ilvl="2" w:tplc="043EFD80">
      <w:numFmt w:val="bullet"/>
      <w:lvlText w:val="•"/>
      <w:lvlJc w:val="left"/>
      <w:pPr>
        <w:ind w:left="2287" w:hanging="360"/>
      </w:pPr>
      <w:rPr>
        <w:rFonts w:hint="default"/>
        <w:lang w:val="en-US" w:eastAsia="en-US" w:bidi="ar-SA"/>
      </w:rPr>
    </w:lvl>
    <w:lvl w:ilvl="3" w:tplc="CC2C5FD4">
      <w:numFmt w:val="bullet"/>
      <w:lvlText w:val="•"/>
      <w:lvlJc w:val="left"/>
      <w:pPr>
        <w:ind w:left="3171" w:hanging="360"/>
      </w:pPr>
      <w:rPr>
        <w:rFonts w:hint="default"/>
        <w:lang w:val="en-US" w:eastAsia="en-US" w:bidi="ar-SA"/>
      </w:rPr>
    </w:lvl>
    <w:lvl w:ilvl="4" w:tplc="E41483A0">
      <w:numFmt w:val="bullet"/>
      <w:lvlText w:val="•"/>
      <w:lvlJc w:val="left"/>
      <w:pPr>
        <w:ind w:left="4054" w:hanging="360"/>
      </w:pPr>
      <w:rPr>
        <w:rFonts w:hint="default"/>
        <w:lang w:val="en-US" w:eastAsia="en-US" w:bidi="ar-SA"/>
      </w:rPr>
    </w:lvl>
    <w:lvl w:ilvl="5" w:tplc="28DCF4A0">
      <w:numFmt w:val="bullet"/>
      <w:lvlText w:val="•"/>
      <w:lvlJc w:val="left"/>
      <w:pPr>
        <w:ind w:left="4938" w:hanging="360"/>
      </w:pPr>
      <w:rPr>
        <w:rFonts w:hint="default"/>
        <w:lang w:val="en-US" w:eastAsia="en-US" w:bidi="ar-SA"/>
      </w:rPr>
    </w:lvl>
    <w:lvl w:ilvl="6" w:tplc="42C843A2">
      <w:numFmt w:val="bullet"/>
      <w:lvlText w:val="•"/>
      <w:lvlJc w:val="left"/>
      <w:pPr>
        <w:ind w:left="5822" w:hanging="360"/>
      </w:pPr>
      <w:rPr>
        <w:rFonts w:hint="default"/>
        <w:lang w:val="en-US" w:eastAsia="en-US" w:bidi="ar-SA"/>
      </w:rPr>
    </w:lvl>
    <w:lvl w:ilvl="7" w:tplc="2FECC338">
      <w:numFmt w:val="bullet"/>
      <w:lvlText w:val="•"/>
      <w:lvlJc w:val="left"/>
      <w:pPr>
        <w:ind w:left="6705" w:hanging="360"/>
      </w:pPr>
      <w:rPr>
        <w:rFonts w:hint="default"/>
        <w:lang w:val="en-US" w:eastAsia="en-US" w:bidi="ar-SA"/>
      </w:rPr>
    </w:lvl>
    <w:lvl w:ilvl="8" w:tplc="DF544A5C">
      <w:numFmt w:val="bullet"/>
      <w:lvlText w:val="•"/>
      <w:lvlJc w:val="left"/>
      <w:pPr>
        <w:ind w:left="7589" w:hanging="360"/>
      </w:pPr>
      <w:rPr>
        <w:rFonts w:hint="default"/>
        <w:lang w:val="en-US" w:eastAsia="en-US" w:bidi="ar-SA"/>
      </w:rPr>
    </w:lvl>
  </w:abstractNum>
  <w:abstractNum w:abstractNumId="1">
    <w:nsid w:val="12C702F5"/>
    <w:multiLevelType w:val="hybridMultilevel"/>
    <w:tmpl w:val="52482C10"/>
    <w:lvl w:ilvl="0" w:tplc="3ED86F54">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1C0F2D7E"/>
    <w:multiLevelType w:val="hybridMultilevel"/>
    <w:tmpl w:val="DBE69DDC"/>
    <w:lvl w:ilvl="0" w:tplc="A4A82BE6">
      <w:numFmt w:val="bullet"/>
      <w:lvlText w:val=""/>
      <w:lvlJc w:val="left"/>
      <w:pPr>
        <w:ind w:left="885" w:hanging="360"/>
      </w:pPr>
      <w:rPr>
        <w:rFonts w:ascii="Wingdings" w:eastAsia="Wingdings" w:hAnsi="Wingdings" w:cs="Wingdings" w:hint="default"/>
        <w:b w:val="0"/>
        <w:bCs w:val="0"/>
        <w:i w:val="0"/>
        <w:iCs w:val="0"/>
        <w:spacing w:val="0"/>
        <w:w w:val="100"/>
        <w:sz w:val="28"/>
        <w:szCs w:val="28"/>
        <w:lang w:val="en-US" w:eastAsia="en-US" w:bidi="ar-SA"/>
      </w:rPr>
    </w:lvl>
    <w:lvl w:ilvl="1" w:tplc="9BF0F5A4">
      <w:numFmt w:val="bullet"/>
      <w:lvlText w:val="•"/>
      <w:lvlJc w:val="left"/>
      <w:pPr>
        <w:ind w:left="1727" w:hanging="360"/>
      </w:pPr>
      <w:rPr>
        <w:rFonts w:hint="default"/>
        <w:lang w:val="en-US" w:eastAsia="en-US" w:bidi="ar-SA"/>
      </w:rPr>
    </w:lvl>
    <w:lvl w:ilvl="2" w:tplc="4F96929A">
      <w:numFmt w:val="bullet"/>
      <w:lvlText w:val="•"/>
      <w:lvlJc w:val="left"/>
      <w:pPr>
        <w:ind w:left="2575" w:hanging="360"/>
      </w:pPr>
      <w:rPr>
        <w:rFonts w:hint="default"/>
        <w:lang w:val="en-US" w:eastAsia="en-US" w:bidi="ar-SA"/>
      </w:rPr>
    </w:lvl>
    <w:lvl w:ilvl="3" w:tplc="9AE015F8">
      <w:numFmt w:val="bullet"/>
      <w:lvlText w:val="•"/>
      <w:lvlJc w:val="left"/>
      <w:pPr>
        <w:ind w:left="3423" w:hanging="360"/>
      </w:pPr>
      <w:rPr>
        <w:rFonts w:hint="default"/>
        <w:lang w:val="en-US" w:eastAsia="en-US" w:bidi="ar-SA"/>
      </w:rPr>
    </w:lvl>
    <w:lvl w:ilvl="4" w:tplc="3D507ED4">
      <w:numFmt w:val="bullet"/>
      <w:lvlText w:val="•"/>
      <w:lvlJc w:val="left"/>
      <w:pPr>
        <w:ind w:left="4270" w:hanging="360"/>
      </w:pPr>
      <w:rPr>
        <w:rFonts w:hint="default"/>
        <w:lang w:val="en-US" w:eastAsia="en-US" w:bidi="ar-SA"/>
      </w:rPr>
    </w:lvl>
    <w:lvl w:ilvl="5" w:tplc="1B30510A">
      <w:numFmt w:val="bullet"/>
      <w:lvlText w:val="•"/>
      <w:lvlJc w:val="left"/>
      <w:pPr>
        <w:ind w:left="5118" w:hanging="360"/>
      </w:pPr>
      <w:rPr>
        <w:rFonts w:hint="default"/>
        <w:lang w:val="en-US" w:eastAsia="en-US" w:bidi="ar-SA"/>
      </w:rPr>
    </w:lvl>
    <w:lvl w:ilvl="6" w:tplc="53F66E94">
      <w:numFmt w:val="bullet"/>
      <w:lvlText w:val="•"/>
      <w:lvlJc w:val="left"/>
      <w:pPr>
        <w:ind w:left="5966" w:hanging="360"/>
      </w:pPr>
      <w:rPr>
        <w:rFonts w:hint="default"/>
        <w:lang w:val="en-US" w:eastAsia="en-US" w:bidi="ar-SA"/>
      </w:rPr>
    </w:lvl>
    <w:lvl w:ilvl="7" w:tplc="BF0E2142">
      <w:numFmt w:val="bullet"/>
      <w:lvlText w:val="•"/>
      <w:lvlJc w:val="left"/>
      <w:pPr>
        <w:ind w:left="6813" w:hanging="360"/>
      </w:pPr>
      <w:rPr>
        <w:rFonts w:hint="default"/>
        <w:lang w:val="en-US" w:eastAsia="en-US" w:bidi="ar-SA"/>
      </w:rPr>
    </w:lvl>
    <w:lvl w:ilvl="8" w:tplc="226C1632">
      <w:numFmt w:val="bullet"/>
      <w:lvlText w:val="•"/>
      <w:lvlJc w:val="left"/>
      <w:pPr>
        <w:ind w:left="7661" w:hanging="360"/>
      </w:pPr>
      <w:rPr>
        <w:rFonts w:hint="default"/>
        <w:lang w:val="en-US" w:eastAsia="en-US" w:bidi="ar-SA"/>
      </w:rPr>
    </w:lvl>
  </w:abstractNum>
  <w:abstractNum w:abstractNumId="3">
    <w:nsid w:val="24C43861"/>
    <w:multiLevelType w:val="hybridMultilevel"/>
    <w:tmpl w:val="38AEB75A"/>
    <w:lvl w:ilvl="0" w:tplc="89E24CEE">
      <w:numFmt w:val="bullet"/>
      <w:lvlText w:val=""/>
      <w:lvlJc w:val="left"/>
      <w:pPr>
        <w:ind w:left="525" w:hanging="360"/>
      </w:pPr>
      <w:rPr>
        <w:rFonts w:ascii="Wingdings" w:eastAsia="Wingdings" w:hAnsi="Wingdings" w:cs="Wingdings" w:hint="default"/>
        <w:b w:val="0"/>
        <w:bCs w:val="0"/>
        <w:i w:val="0"/>
        <w:iCs w:val="0"/>
        <w:spacing w:val="0"/>
        <w:w w:val="100"/>
        <w:sz w:val="28"/>
        <w:szCs w:val="28"/>
        <w:lang w:val="en-US" w:eastAsia="en-US" w:bidi="ar-SA"/>
      </w:rPr>
    </w:lvl>
    <w:lvl w:ilvl="1" w:tplc="95B480B8">
      <w:numFmt w:val="bullet"/>
      <w:lvlText w:val="•"/>
      <w:lvlJc w:val="left"/>
      <w:pPr>
        <w:ind w:left="1403" w:hanging="360"/>
      </w:pPr>
      <w:rPr>
        <w:rFonts w:hint="default"/>
        <w:lang w:val="en-US" w:eastAsia="en-US" w:bidi="ar-SA"/>
      </w:rPr>
    </w:lvl>
    <w:lvl w:ilvl="2" w:tplc="7ACED408">
      <w:numFmt w:val="bullet"/>
      <w:lvlText w:val="•"/>
      <w:lvlJc w:val="left"/>
      <w:pPr>
        <w:ind w:left="2287" w:hanging="360"/>
      </w:pPr>
      <w:rPr>
        <w:rFonts w:hint="default"/>
        <w:lang w:val="en-US" w:eastAsia="en-US" w:bidi="ar-SA"/>
      </w:rPr>
    </w:lvl>
    <w:lvl w:ilvl="3" w:tplc="B84E2790">
      <w:numFmt w:val="bullet"/>
      <w:lvlText w:val="•"/>
      <w:lvlJc w:val="left"/>
      <w:pPr>
        <w:ind w:left="3171" w:hanging="360"/>
      </w:pPr>
      <w:rPr>
        <w:rFonts w:hint="default"/>
        <w:lang w:val="en-US" w:eastAsia="en-US" w:bidi="ar-SA"/>
      </w:rPr>
    </w:lvl>
    <w:lvl w:ilvl="4" w:tplc="409AD144">
      <w:numFmt w:val="bullet"/>
      <w:lvlText w:val="•"/>
      <w:lvlJc w:val="left"/>
      <w:pPr>
        <w:ind w:left="4054" w:hanging="360"/>
      </w:pPr>
      <w:rPr>
        <w:rFonts w:hint="default"/>
        <w:lang w:val="en-US" w:eastAsia="en-US" w:bidi="ar-SA"/>
      </w:rPr>
    </w:lvl>
    <w:lvl w:ilvl="5" w:tplc="D2E65DB8">
      <w:numFmt w:val="bullet"/>
      <w:lvlText w:val="•"/>
      <w:lvlJc w:val="left"/>
      <w:pPr>
        <w:ind w:left="4938" w:hanging="360"/>
      </w:pPr>
      <w:rPr>
        <w:rFonts w:hint="default"/>
        <w:lang w:val="en-US" w:eastAsia="en-US" w:bidi="ar-SA"/>
      </w:rPr>
    </w:lvl>
    <w:lvl w:ilvl="6" w:tplc="EE0029DA">
      <w:numFmt w:val="bullet"/>
      <w:lvlText w:val="•"/>
      <w:lvlJc w:val="left"/>
      <w:pPr>
        <w:ind w:left="5822" w:hanging="360"/>
      </w:pPr>
      <w:rPr>
        <w:rFonts w:hint="default"/>
        <w:lang w:val="en-US" w:eastAsia="en-US" w:bidi="ar-SA"/>
      </w:rPr>
    </w:lvl>
    <w:lvl w:ilvl="7" w:tplc="ED2083C0">
      <w:numFmt w:val="bullet"/>
      <w:lvlText w:val="•"/>
      <w:lvlJc w:val="left"/>
      <w:pPr>
        <w:ind w:left="6705" w:hanging="360"/>
      </w:pPr>
      <w:rPr>
        <w:rFonts w:hint="default"/>
        <w:lang w:val="en-US" w:eastAsia="en-US" w:bidi="ar-SA"/>
      </w:rPr>
    </w:lvl>
    <w:lvl w:ilvl="8" w:tplc="D07EF820">
      <w:numFmt w:val="bullet"/>
      <w:lvlText w:val="•"/>
      <w:lvlJc w:val="left"/>
      <w:pPr>
        <w:ind w:left="7589" w:hanging="360"/>
      </w:pPr>
      <w:rPr>
        <w:rFonts w:hint="default"/>
        <w:lang w:val="en-US" w:eastAsia="en-US" w:bidi="ar-SA"/>
      </w:rPr>
    </w:lvl>
  </w:abstractNum>
  <w:abstractNum w:abstractNumId="4">
    <w:nsid w:val="65B47BBC"/>
    <w:multiLevelType w:val="hybridMultilevel"/>
    <w:tmpl w:val="3E828062"/>
    <w:lvl w:ilvl="0" w:tplc="1E5CF69A">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5">
    <w:nsid w:val="678236C4"/>
    <w:multiLevelType w:val="multilevel"/>
    <w:tmpl w:val="5E6250E6"/>
    <w:lvl w:ilvl="0">
      <w:start w:val="5"/>
      <w:numFmt w:val="decimal"/>
      <w:lvlText w:val="%1."/>
      <w:lvlJc w:val="left"/>
      <w:pPr>
        <w:ind w:left="465" w:hanging="46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713126BD"/>
    <w:multiLevelType w:val="hybridMultilevel"/>
    <w:tmpl w:val="07C671A0"/>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3"/>
  </w:num>
  <w:num w:numId="2">
    <w:abstractNumId w:val="0"/>
  </w:num>
  <w:num w:numId="3">
    <w:abstractNumId w:val="2"/>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E20F1"/>
    <w:rsid w:val="002023A5"/>
    <w:rsid w:val="00494136"/>
    <w:rsid w:val="005829CA"/>
    <w:rsid w:val="00670759"/>
    <w:rsid w:val="006D3AB2"/>
    <w:rsid w:val="007E20F1"/>
    <w:rsid w:val="00893A88"/>
    <w:rsid w:val="008F6FA4"/>
    <w:rsid w:val="00C44240"/>
    <w:rsid w:val="00E026B7"/>
    <w:rsid w:val="00E26231"/>
    <w:rsid w:val="00E63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11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525" w:right="163" w:hanging="360"/>
      <w:jc w:val="both"/>
    </w:pPr>
  </w:style>
  <w:style w:type="paragraph" w:customStyle="1" w:styleId="TableParagraph">
    <w:name w:val="Table Paragraph"/>
    <w:basedOn w:val="Normal"/>
    <w:uiPriority w:val="1"/>
    <w:qFormat/>
    <w:pPr>
      <w:spacing w:line="298" w:lineRule="exact"/>
      <w:ind w:left="107"/>
    </w:pPr>
  </w:style>
  <w:style w:type="paragraph" w:styleId="Header">
    <w:name w:val="header"/>
    <w:basedOn w:val="Normal"/>
    <w:link w:val="HeaderChar"/>
    <w:uiPriority w:val="99"/>
    <w:unhideWhenUsed/>
    <w:rsid w:val="00E635C4"/>
    <w:pPr>
      <w:tabs>
        <w:tab w:val="center" w:pos="4680"/>
        <w:tab w:val="right" w:pos="9360"/>
      </w:tabs>
    </w:pPr>
  </w:style>
  <w:style w:type="character" w:customStyle="1" w:styleId="HeaderChar">
    <w:name w:val="Header Char"/>
    <w:basedOn w:val="DefaultParagraphFont"/>
    <w:link w:val="Header"/>
    <w:uiPriority w:val="99"/>
    <w:rsid w:val="00E635C4"/>
    <w:rPr>
      <w:rFonts w:ascii="Georgia" w:eastAsia="Georgia" w:hAnsi="Georgia" w:cs="Georgia"/>
    </w:rPr>
  </w:style>
  <w:style w:type="paragraph" w:styleId="Footer">
    <w:name w:val="footer"/>
    <w:basedOn w:val="Normal"/>
    <w:link w:val="FooterChar"/>
    <w:uiPriority w:val="99"/>
    <w:unhideWhenUsed/>
    <w:rsid w:val="00E635C4"/>
    <w:pPr>
      <w:tabs>
        <w:tab w:val="center" w:pos="4680"/>
        <w:tab w:val="right" w:pos="9360"/>
      </w:tabs>
    </w:pPr>
  </w:style>
  <w:style w:type="character" w:customStyle="1" w:styleId="FooterChar">
    <w:name w:val="Footer Char"/>
    <w:basedOn w:val="DefaultParagraphFont"/>
    <w:link w:val="Footer"/>
    <w:uiPriority w:val="99"/>
    <w:rsid w:val="00E635C4"/>
    <w:rPr>
      <w:rFonts w:ascii="Georgia" w:eastAsia="Georgia" w:hAnsi="Georgia" w:cs="Georgia"/>
    </w:rPr>
  </w:style>
  <w:style w:type="character" w:styleId="CommentReference">
    <w:name w:val="annotation reference"/>
    <w:basedOn w:val="DefaultParagraphFont"/>
    <w:uiPriority w:val="99"/>
    <w:semiHidden/>
    <w:unhideWhenUsed/>
    <w:rsid w:val="00494136"/>
    <w:rPr>
      <w:sz w:val="16"/>
      <w:szCs w:val="16"/>
    </w:rPr>
  </w:style>
  <w:style w:type="paragraph" w:styleId="CommentText">
    <w:name w:val="annotation text"/>
    <w:basedOn w:val="Normal"/>
    <w:link w:val="CommentTextChar"/>
    <w:uiPriority w:val="99"/>
    <w:semiHidden/>
    <w:unhideWhenUsed/>
    <w:rsid w:val="00494136"/>
    <w:rPr>
      <w:sz w:val="20"/>
      <w:szCs w:val="20"/>
    </w:rPr>
  </w:style>
  <w:style w:type="character" w:customStyle="1" w:styleId="CommentTextChar">
    <w:name w:val="Comment Text Char"/>
    <w:basedOn w:val="DefaultParagraphFont"/>
    <w:link w:val="CommentText"/>
    <w:uiPriority w:val="99"/>
    <w:semiHidden/>
    <w:rsid w:val="00494136"/>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494136"/>
    <w:rPr>
      <w:b/>
      <w:bCs/>
    </w:rPr>
  </w:style>
  <w:style w:type="character" w:customStyle="1" w:styleId="CommentSubjectChar">
    <w:name w:val="Comment Subject Char"/>
    <w:basedOn w:val="CommentTextChar"/>
    <w:link w:val="CommentSubject"/>
    <w:uiPriority w:val="99"/>
    <w:semiHidden/>
    <w:rsid w:val="00494136"/>
    <w:rPr>
      <w:rFonts w:ascii="Georgia" w:eastAsia="Georgia" w:hAnsi="Georgia" w:cs="Georgia"/>
      <w:b/>
      <w:bCs/>
      <w:sz w:val="20"/>
      <w:szCs w:val="20"/>
    </w:rPr>
  </w:style>
  <w:style w:type="paragraph" w:styleId="BalloonText">
    <w:name w:val="Balloon Text"/>
    <w:basedOn w:val="Normal"/>
    <w:link w:val="BalloonTextChar"/>
    <w:uiPriority w:val="99"/>
    <w:semiHidden/>
    <w:unhideWhenUsed/>
    <w:rsid w:val="00494136"/>
    <w:rPr>
      <w:rFonts w:ascii="Tahoma" w:hAnsi="Tahoma" w:cs="Tahoma"/>
      <w:sz w:val="16"/>
      <w:szCs w:val="16"/>
    </w:rPr>
  </w:style>
  <w:style w:type="character" w:customStyle="1" w:styleId="BalloonTextChar">
    <w:name w:val="Balloon Text Char"/>
    <w:basedOn w:val="DefaultParagraphFont"/>
    <w:link w:val="BalloonText"/>
    <w:uiPriority w:val="99"/>
    <w:semiHidden/>
    <w:rsid w:val="00494136"/>
    <w:rPr>
      <w:rFonts w:ascii="Tahoma" w:eastAsia="Georg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6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525" w:right="163" w:hanging="360"/>
      <w:jc w:val="both"/>
    </w:pPr>
  </w:style>
  <w:style w:type="paragraph" w:customStyle="1" w:styleId="TableParagraph">
    <w:name w:val="Table Paragraph"/>
    <w:basedOn w:val="Normal"/>
    <w:uiPriority w:val="1"/>
    <w:qFormat/>
    <w:pPr>
      <w:spacing w:line="298" w:lineRule="exact"/>
      <w:ind w:left="107"/>
    </w:pPr>
  </w:style>
  <w:style w:type="paragraph" w:styleId="Header">
    <w:name w:val="header"/>
    <w:basedOn w:val="Normal"/>
    <w:link w:val="HeaderChar"/>
    <w:uiPriority w:val="99"/>
    <w:unhideWhenUsed/>
    <w:rsid w:val="00E635C4"/>
    <w:pPr>
      <w:tabs>
        <w:tab w:val="center" w:pos="4680"/>
        <w:tab w:val="right" w:pos="9360"/>
      </w:tabs>
    </w:pPr>
  </w:style>
  <w:style w:type="character" w:customStyle="1" w:styleId="HeaderChar">
    <w:name w:val="Header Char"/>
    <w:basedOn w:val="DefaultParagraphFont"/>
    <w:link w:val="Header"/>
    <w:uiPriority w:val="99"/>
    <w:rsid w:val="00E635C4"/>
    <w:rPr>
      <w:rFonts w:ascii="Georgia" w:eastAsia="Georgia" w:hAnsi="Georgia" w:cs="Georgia"/>
    </w:rPr>
  </w:style>
  <w:style w:type="paragraph" w:styleId="Footer">
    <w:name w:val="footer"/>
    <w:basedOn w:val="Normal"/>
    <w:link w:val="FooterChar"/>
    <w:uiPriority w:val="99"/>
    <w:unhideWhenUsed/>
    <w:rsid w:val="00E635C4"/>
    <w:pPr>
      <w:tabs>
        <w:tab w:val="center" w:pos="4680"/>
        <w:tab w:val="right" w:pos="9360"/>
      </w:tabs>
    </w:pPr>
  </w:style>
  <w:style w:type="character" w:customStyle="1" w:styleId="FooterChar">
    <w:name w:val="Footer Char"/>
    <w:basedOn w:val="DefaultParagraphFont"/>
    <w:link w:val="Footer"/>
    <w:uiPriority w:val="99"/>
    <w:rsid w:val="00E635C4"/>
    <w:rPr>
      <w:rFonts w:ascii="Georgia" w:eastAsia="Georgia" w:hAnsi="Georgia" w:cs="Georgia"/>
    </w:rPr>
  </w:style>
  <w:style w:type="character" w:styleId="CommentReference">
    <w:name w:val="annotation reference"/>
    <w:basedOn w:val="DefaultParagraphFont"/>
    <w:uiPriority w:val="99"/>
    <w:semiHidden/>
    <w:unhideWhenUsed/>
    <w:rsid w:val="00494136"/>
    <w:rPr>
      <w:sz w:val="16"/>
      <w:szCs w:val="16"/>
    </w:rPr>
  </w:style>
  <w:style w:type="paragraph" w:styleId="CommentText">
    <w:name w:val="annotation text"/>
    <w:basedOn w:val="Normal"/>
    <w:link w:val="CommentTextChar"/>
    <w:uiPriority w:val="99"/>
    <w:semiHidden/>
    <w:unhideWhenUsed/>
    <w:rsid w:val="00494136"/>
    <w:rPr>
      <w:sz w:val="20"/>
      <w:szCs w:val="20"/>
    </w:rPr>
  </w:style>
  <w:style w:type="character" w:customStyle="1" w:styleId="CommentTextChar">
    <w:name w:val="Comment Text Char"/>
    <w:basedOn w:val="DefaultParagraphFont"/>
    <w:link w:val="CommentText"/>
    <w:uiPriority w:val="99"/>
    <w:semiHidden/>
    <w:rsid w:val="00494136"/>
    <w:rPr>
      <w:rFonts w:ascii="Georgia" w:eastAsia="Georgia" w:hAnsi="Georgia" w:cs="Georgia"/>
      <w:sz w:val="20"/>
      <w:szCs w:val="20"/>
    </w:rPr>
  </w:style>
  <w:style w:type="paragraph" w:styleId="CommentSubject">
    <w:name w:val="annotation subject"/>
    <w:basedOn w:val="CommentText"/>
    <w:next w:val="CommentText"/>
    <w:link w:val="CommentSubjectChar"/>
    <w:uiPriority w:val="99"/>
    <w:semiHidden/>
    <w:unhideWhenUsed/>
    <w:rsid w:val="00494136"/>
    <w:rPr>
      <w:b/>
      <w:bCs/>
    </w:rPr>
  </w:style>
  <w:style w:type="character" w:customStyle="1" w:styleId="CommentSubjectChar">
    <w:name w:val="Comment Subject Char"/>
    <w:basedOn w:val="CommentTextChar"/>
    <w:link w:val="CommentSubject"/>
    <w:uiPriority w:val="99"/>
    <w:semiHidden/>
    <w:rsid w:val="00494136"/>
    <w:rPr>
      <w:rFonts w:ascii="Georgia" w:eastAsia="Georgia" w:hAnsi="Georgia" w:cs="Georgia"/>
      <w:b/>
      <w:bCs/>
      <w:sz w:val="20"/>
      <w:szCs w:val="20"/>
    </w:rPr>
  </w:style>
  <w:style w:type="paragraph" w:styleId="BalloonText">
    <w:name w:val="Balloon Text"/>
    <w:basedOn w:val="Normal"/>
    <w:link w:val="BalloonTextChar"/>
    <w:uiPriority w:val="99"/>
    <w:semiHidden/>
    <w:unhideWhenUsed/>
    <w:rsid w:val="00494136"/>
    <w:rPr>
      <w:rFonts w:ascii="Tahoma" w:hAnsi="Tahoma" w:cs="Tahoma"/>
      <w:sz w:val="16"/>
      <w:szCs w:val="16"/>
    </w:rPr>
  </w:style>
  <w:style w:type="character" w:customStyle="1" w:styleId="BalloonTextChar">
    <w:name w:val="Balloon Text Char"/>
    <w:basedOn w:val="DefaultParagraphFont"/>
    <w:link w:val="BalloonText"/>
    <w:uiPriority w:val="99"/>
    <w:semiHidden/>
    <w:rsid w:val="00494136"/>
    <w:rPr>
      <w:rFonts w:ascii="Tahoma" w:eastAsia="Georg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3991</Words>
  <Characters>22749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ENIBLAC\</dc:creator>
  <dc:description/>
  <cp:lastModifiedBy>admin</cp:lastModifiedBy>
  <cp:revision>4</cp:revision>
  <dcterms:created xsi:type="dcterms:W3CDTF">2025-04-18T10:24:00Z</dcterms:created>
  <dcterms:modified xsi:type="dcterms:W3CDTF">2025-04-23T13:39:00Z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2025-04-18T00:00:00Z</vt:filetime>
  </property>
  <property fmtid="{D5CDD505-2E9C-101B-9397-08002B2CF9AE}" pid="3" name="Creator">
    <vt:lpwstr>WPS Office WWO_wpscloud_20231009072630-3916d64f34</vt:lpwstr>
  </property>
  <property fmtid="{D5CDD505-2E9C-101B-9397-08002B2CF9AE}" pid="4" name="LastSaved">
    <vt:filetime>2025-04-18T00:00:00Z</vt:filetime>
  </property>
  <property fmtid="{D5CDD505-2E9C-101B-9397-08002B2CF9AE}" pid="5" name="SourceModified">
    <vt:lpwstr>D:20250418150721+07'07'</vt:lpwstr>
  </property>
</Properties>
</file>