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C3257A" w14:paraId="1643A4CA" w14:textId="77777777" w:rsidTr="00C3257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3257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3257A" w14:paraId="127EAD7E" w14:textId="77777777" w:rsidTr="00C3257A">
        <w:trPr>
          <w:trHeight w:val="413"/>
        </w:trPr>
        <w:tc>
          <w:tcPr>
            <w:tcW w:w="1248" w:type="pct"/>
          </w:tcPr>
          <w:p w14:paraId="3C159AA5" w14:textId="77777777" w:rsidR="0000007A" w:rsidRPr="00C3257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5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3257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D3557D6" w:rsidR="0000007A" w:rsidRPr="00C3257A" w:rsidRDefault="00DE234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3257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C3257A" w14:paraId="73C90375" w14:textId="77777777" w:rsidTr="00C3257A">
        <w:trPr>
          <w:trHeight w:val="290"/>
        </w:trPr>
        <w:tc>
          <w:tcPr>
            <w:tcW w:w="1248" w:type="pct"/>
          </w:tcPr>
          <w:p w14:paraId="20D28135" w14:textId="77777777" w:rsidR="0000007A" w:rsidRPr="00C3257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57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9698C94" w:rsidR="0000007A" w:rsidRPr="00C3257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325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325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325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E2347" w:rsidRPr="00C325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5540</w:t>
            </w:r>
          </w:p>
        </w:tc>
      </w:tr>
      <w:tr w:rsidR="0000007A" w:rsidRPr="00C3257A" w14:paraId="05B60576" w14:textId="77777777" w:rsidTr="00C3257A">
        <w:trPr>
          <w:trHeight w:val="331"/>
        </w:trPr>
        <w:tc>
          <w:tcPr>
            <w:tcW w:w="1248" w:type="pct"/>
          </w:tcPr>
          <w:p w14:paraId="0196A627" w14:textId="77777777" w:rsidR="0000007A" w:rsidRPr="00C3257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5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823D484" w:rsidR="0000007A" w:rsidRPr="00C3257A" w:rsidRDefault="00DE23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3257A">
              <w:rPr>
                <w:rFonts w:ascii="Arial" w:hAnsi="Arial" w:cs="Arial"/>
                <w:b/>
                <w:sz w:val="20"/>
                <w:szCs w:val="20"/>
                <w:lang w:val="en-GB"/>
              </w:rPr>
              <w:t>Therapeutic Management of Gastroesophageal Reflux Disease (GERD)—Is There Something Between PPI and Fundoplication? An Overview</w:t>
            </w:r>
          </w:p>
        </w:tc>
      </w:tr>
      <w:tr w:rsidR="00CF0BBB" w:rsidRPr="00C3257A" w14:paraId="6D508B1C" w14:textId="77777777" w:rsidTr="00C3257A">
        <w:trPr>
          <w:trHeight w:val="332"/>
        </w:trPr>
        <w:tc>
          <w:tcPr>
            <w:tcW w:w="1248" w:type="pct"/>
          </w:tcPr>
          <w:p w14:paraId="32FC28F7" w14:textId="77777777" w:rsidR="00CF0BBB" w:rsidRPr="00C3257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257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980E3F" w:rsidR="00CF0BBB" w:rsidRPr="00C3257A" w:rsidRDefault="00DE23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57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3257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C3257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C3257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3257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C3257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C3257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3257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C3257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3257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FBC6CCF" w:rsidR="00E03C32" w:rsidRDefault="00DE0DE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DE0DE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Clinical Medicine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DE0DE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14(2), 362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2F914C0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DE0DEA" w:rsidRPr="00177E34">
                    <w:rPr>
                      <w:lang w:val="en-US"/>
                    </w:rPr>
                    <w:t xml:space="preserve"> </w:t>
                  </w:r>
                  <w:hyperlink r:id="rId8" w:history="1">
                    <w:r w:rsidR="00DE0DEA" w:rsidRPr="00B556FF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https://doi.org/10.3390/jcm14020362</w:t>
                    </w:r>
                  </w:hyperlink>
                  <w:r w:rsidR="00DE0DE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C3257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3257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C3257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3257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257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3257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325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3257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257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3257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257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3257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3257A">
              <w:rPr>
                <w:rFonts w:ascii="Arial" w:hAnsi="Arial" w:cs="Arial"/>
                <w:lang w:val="en-GB"/>
              </w:rPr>
              <w:t>Author’s Feedback</w:t>
            </w:r>
            <w:r w:rsidRPr="00C3257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3257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3257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325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5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3257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2E68BCF" w14:textId="7DE6BFA0" w:rsidR="00177E34" w:rsidRPr="00C3257A" w:rsidRDefault="00177E34" w:rsidP="00177E3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color w:val="1F1F1F"/>
                <w:sz w:val="20"/>
                <w:szCs w:val="20"/>
                <w:lang w:val="en" w:eastAsia="hr-HR"/>
              </w:rPr>
            </w:pPr>
            <w:r w:rsidRPr="00C3257A">
              <w:rPr>
                <w:rFonts w:ascii="Arial" w:hAnsi="Arial" w:cs="Arial"/>
                <w:color w:val="1F1F1F"/>
                <w:sz w:val="20"/>
                <w:szCs w:val="20"/>
                <w:lang w:val="en" w:eastAsia="hr-HR"/>
              </w:rPr>
              <w:t>Surgical and endoscopic methods of GERD treatment are listed in the paper. But only in a few techniques, the total number of patients who underwent the procedure is shown, so the percentages showing the success of the procedure are not insignificant but not particularly significant</w:t>
            </w:r>
          </w:p>
          <w:p w14:paraId="7DBC9196" w14:textId="77777777" w:rsidR="00F1171E" w:rsidRPr="00C3257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23" w:type="pct"/>
          </w:tcPr>
          <w:p w14:paraId="462A339C" w14:textId="77777777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3257A" w14:paraId="0D8B5B2C" w14:textId="77777777" w:rsidTr="00791117">
        <w:trPr>
          <w:trHeight w:val="773"/>
        </w:trPr>
        <w:tc>
          <w:tcPr>
            <w:tcW w:w="1265" w:type="pct"/>
            <w:noWrap/>
          </w:tcPr>
          <w:p w14:paraId="21CBA5FE" w14:textId="77777777" w:rsidR="00F1171E" w:rsidRPr="00C325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5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325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5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D70EA7E" w:rsidR="00F1171E" w:rsidRPr="00C3257A" w:rsidRDefault="00544DD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5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New Title </w:t>
            </w:r>
            <w:proofErr w:type="gramStart"/>
            <w:r w:rsidRPr="00C3257A">
              <w:rPr>
                <w:rFonts w:ascii="Arial" w:hAnsi="Arial" w:cs="Arial"/>
                <w:b/>
                <w:sz w:val="20"/>
                <w:szCs w:val="20"/>
                <w:lang w:val="en-GB"/>
              </w:rPr>
              <w:t>-  “</w:t>
            </w:r>
            <w:proofErr w:type="gramEnd"/>
            <w:r w:rsidR="00CB2B7D" w:rsidRPr="00C3257A">
              <w:rPr>
                <w:rFonts w:ascii="Arial" w:hAnsi="Arial" w:cs="Arial"/>
                <w:b/>
                <w:sz w:val="20"/>
                <w:szCs w:val="20"/>
                <w:lang w:val="en-GB"/>
              </w:rPr>
              <w:t>Management of Gastroesophageal Reflux Disease (GERD)—Is There Something Between PPI and Fundoplication? An Overview</w:t>
            </w:r>
            <w:r w:rsidRPr="00C3257A">
              <w:rPr>
                <w:rFonts w:ascii="Arial" w:hAnsi="Arial" w:cs="Arial"/>
                <w:b/>
                <w:sz w:val="20"/>
                <w:szCs w:val="20"/>
                <w:lang w:val="en-GB"/>
              </w:rPr>
              <w:t>”</w:t>
            </w:r>
          </w:p>
        </w:tc>
        <w:tc>
          <w:tcPr>
            <w:tcW w:w="1523" w:type="pct"/>
          </w:tcPr>
          <w:p w14:paraId="405B6701" w14:textId="77777777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3257A" w14:paraId="5604762A" w14:textId="77777777" w:rsidTr="00791117">
        <w:trPr>
          <w:trHeight w:val="854"/>
        </w:trPr>
        <w:tc>
          <w:tcPr>
            <w:tcW w:w="1265" w:type="pct"/>
            <w:noWrap/>
          </w:tcPr>
          <w:p w14:paraId="3635573D" w14:textId="77777777" w:rsidR="00F1171E" w:rsidRPr="00C3257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3257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21E42F0" w:rsidR="00F1171E" w:rsidRPr="00C3257A" w:rsidRDefault="00CB2B7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5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3257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3257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325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0710EDD6" w14:textId="77777777" w:rsidR="00C1150E" w:rsidRPr="00C3257A" w:rsidRDefault="00C1150E" w:rsidP="00C1150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color w:val="1F1F1F"/>
                <w:sz w:val="20"/>
                <w:szCs w:val="20"/>
                <w:lang w:val="hr-HR" w:eastAsia="hr-HR"/>
              </w:rPr>
            </w:pPr>
            <w:r w:rsidRPr="00C3257A">
              <w:rPr>
                <w:rFonts w:ascii="Arial" w:hAnsi="Arial" w:cs="Arial"/>
                <w:color w:val="1F1F1F"/>
                <w:sz w:val="20"/>
                <w:szCs w:val="20"/>
                <w:lang w:val="en" w:eastAsia="hr-HR"/>
              </w:rPr>
              <w:t>The aforementioned studies are superficial. Each lacks the number of participants, the period in which they were treated, and the results of long-term follow-up.</w:t>
            </w:r>
          </w:p>
          <w:p w14:paraId="2B5A7721" w14:textId="77777777" w:rsidR="00F1171E" w:rsidRPr="00C3257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23" w:type="pct"/>
          </w:tcPr>
          <w:p w14:paraId="4898F764" w14:textId="77777777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3257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20BED260" w:rsidR="00F1171E" w:rsidRPr="00C3257A" w:rsidRDefault="00F1171E" w:rsidP="007911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5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6A58C9F0" w:rsidR="00F1171E" w:rsidRPr="00C3257A" w:rsidRDefault="00C1150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25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3257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3257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3257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325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325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ED86086" w:rsidR="00F1171E" w:rsidRPr="00C3257A" w:rsidRDefault="00C1150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257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49A6CEF" w14:textId="38EAB622" w:rsidR="00F1171E" w:rsidRPr="00C325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325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3257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3257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3257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3257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7C354D8" w14:textId="20CD330A" w:rsidR="00E646C2" w:rsidRPr="00C3257A" w:rsidRDefault="00E646C2" w:rsidP="00E646C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color w:val="1F1F1F"/>
                <w:sz w:val="20"/>
                <w:szCs w:val="20"/>
                <w:lang w:val="en" w:eastAsia="hr-HR"/>
              </w:rPr>
            </w:pPr>
            <w:r w:rsidRPr="00C3257A">
              <w:rPr>
                <w:rFonts w:ascii="Arial" w:hAnsi="Arial" w:cs="Arial"/>
                <w:color w:val="1F1F1F"/>
                <w:sz w:val="20"/>
                <w:szCs w:val="20"/>
                <w:lang w:val="en" w:eastAsia="hr-HR"/>
              </w:rPr>
              <w:t xml:space="preserve">As a medical treatment option, only </w:t>
            </w:r>
            <w:proofErr w:type="spellStart"/>
            <w:r w:rsidRPr="00C3257A">
              <w:rPr>
                <w:rFonts w:ascii="Arial" w:hAnsi="Arial" w:cs="Arial"/>
                <w:color w:val="1F1F1F"/>
                <w:sz w:val="20"/>
                <w:szCs w:val="20"/>
                <w:lang w:val="en" w:eastAsia="hr-HR"/>
              </w:rPr>
              <w:t>ppi</w:t>
            </w:r>
            <w:proofErr w:type="spellEnd"/>
            <w:r w:rsidRPr="00C3257A">
              <w:rPr>
                <w:rFonts w:ascii="Arial" w:hAnsi="Arial" w:cs="Arial"/>
                <w:color w:val="1F1F1F"/>
                <w:sz w:val="20"/>
                <w:szCs w:val="20"/>
                <w:lang w:val="en" w:eastAsia="hr-HR"/>
              </w:rPr>
              <w:t xml:space="preserve"> was offered, there is no data on the use of prokinetics. The population of patients with diabetes mellitus was not selected.</w:t>
            </w:r>
          </w:p>
          <w:p w14:paraId="6B9A866F" w14:textId="77777777" w:rsidR="00E646C2" w:rsidRPr="00C3257A" w:rsidRDefault="00E646C2" w:rsidP="00E646C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color w:val="1F1F1F"/>
                <w:sz w:val="20"/>
                <w:szCs w:val="20"/>
                <w:lang w:val="hr-HR" w:eastAsia="hr-HR"/>
              </w:rPr>
            </w:pPr>
            <w:r w:rsidRPr="00C3257A">
              <w:rPr>
                <w:rFonts w:ascii="Arial" w:hAnsi="Arial" w:cs="Arial"/>
                <w:color w:val="1F1F1F"/>
                <w:sz w:val="20"/>
                <w:szCs w:val="20"/>
                <w:lang w:val="en" w:eastAsia="hr-HR"/>
              </w:rPr>
              <w:t>There is also no data on the radiological work-up of the patient before surgical and/or endoscopic approach, as the simple act of swallowing</w:t>
            </w:r>
          </w:p>
          <w:p w14:paraId="7EB58C99" w14:textId="77777777" w:rsidR="00F1171E" w:rsidRPr="00C3257A" w:rsidRDefault="00F1171E" w:rsidP="007222C8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14:paraId="15DFD0E8" w14:textId="77777777" w:rsidR="00F1171E" w:rsidRPr="00C325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325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325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325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325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C325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C325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C325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C325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C325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C3257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325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3257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3257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325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3257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325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257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C325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3257A">
              <w:rPr>
                <w:rFonts w:ascii="Arial" w:hAnsi="Arial" w:cs="Arial"/>
                <w:lang w:val="en-GB"/>
              </w:rPr>
              <w:t>Author’s comment</w:t>
            </w:r>
            <w:r w:rsidRPr="00C3257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3257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3257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325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25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325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C325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3257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3257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3257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C325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B751E50" w:rsidR="00F1171E" w:rsidRPr="00C325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C3257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3257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3257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325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1B08492" w14:textId="77777777" w:rsidR="00C3257A" w:rsidRPr="00C16377" w:rsidRDefault="00C3257A" w:rsidP="00C3257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BDAC341" w14:textId="77777777" w:rsidR="00C3257A" w:rsidRPr="00C16377" w:rsidRDefault="00C3257A" w:rsidP="00C325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16377">
        <w:rPr>
          <w:rFonts w:ascii="Arial" w:hAnsi="Arial" w:cs="Arial"/>
          <w:b/>
          <w:u w:val="single"/>
        </w:rPr>
        <w:t>Reviewer details:</w:t>
      </w:r>
    </w:p>
    <w:p w14:paraId="12819C3D" w14:textId="77777777" w:rsidR="00C3257A" w:rsidRPr="00C16377" w:rsidRDefault="00C3257A" w:rsidP="00C3257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16377">
        <w:rPr>
          <w:rFonts w:ascii="Arial" w:hAnsi="Arial" w:cs="Arial"/>
          <w:b/>
          <w:color w:val="000000"/>
        </w:rPr>
        <w:t xml:space="preserve">Melanija </w:t>
      </w:r>
      <w:proofErr w:type="spellStart"/>
      <w:r w:rsidRPr="00C16377">
        <w:rPr>
          <w:rFonts w:ascii="Arial" w:hAnsi="Arial" w:cs="Arial"/>
          <w:b/>
          <w:color w:val="000000"/>
        </w:rPr>
        <w:t>Razov</w:t>
      </w:r>
      <w:proofErr w:type="spellEnd"/>
      <w:r w:rsidRPr="00C16377">
        <w:rPr>
          <w:rFonts w:ascii="Arial" w:hAnsi="Arial" w:cs="Arial"/>
          <w:b/>
          <w:color w:val="000000"/>
        </w:rPr>
        <w:t xml:space="preserve"> </w:t>
      </w:r>
      <w:proofErr w:type="spellStart"/>
      <w:r w:rsidRPr="00C16377">
        <w:rPr>
          <w:rFonts w:ascii="Arial" w:hAnsi="Arial" w:cs="Arial"/>
          <w:b/>
          <w:color w:val="000000"/>
        </w:rPr>
        <w:t>Radas</w:t>
      </w:r>
      <w:proofErr w:type="spellEnd"/>
      <w:r w:rsidRPr="00C16377">
        <w:rPr>
          <w:rFonts w:ascii="Arial" w:hAnsi="Arial" w:cs="Arial"/>
          <w:b/>
          <w:color w:val="000000"/>
        </w:rPr>
        <w:t>, University of Zadar, And University of Split, Croatia</w:t>
      </w:r>
    </w:p>
    <w:p w14:paraId="19CC67A2" w14:textId="77777777" w:rsidR="00C3257A" w:rsidRPr="00C3257A" w:rsidRDefault="00C3257A">
      <w:pPr>
        <w:rPr>
          <w:rFonts w:ascii="Arial" w:hAnsi="Arial" w:cs="Arial"/>
          <w:b/>
          <w:sz w:val="20"/>
          <w:szCs w:val="20"/>
        </w:rPr>
      </w:pPr>
    </w:p>
    <w:sectPr w:rsidR="00C3257A" w:rsidRPr="00C3257A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7F27" w14:textId="77777777" w:rsidR="00FB5565" w:rsidRPr="0000007A" w:rsidRDefault="00FB5565" w:rsidP="0099583E">
      <w:r>
        <w:separator/>
      </w:r>
    </w:p>
  </w:endnote>
  <w:endnote w:type="continuationSeparator" w:id="0">
    <w:p w14:paraId="454D18B1" w14:textId="77777777" w:rsidR="00FB5565" w:rsidRPr="0000007A" w:rsidRDefault="00FB556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4E4A" w14:textId="77777777" w:rsidR="00FB5565" w:rsidRPr="0000007A" w:rsidRDefault="00FB5565" w:rsidP="0099583E">
      <w:r>
        <w:separator/>
      </w:r>
    </w:p>
  </w:footnote>
  <w:footnote w:type="continuationSeparator" w:id="0">
    <w:p w14:paraId="1771D28B" w14:textId="77777777" w:rsidR="00FB5565" w:rsidRPr="0000007A" w:rsidRDefault="00FB556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702511">
    <w:abstractNumId w:val="3"/>
  </w:num>
  <w:num w:numId="2" w16cid:durableId="503515696">
    <w:abstractNumId w:val="6"/>
  </w:num>
  <w:num w:numId="3" w16cid:durableId="2045590443">
    <w:abstractNumId w:val="5"/>
  </w:num>
  <w:num w:numId="4" w16cid:durableId="1146897123">
    <w:abstractNumId w:val="7"/>
  </w:num>
  <w:num w:numId="5" w16cid:durableId="560019214">
    <w:abstractNumId w:val="4"/>
  </w:num>
  <w:num w:numId="6" w16cid:durableId="1084645849">
    <w:abstractNumId w:val="0"/>
  </w:num>
  <w:num w:numId="7" w16cid:durableId="1910846868">
    <w:abstractNumId w:val="1"/>
  </w:num>
  <w:num w:numId="8" w16cid:durableId="787243775">
    <w:abstractNumId w:val="9"/>
  </w:num>
  <w:num w:numId="9" w16cid:durableId="70548782">
    <w:abstractNumId w:val="8"/>
  </w:num>
  <w:num w:numId="10" w16cid:durableId="351538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77E34"/>
    <w:rsid w:val="00186C8F"/>
    <w:rsid w:val="0018753A"/>
    <w:rsid w:val="00197E68"/>
    <w:rsid w:val="001A1605"/>
    <w:rsid w:val="001A2F22"/>
    <w:rsid w:val="001B0C63"/>
    <w:rsid w:val="001B5029"/>
    <w:rsid w:val="001C3AAC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639C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4DD7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3F6B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4614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67E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1117"/>
    <w:rsid w:val="007A62F8"/>
    <w:rsid w:val="007B1099"/>
    <w:rsid w:val="007B54A4"/>
    <w:rsid w:val="007C6CDF"/>
    <w:rsid w:val="007D0246"/>
    <w:rsid w:val="007E1F0A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1CAA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2DC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54AD"/>
    <w:rsid w:val="00B3033D"/>
    <w:rsid w:val="00B334D9"/>
    <w:rsid w:val="00B446DB"/>
    <w:rsid w:val="00B53059"/>
    <w:rsid w:val="00B562D2"/>
    <w:rsid w:val="00B62087"/>
    <w:rsid w:val="00B62F41"/>
    <w:rsid w:val="00B63782"/>
    <w:rsid w:val="00B66599"/>
    <w:rsid w:val="00B760E1"/>
    <w:rsid w:val="00B82FFC"/>
    <w:rsid w:val="00B85D91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50E"/>
    <w:rsid w:val="00C1187E"/>
    <w:rsid w:val="00C11905"/>
    <w:rsid w:val="00C1438B"/>
    <w:rsid w:val="00C150D6"/>
    <w:rsid w:val="00C22886"/>
    <w:rsid w:val="00C25C8F"/>
    <w:rsid w:val="00C263C6"/>
    <w:rsid w:val="00C268B8"/>
    <w:rsid w:val="00C3257A"/>
    <w:rsid w:val="00C435C6"/>
    <w:rsid w:val="00C57B5F"/>
    <w:rsid w:val="00C635B6"/>
    <w:rsid w:val="00C70DFC"/>
    <w:rsid w:val="00C82466"/>
    <w:rsid w:val="00C84097"/>
    <w:rsid w:val="00CA4B20"/>
    <w:rsid w:val="00CA7853"/>
    <w:rsid w:val="00CB2B7D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6490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49D6"/>
    <w:rsid w:val="00DE0DEA"/>
    <w:rsid w:val="00DE2347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46C2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108B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565"/>
    <w:rsid w:val="00FB5BBE"/>
    <w:rsid w:val="00FC2E17"/>
    <w:rsid w:val="00FC432A"/>
    <w:rsid w:val="00FC6387"/>
    <w:rsid w:val="00FC6802"/>
    <w:rsid w:val="00FD53AB"/>
    <w:rsid w:val="00FD70A7"/>
    <w:rsid w:val="00FF09A0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D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E0D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C325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5764">
          <w:marLeft w:val="-90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2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9008">
              <w:marLeft w:val="0"/>
              <w:marRight w:val="-4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02802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23141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4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111112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2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60188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7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72140">
                          <w:marLeft w:val="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730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jcm140203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2025-05-17T05:33:00Z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