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C9002C" w14:paraId="1643A4CA" w14:textId="77777777" w:rsidTr="00C9002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9002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9002C" w14:paraId="127EAD7E" w14:textId="77777777" w:rsidTr="00C9002C">
        <w:trPr>
          <w:trHeight w:val="413"/>
        </w:trPr>
        <w:tc>
          <w:tcPr>
            <w:tcW w:w="1248" w:type="pct"/>
          </w:tcPr>
          <w:p w14:paraId="3C159AA5" w14:textId="77777777" w:rsidR="0000007A" w:rsidRPr="00C9002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90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D3557D6" w:rsidR="0000007A" w:rsidRPr="00C9002C" w:rsidRDefault="00DE234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9002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C9002C" w14:paraId="73C90375" w14:textId="77777777" w:rsidTr="00C9002C">
        <w:trPr>
          <w:trHeight w:val="290"/>
        </w:trPr>
        <w:tc>
          <w:tcPr>
            <w:tcW w:w="1248" w:type="pct"/>
          </w:tcPr>
          <w:p w14:paraId="20D28135" w14:textId="77777777" w:rsidR="0000007A" w:rsidRPr="00C900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698C94" w:rsidR="0000007A" w:rsidRPr="00C9002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E2347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5540</w:t>
            </w:r>
          </w:p>
        </w:tc>
      </w:tr>
      <w:tr w:rsidR="0000007A" w:rsidRPr="00C9002C" w14:paraId="05B60576" w14:textId="77777777" w:rsidTr="00C9002C">
        <w:trPr>
          <w:trHeight w:val="331"/>
        </w:trPr>
        <w:tc>
          <w:tcPr>
            <w:tcW w:w="1248" w:type="pct"/>
          </w:tcPr>
          <w:p w14:paraId="0196A627" w14:textId="77777777" w:rsidR="0000007A" w:rsidRPr="00C900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23D484" w:rsidR="0000007A" w:rsidRPr="00C9002C" w:rsidRDefault="00DE23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9002C">
              <w:rPr>
                <w:rFonts w:ascii="Arial" w:hAnsi="Arial" w:cs="Arial"/>
                <w:b/>
                <w:sz w:val="20"/>
                <w:szCs w:val="20"/>
                <w:lang w:val="en-GB"/>
              </w:rPr>
              <w:t>Therapeutic Management of Gastroesophageal Reflux Disease (GERD)—Is There Something Between PPI and Fundoplication? An Overview</w:t>
            </w:r>
          </w:p>
        </w:tc>
      </w:tr>
      <w:tr w:rsidR="00CF0BBB" w:rsidRPr="00C9002C" w14:paraId="6D508B1C" w14:textId="77777777" w:rsidTr="00C9002C">
        <w:trPr>
          <w:trHeight w:val="332"/>
        </w:trPr>
        <w:tc>
          <w:tcPr>
            <w:tcW w:w="1248" w:type="pct"/>
          </w:tcPr>
          <w:p w14:paraId="32FC28F7" w14:textId="77777777" w:rsidR="00CF0BBB" w:rsidRPr="00C9002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980E3F" w:rsidR="00CF0BBB" w:rsidRPr="00C9002C" w:rsidRDefault="00DE23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9002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9002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9002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9002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9002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9002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9002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9002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D3610CC" w:rsidR="00640538" w:rsidRPr="00C9002C" w:rsidRDefault="002A302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9002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B41FA8F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0108955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FBC6CCF" w:rsidR="00E03C32" w:rsidRDefault="00DE0DEA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DE0DE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Clinical Medicine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DE0DE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14(2), 362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22F914C0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DE0DEA" w:rsidRPr="002A302A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DE0DEA" w:rsidRPr="00B556FF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https://doi.org/10.3390/jcm14020362</w:t>
                              </w:r>
                            </w:hyperlink>
                            <w:r w:rsidR="00DE0DE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FBC6CCF" w:rsidR="00E03C32" w:rsidRDefault="00DE0DEA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DE0DE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Clinical Medicine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DE0DE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14(2), 362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22F914C0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DE0DEA" w:rsidRPr="002A302A">
                        <w:rPr>
                          <w:lang w:val="en-US"/>
                        </w:rPr>
                        <w:t xml:space="preserve"> </w:t>
                      </w:r>
                      <w:hyperlink r:id="rId9" w:history="1">
                        <w:r w:rsidR="00DE0DEA" w:rsidRPr="00B556FF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https://doi.org/10.3390/jcm14020362</w:t>
                        </w:r>
                      </w:hyperlink>
                      <w:r w:rsidR="00DE0DE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C9002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9002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9002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9002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002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9002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9002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002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9002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9002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9002C">
              <w:rPr>
                <w:rFonts w:ascii="Arial" w:hAnsi="Arial" w:cs="Arial"/>
                <w:lang w:val="en-GB"/>
              </w:rPr>
              <w:t>Author’s Feedback</w:t>
            </w:r>
            <w:r w:rsidRPr="00C9002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9002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9002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9002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9002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1CBCE7E" w:rsidR="00F1171E" w:rsidRPr="00C9002C" w:rsidRDefault="00A3164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GERD is one of the main </w:t>
            </w:r>
            <w:proofErr w:type="spellStart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nuacences</w:t>
            </w:r>
            <w:proofErr w:type="spellEnd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everyday gastroenterology practice</w:t>
            </w:r>
            <w:r w:rsidR="00F54F8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Moreover</w:t>
            </w:r>
            <w:proofErr w:type="gramEnd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mortality from cardiovascular causes is almost double in this patient group </w:t>
            </w:r>
            <w:r w:rsidR="006F2225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it is </w:t>
            </w:r>
            <w:proofErr w:type="spellStart"/>
            <w:r w:rsidR="006F2225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patially</w:t>
            </w:r>
            <w:proofErr w:type="spellEnd"/>
            <w:r w:rsidR="006F2225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related to lifestyle but also GERD related </w:t>
            </w:r>
            <w:proofErr w:type="spellStart"/>
            <w:r w:rsidR="006F2225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factors</w:t>
            </w:r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Pharmacological</w:t>
            </w:r>
            <w:proofErr w:type="spellEnd"/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treatment is sufficient is the vast majority with the exception of patients with irritable </w:t>
            </w:r>
            <w:proofErr w:type="spellStart"/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esophagus</w:t>
            </w:r>
            <w:proofErr w:type="spellEnd"/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grade C and D esophagitis Operative treatment is not well accepted by patients</w:t>
            </w:r>
            <w:r w:rsidR="00F54F8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Thus</w:t>
            </w:r>
            <w:proofErr w:type="gramEnd"/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minimal invasive treatment alternatives are urgently needed especially in patients with poor performance status as they are the elderly </w:t>
            </w:r>
            <w:proofErr w:type="gramStart"/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were</w:t>
            </w:r>
            <w:proofErr w:type="gramEnd"/>
            <w:r w:rsidR="000D610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disease is usually more severe</w:t>
            </w:r>
            <w:r w:rsidR="00F54F8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9002C" w14:paraId="0D8B5B2C" w14:textId="77777777" w:rsidTr="002A302A">
        <w:trPr>
          <w:trHeight w:val="541"/>
        </w:trPr>
        <w:tc>
          <w:tcPr>
            <w:tcW w:w="1265" w:type="pct"/>
            <w:noWrap/>
          </w:tcPr>
          <w:p w14:paraId="21CBA5FE" w14:textId="77777777" w:rsidR="00F1171E" w:rsidRPr="00C9002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9002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28FFBCA" w:rsidR="00F1171E" w:rsidRPr="00C9002C" w:rsidRDefault="002A302A" w:rsidP="002A30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might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stressed</w:t>
            </w:r>
            <w:proofErr w:type="gramEnd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the study pertains endoscopic and laparoscopic minimally invasive techniques</w:t>
            </w:r>
          </w:p>
        </w:tc>
        <w:tc>
          <w:tcPr>
            <w:tcW w:w="1523" w:type="pct"/>
          </w:tcPr>
          <w:p w14:paraId="405B6701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9002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9002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9002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C03B86" w14:textId="507AC72B" w:rsidR="00F1171E" w:rsidRPr="00C9002C" w:rsidRDefault="002A302A" w:rsidP="002A30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first part of the abstract is sufficient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60A7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 second part should provide apart from reporting the available </w:t>
            </w:r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techniques some hints about the mechanism on which each one is based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</w:t>
            </w:r>
            <w:proofErr w:type="gramEnd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instance although Stretta is supposed to affect the gastroesophageal sphincter it really alters the sensitivity of the </w:t>
            </w:r>
            <w:proofErr w:type="spellStart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gastroesopageal</w:t>
            </w:r>
            <w:proofErr w:type="spellEnd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junction by ablating the mucosa and causing a level of fibrosis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same path is moving mucosal ablation or removal </w:t>
            </w:r>
            <w:proofErr w:type="gramStart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</w:t>
            </w:r>
            <w:proofErr w:type="gramEnd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other hand TIF and EFTP are mimicking </w:t>
            </w:r>
            <w:proofErr w:type="spellStart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funduplication</w:t>
            </w:r>
            <w:proofErr w:type="spellEnd"/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same way is moving LINX Apart from a </w:t>
            </w:r>
            <w:proofErr w:type="spellStart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breaf</w:t>
            </w:r>
            <w:proofErr w:type="spellEnd"/>
            <w:r w:rsidR="00A3164C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description of the two main mechanisms of action a brief overview of the available results in a 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few sentences might be provided.</w:t>
            </w:r>
          </w:p>
          <w:p w14:paraId="0FB7E83A" w14:textId="287D9B6C" w:rsidR="00F54F84" w:rsidRPr="00C9002C" w:rsidRDefault="00F54F84" w:rsidP="002A30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9002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9002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AD64E96" w14:textId="1635D68C" w:rsidR="00F1171E" w:rsidRPr="00C9002C" w:rsidRDefault="000B3C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only side effect of PPI treatment that is well validated is the increase of infections</w:t>
            </w:r>
            <w:r w:rsidR="00935706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Thus</w:t>
            </w:r>
            <w:proofErr w:type="gramEnd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should be stressed that all the others are possible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Another point that should be mentioned is that all people experience reflux episodes</w:t>
            </w:r>
            <w:r w:rsidR="00935706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Nevertheless</w:t>
            </w:r>
            <w:proofErr w:type="gramEnd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they are r</w:t>
            </w:r>
            <w:r w:rsidR="005738F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esophageal</w:t>
            </w:r>
            <w:proofErr w:type="spellEnd"/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clearance is effective. </w:t>
            </w: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the frequency and severity of GER that defines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GERD !</w:t>
            </w:r>
            <w:proofErr w:type="gramEnd"/>
            <w:r w:rsidR="001140C2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two main categories of minimal invasive </w:t>
            </w:r>
            <w:proofErr w:type="spellStart"/>
            <w:r w:rsidR="001140C2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techiques</w:t>
            </w:r>
            <w:proofErr w:type="spellEnd"/>
            <w:r w:rsidR="001140C2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action might be </w:t>
            </w:r>
            <w:r w:rsidR="00593F5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described</w:t>
            </w:r>
            <w:r w:rsidR="001140C2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introduction</w:t>
            </w:r>
            <w:r w:rsidR="00935706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1140C2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3F5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brief precis of each study is not the most effective way to present e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ach technique. </w:t>
            </w:r>
            <w:proofErr w:type="spellStart"/>
            <w:r w:rsidR="00593F5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Afteral</w:t>
            </w:r>
            <w:proofErr w:type="spellEnd"/>
            <w:r w:rsidR="00593F5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population and severity of GERD in each study reported is different and should be mentioned apart from the outcomes</w:t>
            </w:r>
            <w:r w:rsidR="00935706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593F5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</w:t>
            </w:r>
            <w:proofErr w:type="gramEnd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instance reducing but not stopping PPIs </w:t>
            </w:r>
            <w:proofErr w:type="spellStart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amight</w:t>
            </w:r>
            <w:proofErr w:type="spellEnd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 important for investigators but has little impact on </w:t>
            </w:r>
            <w:proofErr w:type="gramStart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patients</w:t>
            </w:r>
            <w:proofErr w:type="gramEnd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life</w:t>
            </w:r>
            <w:r w:rsidR="00935706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3F54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target group for each technique might be as important as its efficacy</w:t>
            </w:r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Parameters of </w:t>
            </w:r>
            <w:proofErr w:type="gramStart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quality of life</w:t>
            </w:r>
            <w:proofErr w:type="gramEnd"/>
            <w:r w:rsidR="003A6AEB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evaluation and there change between study groups should be reported in more details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7055AF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Because even surgical techniques tend to fade away in the long run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7055AF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Durability of minimal invasive techniques in the long run is more important than there </w:t>
            </w:r>
            <w:proofErr w:type="gramStart"/>
            <w:r w:rsidR="007055AF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</w:t>
            </w:r>
            <w:proofErr w:type="gramEnd"/>
            <w:r w:rsidR="007055AF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efficacy in a long period of time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7055AF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8514F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Adverse effects should be described for all available techniques if possible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F65E70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Utility of those techniques for Barrett patients is of special interest since </w:t>
            </w:r>
            <w:proofErr w:type="spellStart"/>
            <w:r w:rsidR="00F65E70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funduplication</w:t>
            </w:r>
            <w:proofErr w:type="spellEnd"/>
            <w:r w:rsidR="00F65E70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might hind Barrett epithelium and make hard follow-up</w:t>
            </w:r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110D2A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Effective treatment usually combines Barrett ablation </w:t>
            </w:r>
            <w:proofErr w:type="spellStart"/>
            <w:r w:rsidR="00110D2A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Funduplication</w:t>
            </w:r>
            <w:proofErr w:type="spellEnd"/>
            <w:r w:rsidR="00110D2A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="00110D2A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gastroenterotomy</w:t>
            </w:r>
            <w:proofErr w:type="spellEnd"/>
            <w:r w:rsidR="00110D2A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242CE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Special groups such as patients with motility disorders might be of special interest and techniques adequate for those patients should be mentioned separately</w:t>
            </w:r>
            <w:r w:rsidR="00935706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110D2A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2199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Laparoscopic implantations are generally not useful and tend to be </w:t>
            </w:r>
            <w:proofErr w:type="spellStart"/>
            <w:r w:rsidR="00312199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abandond</w:t>
            </w:r>
            <w:proofErr w:type="spellEnd"/>
            <w:r w:rsidR="00B94C31"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B5A7721" w14:textId="41412286" w:rsidR="00F54F84" w:rsidRPr="00C9002C" w:rsidRDefault="00F54F8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9002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9002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9002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61213DC" w14:textId="77777777" w:rsidR="00F1171E" w:rsidRPr="00C9002C" w:rsidRDefault="000616E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should be reported in every appearance in text </w:t>
            </w:r>
          </w:p>
          <w:p w14:paraId="4B9E1442" w14:textId="555DD974" w:rsidR="00110D2A" w:rsidRPr="00C9002C" w:rsidRDefault="00110D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Hoerter NA, et al Transoral Incisionless Fundoplication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gramEnd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Patients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gramEnd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Barrett’s Esophagus Techniques and Innovations in </w:t>
            </w:r>
            <w:proofErr w:type="spellStart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>Gastointestinal</w:t>
            </w:r>
            <w:proofErr w:type="spellEnd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>Endoscopy  2023</w:t>
            </w:r>
            <w:proofErr w:type="gramEnd"/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>;25:52-55</w:t>
            </w:r>
          </w:p>
          <w:p w14:paraId="5DA13B39" w14:textId="77777777" w:rsidR="00110D2A" w:rsidRPr="00C9002C" w:rsidRDefault="00F109C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>Sui X, et al Chinese expert consensus on radiofrequency therapy of gastroesophageal reflux disease 2024 Gastroenterology and Endoscopy 2024;2:141-8</w:t>
            </w:r>
          </w:p>
          <w:p w14:paraId="24FE0567" w14:textId="7BAFC842" w:rsidR="00F109C5" w:rsidRPr="00C9002C" w:rsidRDefault="00F109C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02C">
              <w:rPr>
                <w:rFonts w:ascii="Arial" w:hAnsi="Arial" w:cs="Arial"/>
                <w:b/>
                <w:bCs/>
                <w:sz w:val="20"/>
                <w:szCs w:val="20"/>
              </w:rPr>
              <w:t>Loganathan P, et al Endoscopic Advances in the Diagnosis and Management of Gastroesophageal Reflux Disease Medicine 2024;60:1120</w:t>
            </w:r>
          </w:p>
        </w:tc>
        <w:tc>
          <w:tcPr>
            <w:tcW w:w="1523" w:type="pct"/>
          </w:tcPr>
          <w:p w14:paraId="40220055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C9002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  <w:p w14:paraId="589C16C7" w14:textId="77777777" w:rsidR="00F1171E" w:rsidRPr="00C9002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9002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453A717C" w:rsidR="00F1171E" w:rsidRPr="00C9002C" w:rsidRDefault="009E6C0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sz w:val="20"/>
                <w:szCs w:val="20"/>
                <w:lang w:val="en-GB"/>
              </w:rPr>
              <w:t>Minor language polishing is needed</w:t>
            </w:r>
          </w:p>
        </w:tc>
        <w:tc>
          <w:tcPr>
            <w:tcW w:w="1523" w:type="pct"/>
          </w:tcPr>
          <w:p w14:paraId="0351CA58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9002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9002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9002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9002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9002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307FFF8E" w:rsidR="00F1171E" w:rsidRPr="00C9002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9002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9002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9002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9002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9002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9002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9002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002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9002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9002C">
              <w:rPr>
                <w:rFonts w:ascii="Arial" w:hAnsi="Arial" w:cs="Arial"/>
                <w:lang w:val="en-GB"/>
              </w:rPr>
              <w:t>Author’s comment</w:t>
            </w:r>
            <w:r w:rsidRPr="00C9002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9002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9002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9002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00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9002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680BE26" w:rsidR="00F1171E" w:rsidRPr="00C9002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9002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9002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9002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9002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8644125" w14:textId="77777777" w:rsidR="00C9002C" w:rsidRPr="00C16377" w:rsidRDefault="00C9002C" w:rsidP="00C900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6377">
        <w:rPr>
          <w:rFonts w:ascii="Arial" w:hAnsi="Arial" w:cs="Arial"/>
          <w:b/>
          <w:u w:val="single"/>
        </w:rPr>
        <w:t>Reviewer details:</w:t>
      </w:r>
    </w:p>
    <w:p w14:paraId="492402F4" w14:textId="77777777" w:rsidR="00C9002C" w:rsidRPr="00C16377" w:rsidRDefault="00C9002C" w:rsidP="00C9002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16377">
        <w:rPr>
          <w:rFonts w:ascii="Arial" w:hAnsi="Arial" w:cs="Arial"/>
          <w:b/>
          <w:color w:val="000000"/>
        </w:rPr>
        <w:t xml:space="preserve">Panagiotis </w:t>
      </w:r>
      <w:proofErr w:type="spellStart"/>
      <w:r w:rsidRPr="00C16377">
        <w:rPr>
          <w:rFonts w:ascii="Arial" w:hAnsi="Arial" w:cs="Arial"/>
          <w:b/>
          <w:color w:val="000000"/>
        </w:rPr>
        <w:t>Tsibouris</w:t>
      </w:r>
      <w:proofErr w:type="spellEnd"/>
      <w:r w:rsidRPr="00C16377">
        <w:rPr>
          <w:rFonts w:ascii="Arial" w:hAnsi="Arial" w:cs="Arial"/>
          <w:b/>
          <w:color w:val="000000"/>
        </w:rPr>
        <w:t>, Greece</w:t>
      </w:r>
    </w:p>
    <w:p w14:paraId="5AD82A87" w14:textId="77777777" w:rsidR="00C9002C" w:rsidRPr="00C9002C" w:rsidRDefault="00C9002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9002C" w:rsidRPr="00C9002C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723D" w14:textId="77777777" w:rsidR="00962F07" w:rsidRPr="0000007A" w:rsidRDefault="00962F07" w:rsidP="0099583E">
      <w:r>
        <w:separator/>
      </w:r>
    </w:p>
  </w:endnote>
  <w:endnote w:type="continuationSeparator" w:id="0">
    <w:p w14:paraId="03A1A609" w14:textId="77777777" w:rsidR="00962F07" w:rsidRPr="0000007A" w:rsidRDefault="00962F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715C" w14:textId="77777777" w:rsidR="00962F07" w:rsidRPr="0000007A" w:rsidRDefault="00962F07" w:rsidP="0099583E">
      <w:r>
        <w:separator/>
      </w:r>
    </w:p>
  </w:footnote>
  <w:footnote w:type="continuationSeparator" w:id="0">
    <w:p w14:paraId="37A14221" w14:textId="77777777" w:rsidR="00962F07" w:rsidRPr="0000007A" w:rsidRDefault="00962F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015176">
    <w:abstractNumId w:val="3"/>
  </w:num>
  <w:num w:numId="2" w16cid:durableId="12926050">
    <w:abstractNumId w:val="6"/>
  </w:num>
  <w:num w:numId="3" w16cid:durableId="1018657089">
    <w:abstractNumId w:val="5"/>
  </w:num>
  <w:num w:numId="4" w16cid:durableId="2111510645">
    <w:abstractNumId w:val="7"/>
  </w:num>
  <w:num w:numId="5" w16cid:durableId="228031384">
    <w:abstractNumId w:val="4"/>
  </w:num>
  <w:num w:numId="6" w16cid:durableId="1866366032">
    <w:abstractNumId w:val="0"/>
  </w:num>
  <w:num w:numId="7" w16cid:durableId="1298225112">
    <w:abstractNumId w:val="1"/>
  </w:num>
  <w:num w:numId="8" w16cid:durableId="1154175685">
    <w:abstractNumId w:val="9"/>
  </w:num>
  <w:num w:numId="9" w16cid:durableId="1995524488">
    <w:abstractNumId w:val="8"/>
  </w:num>
  <w:num w:numId="10" w16cid:durableId="157335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6EA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3C42"/>
    <w:rsid w:val="000B4EE5"/>
    <w:rsid w:val="000B74A1"/>
    <w:rsid w:val="000B757E"/>
    <w:rsid w:val="000C0837"/>
    <w:rsid w:val="000C0B04"/>
    <w:rsid w:val="000C3B7E"/>
    <w:rsid w:val="000D13B0"/>
    <w:rsid w:val="000D610B"/>
    <w:rsid w:val="000F6EA8"/>
    <w:rsid w:val="00101322"/>
    <w:rsid w:val="00107CB3"/>
    <w:rsid w:val="00110D2A"/>
    <w:rsid w:val="001140C2"/>
    <w:rsid w:val="00115767"/>
    <w:rsid w:val="00121FFA"/>
    <w:rsid w:val="0012616A"/>
    <w:rsid w:val="00136984"/>
    <w:rsid w:val="001425F1"/>
    <w:rsid w:val="00142A9C"/>
    <w:rsid w:val="00150304"/>
    <w:rsid w:val="0015081F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02A"/>
    <w:rsid w:val="002A352D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2DC"/>
    <w:rsid w:val="00312199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AEB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639C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A71"/>
    <w:rsid w:val="00560D3C"/>
    <w:rsid w:val="00565D90"/>
    <w:rsid w:val="00567DE0"/>
    <w:rsid w:val="005735A5"/>
    <w:rsid w:val="005738FB"/>
    <w:rsid w:val="005757CF"/>
    <w:rsid w:val="00581FF9"/>
    <w:rsid w:val="00593F54"/>
    <w:rsid w:val="005A4F17"/>
    <w:rsid w:val="005B3509"/>
    <w:rsid w:val="005B3F6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418"/>
    <w:rsid w:val="00616EFF"/>
    <w:rsid w:val="00620677"/>
    <w:rsid w:val="00624032"/>
    <w:rsid w:val="00626025"/>
    <w:rsid w:val="006311A1"/>
    <w:rsid w:val="00634614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514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225"/>
    <w:rsid w:val="00700A1D"/>
    <w:rsid w:val="00700EF2"/>
    <w:rsid w:val="00701186"/>
    <w:rsid w:val="007055AF"/>
    <w:rsid w:val="00707BE1"/>
    <w:rsid w:val="0072235F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5706"/>
    <w:rsid w:val="00942DEE"/>
    <w:rsid w:val="00944F67"/>
    <w:rsid w:val="009553EC"/>
    <w:rsid w:val="00955E45"/>
    <w:rsid w:val="00962B70"/>
    <w:rsid w:val="00962F07"/>
    <w:rsid w:val="00967C62"/>
    <w:rsid w:val="00982766"/>
    <w:rsid w:val="009852C4"/>
    <w:rsid w:val="0099583E"/>
    <w:rsid w:val="009A0242"/>
    <w:rsid w:val="009A59ED"/>
    <w:rsid w:val="009B101F"/>
    <w:rsid w:val="009B239B"/>
    <w:rsid w:val="009B37AB"/>
    <w:rsid w:val="009C5642"/>
    <w:rsid w:val="009E13C3"/>
    <w:rsid w:val="009E6A30"/>
    <w:rsid w:val="009E6C05"/>
    <w:rsid w:val="009F07D4"/>
    <w:rsid w:val="009F29EB"/>
    <w:rsid w:val="009F7A71"/>
    <w:rsid w:val="00A001A0"/>
    <w:rsid w:val="00A12C83"/>
    <w:rsid w:val="00A15F2F"/>
    <w:rsid w:val="00A17184"/>
    <w:rsid w:val="00A3164C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5D91"/>
    <w:rsid w:val="00B94C31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7B5F"/>
    <w:rsid w:val="00C635B6"/>
    <w:rsid w:val="00C70DFC"/>
    <w:rsid w:val="00C82466"/>
    <w:rsid w:val="00C84097"/>
    <w:rsid w:val="00C9002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DEA"/>
    <w:rsid w:val="00DE2347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63B9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9C5"/>
    <w:rsid w:val="00F1171E"/>
    <w:rsid w:val="00F13071"/>
    <w:rsid w:val="00F242CE"/>
    <w:rsid w:val="00F2643C"/>
    <w:rsid w:val="00F32717"/>
    <w:rsid w:val="00F3295A"/>
    <w:rsid w:val="00F32A9A"/>
    <w:rsid w:val="00F33C84"/>
    <w:rsid w:val="00F3669D"/>
    <w:rsid w:val="00F405F8"/>
    <w:rsid w:val="00F40F12"/>
    <w:rsid w:val="00F4700F"/>
    <w:rsid w:val="00F52B15"/>
    <w:rsid w:val="00F54F84"/>
    <w:rsid w:val="00F573EA"/>
    <w:rsid w:val="00F57E9D"/>
    <w:rsid w:val="00F65E70"/>
    <w:rsid w:val="00F73CF2"/>
    <w:rsid w:val="00F80C14"/>
    <w:rsid w:val="00F96F54"/>
    <w:rsid w:val="00F978B8"/>
    <w:rsid w:val="00FA5DAD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0D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900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5764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9008">
              <w:marLeft w:val="0"/>
              <w:marRight w:val="-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2802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3141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4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11112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60188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7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72140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73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cm140203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jcm14020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5557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24</cp:revision>
  <dcterms:created xsi:type="dcterms:W3CDTF">2025-05-09T14:36:00Z</dcterms:created>
  <dcterms:modified xsi:type="dcterms:W3CDTF">2025-05-17T05:33:00Z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