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4E138D" w14:paraId="1643A4CA" w14:textId="77777777" w:rsidTr="004E138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E138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E138D" w14:paraId="127EAD7E" w14:textId="77777777" w:rsidTr="004E138D">
        <w:trPr>
          <w:trHeight w:val="413"/>
        </w:trPr>
        <w:tc>
          <w:tcPr>
            <w:tcW w:w="1248" w:type="pct"/>
          </w:tcPr>
          <w:p w14:paraId="3C159AA5" w14:textId="77777777" w:rsidR="0000007A" w:rsidRPr="004E138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E1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A43D609" w:rsidR="0000007A" w:rsidRPr="004E138D" w:rsidRDefault="009123F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E138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4E138D" w14:paraId="73C90375" w14:textId="77777777" w:rsidTr="004E138D">
        <w:trPr>
          <w:trHeight w:val="290"/>
        </w:trPr>
        <w:tc>
          <w:tcPr>
            <w:tcW w:w="1248" w:type="pct"/>
          </w:tcPr>
          <w:p w14:paraId="20D28135" w14:textId="77777777" w:rsidR="0000007A" w:rsidRPr="004E13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077852" w:rsidR="0000007A" w:rsidRPr="004E138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123FB"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5587</w:t>
            </w:r>
          </w:p>
        </w:tc>
      </w:tr>
      <w:tr w:rsidR="0000007A" w:rsidRPr="004E138D" w14:paraId="05B60576" w14:textId="77777777" w:rsidTr="004E138D">
        <w:trPr>
          <w:trHeight w:val="331"/>
        </w:trPr>
        <w:tc>
          <w:tcPr>
            <w:tcW w:w="1248" w:type="pct"/>
          </w:tcPr>
          <w:p w14:paraId="0196A627" w14:textId="77777777" w:rsidR="0000007A" w:rsidRPr="004E13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1C055D" w:rsidR="0000007A" w:rsidRPr="004E138D" w:rsidRDefault="0091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138D">
              <w:rPr>
                <w:rFonts w:ascii="Arial" w:hAnsi="Arial" w:cs="Arial"/>
                <w:b/>
                <w:sz w:val="20"/>
                <w:szCs w:val="20"/>
                <w:lang w:val="en-GB"/>
              </w:rPr>
              <w:t>Dissemination of a “Fake Miracle Cure” against COVID-19 on Twitter: The Case of Chlorine Dioxide</w:t>
            </w:r>
          </w:p>
        </w:tc>
      </w:tr>
      <w:tr w:rsidR="00CF0BBB" w:rsidRPr="004E138D" w14:paraId="6D508B1C" w14:textId="77777777" w:rsidTr="004E138D">
        <w:trPr>
          <w:trHeight w:val="332"/>
        </w:trPr>
        <w:tc>
          <w:tcPr>
            <w:tcW w:w="1248" w:type="pct"/>
          </w:tcPr>
          <w:p w14:paraId="32FC28F7" w14:textId="77777777" w:rsidR="00CF0BBB" w:rsidRPr="004E138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BEAB6F4" w:rsidR="00CF0BBB" w:rsidRPr="004E138D" w:rsidRDefault="009123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E138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E138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E138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E138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E138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E138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E138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E138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CBC5468" w:rsidR="00640538" w:rsidRPr="004E138D" w:rsidRDefault="00B55FF9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E138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6BA863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6615526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4B2CBA11" w:rsidR="00E03C32" w:rsidRDefault="00884D1B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884D1B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Social Sciences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884D1B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320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CC2167B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884D1B" w:rsidRPr="00884D1B">
                              <w:t xml:space="preserve"> </w:t>
                            </w:r>
                            <w:hyperlink r:id="rId8" w:history="1">
                              <w:r w:rsidR="00884D1B" w:rsidRPr="00B20F3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https://doi.org/10.3390/socsci12060320</w:t>
                              </w:r>
                            </w:hyperlink>
                            <w:r w:rsidR="00884D1B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4B2CBA11" w:rsidR="00E03C32" w:rsidRDefault="00884D1B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884D1B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Social Sciences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884D1B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320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CC2167B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884D1B" w:rsidRPr="00884D1B">
                        <w:t xml:space="preserve"> </w:t>
                      </w:r>
                      <w:hyperlink r:id="rId9" w:history="1">
                        <w:r w:rsidR="00884D1B" w:rsidRPr="00B20F30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https://doi.org/10.3390/socsci12060320</w:t>
                        </w:r>
                      </w:hyperlink>
                      <w:r w:rsidR="00884D1B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4E138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E138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E138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E138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138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138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138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138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E138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E138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138D">
              <w:rPr>
                <w:rFonts w:ascii="Arial" w:hAnsi="Arial" w:cs="Arial"/>
                <w:lang w:val="en-GB"/>
              </w:rPr>
              <w:t>Author’s Feedback</w:t>
            </w:r>
            <w:r w:rsidRPr="004E138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138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E138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E13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E138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650FA0A" w:rsidR="00F1171E" w:rsidRPr="004E138D" w:rsidRDefault="00BE1811" w:rsidP="00BE181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this is very important to the scientific community as it </w:t>
            </w:r>
            <w:r w:rsidRPr="004E138D">
              <w:rPr>
                <w:rFonts w:ascii="Arial" w:hAnsi="Arial" w:cs="Arial"/>
                <w:sz w:val="20"/>
                <w:szCs w:val="20"/>
              </w:rPr>
              <w:t xml:space="preserve">tackles the critical issue of misinformation dissemination during a public health crisis, using a compelling case study—chlorine dioxide, a so-called “miracle cure” for COVID-19. It also highlights limitations with unsupervised and unstructured data gathering -raising issues of data integrity – false data from questionable sources. </w:t>
            </w:r>
          </w:p>
        </w:tc>
        <w:tc>
          <w:tcPr>
            <w:tcW w:w="1523" w:type="pct"/>
          </w:tcPr>
          <w:p w14:paraId="462A339C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38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E13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E13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1A58606" w14:textId="4E106CD6" w:rsidR="00BE1811" w:rsidRPr="004E138D" w:rsidRDefault="00BE1811" w:rsidP="00BE1811">
            <w:pPr>
              <w:jc w:val="lowKashida"/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 xml:space="preserve">The title clearly reflects the topic and central theme.  However, the use of quotation marks around “Fake Miracle </w:t>
            </w:r>
            <w:proofErr w:type="gramStart"/>
            <w:r w:rsidRPr="004E138D">
              <w:rPr>
                <w:rFonts w:ascii="Arial" w:hAnsi="Arial" w:cs="Arial"/>
                <w:sz w:val="20"/>
                <w:szCs w:val="20"/>
              </w:rPr>
              <w:t xml:space="preserve">Cure”  </w:t>
            </w:r>
            <w:r w:rsidR="00A05EE9" w:rsidRPr="004E138D">
              <w:rPr>
                <w:rFonts w:ascii="Arial" w:hAnsi="Arial" w:cs="Arial"/>
                <w:sz w:val="20"/>
                <w:szCs w:val="20"/>
              </w:rPr>
              <w:t>should</w:t>
            </w:r>
            <w:proofErr w:type="gramEnd"/>
            <w:r w:rsidR="00A05EE9" w:rsidRPr="004E138D">
              <w:rPr>
                <w:rFonts w:ascii="Arial" w:hAnsi="Arial" w:cs="Arial"/>
                <w:sz w:val="20"/>
                <w:szCs w:val="20"/>
              </w:rPr>
              <w:t xml:space="preserve"> be amended to </w:t>
            </w:r>
            <w:proofErr w:type="gramStart"/>
            <w:r w:rsidR="00A05EE9" w:rsidRPr="004E138D">
              <w:rPr>
                <w:rFonts w:ascii="Arial" w:hAnsi="Arial" w:cs="Arial"/>
                <w:sz w:val="20"/>
                <w:szCs w:val="20"/>
              </w:rPr>
              <w:t xml:space="preserve">reflect </w:t>
            </w:r>
            <w:r w:rsidRPr="004E138D">
              <w:rPr>
                <w:rFonts w:ascii="Arial" w:hAnsi="Arial" w:cs="Arial"/>
                <w:sz w:val="20"/>
                <w:szCs w:val="20"/>
              </w:rPr>
              <w:t xml:space="preserve"> more</w:t>
            </w:r>
            <w:proofErr w:type="gramEnd"/>
            <w:r w:rsidRPr="004E138D">
              <w:rPr>
                <w:rFonts w:ascii="Arial" w:hAnsi="Arial" w:cs="Arial"/>
                <w:sz w:val="20"/>
                <w:szCs w:val="20"/>
              </w:rPr>
              <w:t xml:space="preserve"> neutral</w:t>
            </w:r>
            <w:r w:rsidR="00A05EE9" w:rsidRPr="004E138D">
              <w:rPr>
                <w:rFonts w:ascii="Arial" w:hAnsi="Arial" w:cs="Arial"/>
                <w:sz w:val="20"/>
                <w:szCs w:val="20"/>
              </w:rPr>
              <w:t>ity</w:t>
            </w:r>
            <w:r w:rsidRPr="004E138D">
              <w:rPr>
                <w:rFonts w:ascii="Arial" w:hAnsi="Arial" w:cs="Arial"/>
                <w:sz w:val="20"/>
                <w:szCs w:val="20"/>
              </w:rPr>
              <w:t xml:space="preserve">, considering the paper explores how scientific legitimacy was falsely constructed. A suggested alternative (more neutral/scientific) title </w:t>
            </w:r>
            <w:proofErr w:type="spellStart"/>
            <w:proofErr w:type="gramStart"/>
            <w:r w:rsidRPr="004E138D">
              <w:rPr>
                <w:rFonts w:ascii="Arial" w:hAnsi="Arial" w:cs="Arial"/>
                <w:sz w:val="20"/>
                <w:szCs w:val="20"/>
              </w:rPr>
              <w:t>is:</w:t>
            </w:r>
            <w:r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proofErr w:type="gramEnd"/>
            <w:r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Dissemination</w:t>
            </w:r>
            <w:proofErr w:type="spellEnd"/>
            <w:r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a Controversial COVID-19 ‘Miracle Cure’ on Twitter: The Case of Chlorine Dioxide”</w:t>
            </w:r>
            <w:r w:rsidR="00A05EE9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A05EE9" w:rsidRPr="004E138D">
              <w:rPr>
                <w:rFonts w:ascii="Arial" w:hAnsi="Arial" w:cs="Arial"/>
                <w:sz w:val="20"/>
                <w:szCs w:val="20"/>
              </w:rPr>
              <w:t xml:space="preserve">Note the word </w:t>
            </w:r>
            <w:r w:rsidR="00A05EE9" w:rsidRPr="004E138D">
              <w:rPr>
                <w:rFonts w:ascii="Arial" w:hAnsi="Arial" w:cs="Arial"/>
                <w:b/>
                <w:bCs/>
                <w:sz w:val="20"/>
                <w:szCs w:val="20"/>
              </w:rPr>
              <w:t>fake</w:t>
            </w:r>
            <w:r w:rsidR="00A05EE9" w:rsidRPr="004E138D">
              <w:rPr>
                <w:rFonts w:ascii="Arial" w:hAnsi="Arial" w:cs="Arial"/>
                <w:sz w:val="20"/>
                <w:szCs w:val="20"/>
              </w:rPr>
              <w:t xml:space="preserve"> was removed from the title.</w:t>
            </w:r>
          </w:p>
          <w:p w14:paraId="794AA9A7" w14:textId="77777777" w:rsidR="00F1171E" w:rsidRPr="004E13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5B6701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38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E138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138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CF585B" w14:textId="76A05A68" w:rsidR="00A05EE9" w:rsidRPr="004E138D" w:rsidRDefault="00A05EE9" w:rsidP="00A05EE9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Yes, however the narrative needs to be written in shorter simpler sentences. Several sentences overly </w:t>
            </w:r>
            <w:proofErr w:type="gramStart"/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>reflects</w:t>
            </w:r>
            <w:proofErr w:type="gramEnd"/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the authors sentiments.  </w:t>
            </w:r>
            <w:r w:rsidRPr="004E138D">
              <w:rPr>
                <w:rFonts w:ascii="Arial" w:hAnsi="Arial" w:cs="Arial"/>
                <w:sz w:val="20"/>
                <w:szCs w:val="20"/>
              </w:rPr>
              <w:t xml:space="preserve">Avoid complex phrasing like: </w:t>
            </w:r>
            <w:r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"it is no longer possible until proven otherwise to call chlorine dioxide a ‘false miracle cure’..."</w:t>
            </w:r>
            <w:r w:rsidRPr="004E138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C7DBD" w:rsidRPr="004E138D">
              <w:rPr>
                <w:rFonts w:ascii="Arial" w:hAnsi="Arial" w:cs="Arial"/>
                <w:sz w:val="20"/>
                <w:szCs w:val="20"/>
              </w:rPr>
              <w:t xml:space="preserve"> As no inferential statistics were used to gauge levels of significance – the statement cannot be a scientifically validated even with the disclaimer provided.</w:t>
            </w:r>
          </w:p>
          <w:p w14:paraId="6B33ED8E" w14:textId="77777777" w:rsidR="00A05EE9" w:rsidRPr="004E138D" w:rsidRDefault="00A05EE9" w:rsidP="00A05E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7F494" w14:textId="3362AA81" w:rsidR="00A05EE9" w:rsidRPr="004E138D" w:rsidRDefault="00A05EE9" w:rsidP="00A05EE9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>Please c</w:t>
            </w:r>
            <w:proofErr w:type="spellStart"/>
            <w:r w:rsidRPr="004E138D">
              <w:rPr>
                <w:rFonts w:ascii="Arial" w:hAnsi="Arial" w:cs="Arial"/>
                <w:sz w:val="20"/>
                <w:szCs w:val="20"/>
              </w:rPr>
              <w:t>onsider</w:t>
            </w:r>
            <w:proofErr w:type="spellEnd"/>
            <w:r w:rsidRPr="004E138D">
              <w:rPr>
                <w:rFonts w:ascii="Arial" w:hAnsi="Arial" w:cs="Arial"/>
                <w:sz w:val="20"/>
                <w:szCs w:val="20"/>
              </w:rPr>
              <w:t xml:space="preserve"> shortening and structuring the abstract into clearly defined sections (background, method, results, conclusion).</w:t>
            </w:r>
          </w:p>
          <w:p w14:paraId="0FB7E83A" w14:textId="45271F9A" w:rsidR="00F1171E" w:rsidRPr="004E138D" w:rsidRDefault="00F1171E" w:rsidP="00A05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1D54B730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38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E138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34EC1C1" w14:textId="7287C7E9" w:rsidR="006A632F" w:rsidRPr="004E138D" w:rsidRDefault="00A05EE9" w:rsidP="006A632F">
            <w:pPr>
              <w:pStyle w:val="BodyText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correctly </w:t>
            </w:r>
            <w:r w:rsidR="000042B3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deploys social media analytic modalities for content/sentiment analysis and use of Gephi. However – considering a </w:t>
            </w:r>
            <w:proofErr w:type="spellStart"/>
            <w:r w:rsidR="000042B3" w:rsidRPr="004E138D">
              <w:rPr>
                <w:rFonts w:ascii="Arial" w:hAnsi="Arial" w:cs="Arial"/>
                <w:sz w:val="20"/>
                <w:szCs w:val="20"/>
                <w:lang w:val="en-GB"/>
              </w:rPr>
              <w:t>multi disciplinary</w:t>
            </w:r>
            <w:proofErr w:type="spellEnd"/>
            <w:r w:rsidR="000042B3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audience there is room to provide lay explanations so several terms</w:t>
            </w:r>
            <w:r w:rsidR="006A632F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be defined. See the sentence …</w:t>
            </w:r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r w:rsidR="006A632F" w:rsidRPr="004E138D"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approach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then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makes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it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possible</w:t>
            </w:r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avoid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defining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categories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6A632F" w:rsidRPr="004E138D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priori</w:t>
            </w:r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thus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avoid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being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far</w:t>
            </w:r>
            <w:r w:rsidR="006A632F" w:rsidRPr="004E138D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from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="006A632F" w:rsidRPr="004E138D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observ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- able.</w:t>
            </w:r>
            <w:r w:rsidR="006A632F" w:rsidRPr="004E138D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Finally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this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has</w:t>
            </w:r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advantage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of</w:t>
            </w:r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limiting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biases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likely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r w:rsidR="006A632F" w:rsidRPr="004E138D"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influence</w:t>
            </w:r>
            <w:r w:rsidR="006A632F" w:rsidRPr="004E138D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="006A632F" w:rsidRPr="004E138D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classifica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>tion</w:t>
            </w:r>
            <w:proofErr w:type="spellEnd"/>
            <w:r w:rsidR="006A632F" w:rsidRPr="004E13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process</w:t>
            </w:r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. This sentence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convuluted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(the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avoid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twice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a few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incomprehensible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technical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methodology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replicable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further</w:t>
            </w:r>
            <w:proofErr w:type="spellEnd"/>
            <w:r w:rsidR="006A632F" w:rsidRPr="004E138D">
              <w:rPr>
                <w:rFonts w:ascii="Arial" w:hAnsi="Arial" w:cs="Arial"/>
                <w:sz w:val="20"/>
                <w:szCs w:val="20"/>
              </w:rPr>
              <w:t xml:space="preserve"> information </w:t>
            </w:r>
            <w:proofErr w:type="spellStart"/>
            <w:r w:rsidR="006A632F" w:rsidRPr="004E138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</w:p>
          <w:p w14:paraId="2B5A7721" w14:textId="7F6BBD56" w:rsidR="00F1171E" w:rsidRPr="004E138D" w:rsidRDefault="00F1171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23" w:type="pct"/>
          </w:tcPr>
          <w:p w14:paraId="4898F764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38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E13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E138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138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D529D35" w14:textId="77777777" w:rsidR="006A632F" w:rsidRPr="004E138D" w:rsidRDefault="006A632F" w:rsidP="006A632F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>The reference list is comprehensive and includes peer-reviewed sources, governmental warnings (e.g., FDA), and relevant theoretical frameworks (e.g., Peirce, Clifford).</w:t>
            </w:r>
          </w:p>
          <w:p w14:paraId="36296A06" w14:textId="3DA414A6" w:rsidR="006A632F" w:rsidRPr="004E138D" w:rsidRDefault="006A632F" w:rsidP="006A632F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 xml:space="preserve">It cites recent and relevant studies (e.g., up to 2022), especially on social media misinformation and COVID-19. </w:t>
            </w:r>
          </w:p>
          <w:p w14:paraId="53F05778" w14:textId="77777777" w:rsidR="00F1171E" w:rsidRPr="004E138D" w:rsidRDefault="006A632F" w:rsidP="00855235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 xml:space="preserve">In addition, some of the referenced studies (particularly those supporting chlorine dioxide) are from low-impact or non-indexed journals. </w:t>
            </w:r>
            <w:r w:rsidR="00D4141E" w:rsidRPr="004E138D">
              <w:rPr>
                <w:rFonts w:ascii="Arial" w:hAnsi="Arial" w:cs="Arial"/>
                <w:sz w:val="20"/>
                <w:szCs w:val="20"/>
              </w:rPr>
              <w:t>While this is</w:t>
            </w:r>
            <w:r w:rsidRPr="004E138D">
              <w:rPr>
                <w:rFonts w:ascii="Arial" w:hAnsi="Arial" w:cs="Arial"/>
                <w:sz w:val="20"/>
                <w:szCs w:val="20"/>
              </w:rPr>
              <w:t xml:space="preserve"> appropriate but should be clearly</w:t>
            </w:r>
            <w:r w:rsidR="00D4141E" w:rsidRPr="004E138D">
              <w:rPr>
                <w:rFonts w:ascii="Arial" w:hAnsi="Arial" w:cs="Arial"/>
                <w:sz w:val="20"/>
                <w:szCs w:val="20"/>
              </w:rPr>
              <w:t xml:space="preserve"> flagged </w:t>
            </w:r>
            <w:r w:rsidRPr="004E138D">
              <w:rPr>
                <w:rFonts w:ascii="Arial" w:hAnsi="Arial" w:cs="Arial"/>
                <w:sz w:val="20"/>
                <w:szCs w:val="20"/>
              </w:rPr>
              <w:t>as potentially low credibility.</w:t>
            </w:r>
          </w:p>
          <w:p w14:paraId="47C9FF01" w14:textId="66F20525" w:rsidR="00855235" w:rsidRPr="004E138D" w:rsidRDefault="00855235" w:rsidP="00855235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>Note that some references are incomplete or not properly formatted. Inconsistent reference style. Overuse of ‘available online” without dates</w:t>
            </w:r>
          </w:p>
          <w:p w14:paraId="2B489185" w14:textId="05264490" w:rsidR="00855235" w:rsidRPr="004E138D" w:rsidRDefault="00855235" w:rsidP="00753CA4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 xml:space="preserve">There are several </w:t>
            </w:r>
            <w:proofErr w:type="spellStart"/>
            <w:r w:rsidRPr="004E138D">
              <w:rPr>
                <w:rFonts w:ascii="Arial" w:hAnsi="Arial" w:cs="Arial"/>
                <w:sz w:val="20"/>
                <w:szCs w:val="20"/>
              </w:rPr>
              <w:t>ambigious</w:t>
            </w:r>
            <w:proofErr w:type="spellEnd"/>
            <w:r w:rsidRPr="004E138D">
              <w:rPr>
                <w:rFonts w:ascii="Arial" w:hAnsi="Arial" w:cs="Arial"/>
                <w:sz w:val="20"/>
                <w:szCs w:val="20"/>
              </w:rPr>
              <w:t xml:space="preserve"> references – without online </w:t>
            </w:r>
            <w:proofErr w:type="spellStart"/>
            <w:r w:rsidRPr="004E138D">
              <w:rPr>
                <w:rFonts w:ascii="Arial" w:hAnsi="Arial" w:cs="Arial"/>
                <w:sz w:val="20"/>
                <w:szCs w:val="20"/>
              </w:rPr>
              <w:t>urls</w:t>
            </w:r>
            <w:proofErr w:type="spellEnd"/>
            <w:r w:rsidRPr="004E138D">
              <w:rPr>
                <w:rFonts w:ascii="Arial" w:hAnsi="Arial" w:cs="Arial"/>
                <w:sz w:val="20"/>
                <w:szCs w:val="20"/>
              </w:rPr>
              <w:t>.</w:t>
            </w:r>
            <w:r w:rsidR="00753CA4" w:rsidRPr="004E138D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753CA4" w:rsidRPr="004E138D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="00753CA4" w:rsidRPr="004E138D">
              <w:rPr>
                <w:rFonts w:ascii="Arial" w:hAnsi="Arial" w:cs="Arial"/>
                <w:sz w:val="20"/>
                <w:szCs w:val="20"/>
              </w:rPr>
              <w:t xml:space="preserve"> “Coronavirus. n.d. MMS Testimonials. Available online...”</w:t>
            </w:r>
          </w:p>
          <w:p w14:paraId="1598F859" w14:textId="0F141F75" w:rsidR="00753CA4" w:rsidRPr="004E138D" w:rsidRDefault="00753CA4" w:rsidP="00753CA4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>Inconsistent or missing DOI. This should be corrected so that all journals have the DOI in the standard format.</w:t>
            </w:r>
          </w:p>
          <w:p w14:paraId="3CA3DB03" w14:textId="222CEF5C" w:rsidR="00753CA4" w:rsidRPr="004E138D" w:rsidRDefault="00753CA4" w:rsidP="00753CA4">
            <w:pPr>
              <w:rPr>
                <w:rFonts w:ascii="Arial" w:hAnsi="Arial" w:cs="Arial"/>
                <w:sz w:val="20"/>
                <w:szCs w:val="20"/>
              </w:rPr>
            </w:pPr>
            <w:r w:rsidRPr="004E138D">
              <w:rPr>
                <w:rFonts w:ascii="Arial" w:hAnsi="Arial" w:cs="Arial"/>
                <w:sz w:val="20"/>
                <w:szCs w:val="20"/>
              </w:rPr>
              <w:t xml:space="preserve">Several of the references do not have Publishers information or source titles. </w:t>
            </w:r>
            <w:proofErr w:type="spellStart"/>
            <w:r w:rsidRPr="004E138D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4E138D">
              <w:rPr>
                <w:rFonts w:ascii="Arial" w:hAnsi="Arial" w:cs="Arial"/>
                <w:sz w:val="20"/>
                <w:szCs w:val="20"/>
              </w:rPr>
              <w:t xml:space="preserve"> Genesis II Church of Health and Healing. n.d. </w:t>
            </w:r>
            <w:proofErr w:type="spellStart"/>
            <w:r w:rsidRPr="004E138D">
              <w:rPr>
                <w:rFonts w:ascii="Arial" w:hAnsi="Arial" w:cs="Arial"/>
                <w:sz w:val="20"/>
                <w:szCs w:val="20"/>
              </w:rPr>
              <w:t>Infos</w:t>
            </w:r>
            <w:proofErr w:type="spellEnd"/>
            <w:r w:rsidRPr="004E138D">
              <w:rPr>
                <w:rFonts w:ascii="Arial" w:hAnsi="Arial" w:cs="Arial"/>
                <w:sz w:val="20"/>
                <w:szCs w:val="20"/>
              </w:rPr>
              <w:t>. LinkedIn.co no retrieval information or date)</w:t>
            </w:r>
          </w:p>
          <w:p w14:paraId="24FE0567" w14:textId="5AB8FDC5" w:rsidR="00855235" w:rsidRPr="004E138D" w:rsidRDefault="00855235" w:rsidP="008552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40220055" w14:textId="3D40734C" w:rsidR="00F1171E" w:rsidRPr="004E138D" w:rsidRDefault="00F1171E" w:rsidP="00753C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E138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E138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138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0F9ACA8" w:rsidR="00F1171E" w:rsidRPr="004E138D" w:rsidRDefault="0085523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This is fair. </w:t>
            </w:r>
            <w:r w:rsidR="00753CA4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There is the need for a professional language edit Some sentences are long and </w:t>
            </w:r>
            <w:proofErr w:type="spellStart"/>
            <w:r w:rsidR="00753CA4" w:rsidRPr="004E138D">
              <w:rPr>
                <w:rFonts w:ascii="Arial" w:hAnsi="Arial" w:cs="Arial"/>
                <w:sz w:val="20"/>
                <w:szCs w:val="20"/>
                <w:lang w:val="en-GB"/>
              </w:rPr>
              <w:t>akward</w:t>
            </w:r>
            <w:proofErr w:type="spellEnd"/>
            <w:r w:rsidR="00753CA4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– need to be more </w:t>
            </w:r>
            <w:proofErr w:type="spellStart"/>
            <w:r w:rsidR="00753CA4" w:rsidRPr="004E138D">
              <w:rPr>
                <w:rFonts w:ascii="Arial" w:hAnsi="Arial" w:cs="Arial"/>
                <w:sz w:val="20"/>
                <w:szCs w:val="20"/>
                <w:lang w:val="en-GB"/>
              </w:rPr>
              <w:t>consi</w:t>
            </w:r>
            <w:r w:rsidR="00D173FB" w:rsidRPr="004E138D"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proofErr w:type="spellEnd"/>
            <w:r w:rsidR="00753CA4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B55FF9" w:rsidRPr="004E138D">
              <w:rPr>
                <w:rFonts w:ascii="Arial" w:hAnsi="Arial" w:cs="Arial"/>
                <w:sz w:val="20"/>
                <w:szCs w:val="20"/>
                <w:lang w:val="en-GB"/>
              </w:rPr>
              <w:t>Some t</w:t>
            </w:r>
            <w:r w:rsidR="00753CA4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echnical terms are used </w:t>
            </w:r>
            <w:r w:rsidR="00B55FF9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vaguely. Some words were used too frequently – </w:t>
            </w:r>
            <w:proofErr w:type="spellStart"/>
            <w:r w:rsidR="00B55FF9" w:rsidRPr="004E138D">
              <w:rPr>
                <w:rFonts w:ascii="Arial" w:hAnsi="Arial" w:cs="Arial"/>
                <w:sz w:val="20"/>
                <w:szCs w:val="20"/>
                <w:lang w:val="en-GB"/>
              </w:rPr>
              <w:t>e.g</w:t>
            </w:r>
            <w:proofErr w:type="spellEnd"/>
            <w:r w:rsidR="00B55FF9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platform</w:t>
            </w:r>
            <w:r w:rsidR="00D173FB" w:rsidRPr="004E138D">
              <w:rPr>
                <w:rFonts w:ascii="Arial" w:hAnsi="Arial" w:cs="Arial"/>
                <w:sz w:val="20"/>
                <w:szCs w:val="20"/>
                <w:lang w:val="en-GB"/>
              </w:rPr>
              <w:t>, avoid</w:t>
            </w:r>
          </w:p>
          <w:p w14:paraId="297F52DB" w14:textId="1A4E5A1F" w:rsidR="00F1171E" w:rsidRPr="004E138D" w:rsidRDefault="00B55FF9" w:rsidP="00AC7D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>The paragraphs need to be better linked for cohesion and comprehension. Inline references need to be better formatted and standardized</w:t>
            </w:r>
            <w:r w:rsidR="00AC7DBD" w:rsidRPr="004E138D">
              <w:rPr>
                <w:rFonts w:ascii="Arial" w:hAnsi="Arial" w:cs="Arial"/>
                <w:sz w:val="20"/>
                <w:szCs w:val="20"/>
                <w:lang w:val="en-GB"/>
              </w:rPr>
              <w:t xml:space="preserve"> as well.</w:t>
            </w:r>
          </w:p>
          <w:p w14:paraId="149A6CEF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E138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138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138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138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3CEEB5F" w:rsidR="00F1171E" w:rsidRPr="004E138D" w:rsidRDefault="00B55FF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sz w:val="20"/>
                <w:szCs w:val="20"/>
                <w:lang w:val="en-GB"/>
              </w:rPr>
              <w:t>This is a very important paper for public health discourse, however – its current presentation will require simpler sentences and better transition between paragraphs to ensure comprehension</w:t>
            </w:r>
          </w:p>
          <w:p w14:paraId="7EB58C99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E138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E138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E138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138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E138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E138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138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E138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138D">
              <w:rPr>
                <w:rFonts w:ascii="Arial" w:hAnsi="Arial" w:cs="Arial"/>
                <w:lang w:val="en-GB"/>
              </w:rPr>
              <w:t>Author’s comment</w:t>
            </w:r>
            <w:r w:rsidRPr="004E138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138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E138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13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E138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E138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E138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E138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BE92BB8" w14:textId="77777777" w:rsidR="004E138D" w:rsidRPr="00980F35" w:rsidRDefault="004E138D" w:rsidP="004E13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80F35">
        <w:rPr>
          <w:rFonts w:ascii="Arial" w:hAnsi="Arial" w:cs="Arial"/>
          <w:b/>
          <w:u w:val="single"/>
        </w:rPr>
        <w:t>Reviewer details:</w:t>
      </w:r>
    </w:p>
    <w:p w14:paraId="7B3F00E4" w14:textId="77777777" w:rsidR="004E138D" w:rsidRPr="00980F35" w:rsidRDefault="004E138D" w:rsidP="004E138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80F35">
        <w:rPr>
          <w:rFonts w:ascii="Arial" w:hAnsi="Arial" w:cs="Arial"/>
          <w:b/>
          <w:color w:val="000000"/>
        </w:rPr>
        <w:t>Ima Arit Kashim, Nicaragua</w:t>
      </w:r>
    </w:p>
    <w:p w14:paraId="4405A52B" w14:textId="77777777" w:rsidR="004E138D" w:rsidRPr="004E138D" w:rsidRDefault="004E138D">
      <w:pPr>
        <w:rPr>
          <w:rFonts w:ascii="Arial" w:hAnsi="Arial" w:cs="Arial"/>
          <w:b/>
          <w:sz w:val="20"/>
          <w:szCs w:val="20"/>
        </w:rPr>
      </w:pPr>
    </w:p>
    <w:sectPr w:rsidR="004E138D" w:rsidRPr="004E138D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31CB" w14:textId="77777777" w:rsidR="008806A7" w:rsidRPr="0000007A" w:rsidRDefault="008806A7" w:rsidP="0099583E">
      <w:r>
        <w:separator/>
      </w:r>
    </w:p>
  </w:endnote>
  <w:endnote w:type="continuationSeparator" w:id="0">
    <w:p w14:paraId="4338F987" w14:textId="77777777" w:rsidR="008806A7" w:rsidRPr="0000007A" w:rsidRDefault="008806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32A2" w14:textId="77777777" w:rsidR="008806A7" w:rsidRPr="0000007A" w:rsidRDefault="008806A7" w:rsidP="0099583E">
      <w:r>
        <w:separator/>
      </w:r>
    </w:p>
  </w:footnote>
  <w:footnote w:type="continuationSeparator" w:id="0">
    <w:p w14:paraId="3610EA32" w14:textId="77777777" w:rsidR="008806A7" w:rsidRPr="0000007A" w:rsidRDefault="008806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7674"/>
    <w:multiLevelType w:val="multilevel"/>
    <w:tmpl w:val="3D6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D22D1"/>
    <w:multiLevelType w:val="multilevel"/>
    <w:tmpl w:val="B688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210355">
    <w:abstractNumId w:val="3"/>
  </w:num>
  <w:num w:numId="2" w16cid:durableId="1017120104">
    <w:abstractNumId w:val="7"/>
  </w:num>
  <w:num w:numId="3" w16cid:durableId="1859661510">
    <w:abstractNumId w:val="5"/>
  </w:num>
  <w:num w:numId="4" w16cid:durableId="1960794045">
    <w:abstractNumId w:val="8"/>
  </w:num>
  <w:num w:numId="5" w16cid:durableId="940144460">
    <w:abstractNumId w:val="4"/>
  </w:num>
  <w:num w:numId="6" w16cid:durableId="79370404">
    <w:abstractNumId w:val="0"/>
  </w:num>
  <w:num w:numId="7" w16cid:durableId="1423988221">
    <w:abstractNumId w:val="1"/>
  </w:num>
  <w:num w:numId="8" w16cid:durableId="2136097400">
    <w:abstractNumId w:val="11"/>
  </w:num>
  <w:num w:numId="9" w16cid:durableId="430009548">
    <w:abstractNumId w:val="10"/>
  </w:num>
  <w:num w:numId="10" w16cid:durableId="820779660">
    <w:abstractNumId w:val="2"/>
  </w:num>
  <w:num w:numId="11" w16cid:durableId="223639410">
    <w:abstractNumId w:val="6"/>
  </w:num>
  <w:num w:numId="12" w16cid:durableId="826359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2B3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F21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FA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38D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632F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CBA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CA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2C78"/>
    <w:rsid w:val="007F4221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235"/>
    <w:rsid w:val="0085546D"/>
    <w:rsid w:val="0086369B"/>
    <w:rsid w:val="00867E37"/>
    <w:rsid w:val="0087201B"/>
    <w:rsid w:val="00877F10"/>
    <w:rsid w:val="008806A7"/>
    <w:rsid w:val="00882091"/>
    <w:rsid w:val="00884D1B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3FB"/>
    <w:rsid w:val="0091410B"/>
    <w:rsid w:val="009245E3"/>
    <w:rsid w:val="00942DEE"/>
    <w:rsid w:val="00944F67"/>
    <w:rsid w:val="009518A8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5EE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178C"/>
    <w:rsid w:val="00AC7DBD"/>
    <w:rsid w:val="00AD6C51"/>
    <w:rsid w:val="00AE0E9B"/>
    <w:rsid w:val="00AE54CD"/>
    <w:rsid w:val="00AF3016"/>
    <w:rsid w:val="00B03A45"/>
    <w:rsid w:val="00B10BEC"/>
    <w:rsid w:val="00B2236C"/>
    <w:rsid w:val="00B22FE6"/>
    <w:rsid w:val="00B3033D"/>
    <w:rsid w:val="00B334D9"/>
    <w:rsid w:val="00B53059"/>
    <w:rsid w:val="00B55FF9"/>
    <w:rsid w:val="00B562D2"/>
    <w:rsid w:val="00B62087"/>
    <w:rsid w:val="00B62F41"/>
    <w:rsid w:val="00B63782"/>
    <w:rsid w:val="00B65452"/>
    <w:rsid w:val="00B66599"/>
    <w:rsid w:val="00B760E1"/>
    <w:rsid w:val="00B81BE3"/>
    <w:rsid w:val="00B82FFC"/>
    <w:rsid w:val="00B95117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1811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583"/>
    <w:rsid w:val="00C22886"/>
    <w:rsid w:val="00C25C8F"/>
    <w:rsid w:val="00C263C6"/>
    <w:rsid w:val="00C268B8"/>
    <w:rsid w:val="00C33E0C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3FB"/>
    <w:rsid w:val="00D17979"/>
    <w:rsid w:val="00D2075F"/>
    <w:rsid w:val="00D24CBE"/>
    <w:rsid w:val="00D27A79"/>
    <w:rsid w:val="00D32AC2"/>
    <w:rsid w:val="00D40416"/>
    <w:rsid w:val="00D4141E"/>
    <w:rsid w:val="00D430AB"/>
    <w:rsid w:val="00D4782A"/>
    <w:rsid w:val="00D709EB"/>
    <w:rsid w:val="00D7603E"/>
    <w:rsid w:val="00D90124"/>
    <w:rsid w:val="00D9392F"/>
    <w:rsid w:val="00D9427C"/>
    <w:rsid w:val="00D9487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785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92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123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E13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ocsci120603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ocsci120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2025-05-16T22:32:00Z</dcterms:created>
  <dcterms:modified xsi:type="dcterms:W3CDTF">2025-05-27T08:55:00Z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