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6E2F26" w14:paraId="1643A4CA" w14:textId="77777777" w:rsidTr="006E2F26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E2F2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E2F26" w14:paraId="127EAD7E" w14:textId="77777777" w:rsidTr="006E2F26">
        <w:trPr>
          <w:trHeight w:val="413"/>
        </w:trPr>
        <w:tc>
          <w:tcPr>
            <w:tcW w:w="1266" w:type="pct"/>
          </w:tcPr>
          <w:p w14:paraId="3C159AA5" w14:textId="77777777" w:rsidR="0000007A" w:rsidRPr="006E2F2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E2F2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22D2B0F" w:rsidR="0000007A" w:rsidRPr="006E2F26" w:rsidRDefault="00EA75F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E2F26">
                <w:rPr>
                  <w:rStyle w:val="Hyperlink"/>
                  <w:rFonts w:ascii="Arial" w:hAnsi="Arial" w:cs="Arial"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6E2F26" w14:paraId="73C90375" w14:textId="77777777" w:rsidTr="006E2F26">
        <w:trPr>
          <w:trHeight w:val="290"/>
        </w:trPr>
        <w:tc>
          <w:tcPr>
            <w:tcW w:w="1266" w:type="pct"/>
          </w:tcPr>
          <w:p w14:paraId="20D28135" w14:textId="77777777" w:rsidR="0000007A" w:rsidRPr="006E2F2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C7BBB0F" w:rsidR="0000007A" w:rsidRPr="006E2F2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6E2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E2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6E2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029E0" w:rsidRPr="006E2F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9E0" w:rsidRPr="006E2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5689</w:t>
            </w:r>
          </w:p>
        </w:tc>
      </w:tr>
      <w:tr w:rsidR="0000007A" w:rsidRPr="006E2F26" w14:paraId="05B60576" w14:textId="77777777" w:rsidTr="006E2F26">
        <w:trPr>
          <w:trHeight w:val="331"/>
        </w:trPr>
        <w:tc>
          <w:tcPr>
            <w:tcW w:w="1266" w:type="pct"/>
          </w:tcPr>
          <w:p w14:paraId="0196A627" w14:textId="77777777" w:rsidR="0000007A" w:rsidRPr="006E2F2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D1F380B" w:rsidR="0000007A" w:rsidRPr="006E2F26" w:rsidRDefault="00EA75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E2F26">
              <w:rPr>
                <w:rFonts w:ascii="Arial" w:hAnsi="Arial" w:cs="Arial"/>
                <w:b/>
                <w:sz w:val="20"/>
                <w:szCs w:val="20"/>
                <w:lang w:val="en-GB"/>
              </w:rPr>
              <w:t>A pH Measurement of Acetic Acid-Sodium Acetate Buffer Solutions Using a pH Meter at Ambient Temperature</w:t>
            </w:r>
          </w:p>
        </w:tc>
      </w:tr>
      <w:tr w:rsidR="00CF0BBB" w:rsidRPr="006E2F26" w14:paraId="6D508B1C" w14:textId="77777777" w:rsidTr="006E2F26">
        <w:trPr>
          <w:trHeight w:val="332"/>
        </w:trPr>
        <w:tc>
          <w:tcPr>
            <w:tcW w:w="1266" w:type="pct"/>
          </w:tcPr>
          <w:p w14:paraId="32FC28F7" w14:textId="77777777" w:rsidR="00CF0BBB" w:rsidRPr="006E2F2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906CE84" w:rsidR="00CF0BBB" w:rsidRPr="006E2F26" w:rsidRDefault="00EA75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E2F2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E2F2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50849A9E" w:rsidR="009B239B" w:rsidRPr="006E2F26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6E2F26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6E2F26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6E2F2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E2F2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E2F2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E2F2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E2F2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E2F2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E2F2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E2F2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1F107D1" w:rsidR="00E03C32" w:rsidRDefault="00EA75FB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A75F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Applied Chemical Science International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EA75F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15, Issue 2, Page 30-35, 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E5D3F23" w:rsidR="00E03C32" w:rsidRPr="007B54A4" w:rsidRDefault="00EA75FB" w:rsidP="00EA75FB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A75F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EA75F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jacsi</w:t>
                  </w:r>
                  <w:proofErr w:type="spellEnd"/>
                  <w:r w:rsidRPr="00EA75F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/2024/v15i28894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6E2F2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E2F2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E2F2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E2F2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2F2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E2F2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E2F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E2F2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2F2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E2F2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F2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E2F2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E2F26">
              <w:rPr>
                <w:rFonts w:ascii="Arial" w:hAnsi="Arial" w:cs="Arial"/>
                <w:lang w:val="en-GB"/>
              </w:rPr>
              <w:t>Author’s Feedback</w:t>
            </w:r>
            <w:r w:rsidRPr="006E2F2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E2F2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E2F2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E2F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E2F2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2616C86" w:rsidR="00DF1D86" w:rsidRPr="006E2F26" w:rsidRDefault="00DF1D86" w:rsidP="00EC4E9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shed insight on the preparation of buffer solution- acetic acid-sodium acetate, its pH measurements that are important in </w:t>
            </w:r>
            <w:proofErr w:type="spellStart"/>
            <w:r w:rsidRPr="006E2F26">
              <w:rPr>
                <w:rFonts w:ascii="Arial" w:hAnsi="Arial" w:cs="Arial"/>
                <w:sz w:val="20"/>
                <w:szCs w:val="20"/>
                <w:lang w:val="en-GB"/>
              </w:rPr>
              <w:t>aboratory</w:t>
            </w:r>
            <w:proofErr w:type="spellEnd"/>
            <w:r w:rsidRPr="006E2F26">
              <w:rPr>
                <w:rFonts w:ascii="Arial" w:hAnsi="Arial" w:cs="Arial"/>
                <w:sz w:val="20"/>
                <w:szCs w:val="20"/>
                <w:lang w:val="en-GB"/>
              </w:rPr>
              <w:t xml:space="preserve"> settings, it provided a background knowledge on the buffer solution systems, while fostering analytical approaches.</w:t>
            </w:r>
          </w:p>
        </w:tc>
        <w:tc>
          <w:tcPr>
            <w:tcW w:w="1523" w:type="pct"/>
          </w:tcPr>
          <w:p w14:paraId="462A339C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2F2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E2F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E2F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4E1A272" w:rsidR="00F1171E" w:rsidRPr="006E2F26" w:rsidRDefault="00EC4E9E" w:rsidP="00EC4E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2F2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E2F2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E2F2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F3857ED" w:rsidR="00F1171E" w:rsidRPr="006E2F26" w:rsidRDefault="00E76770" w:rsidP="00EC4E9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sz w:val="20"/>
                <w:szCs w:val="20"/>
                <w:lang w:val="en-GB"/>
              </w:rPr>
              <w:t xml:space="preserve">Quite </w:t>
            </w:r>
            <w:r w:rsidR="00E566DE" w:rsidRPr="006E2F26">
              <w:rPr>
                <w:rFonts w:ascii="Arial" w:hAnsi="Arial" w:cs="Arial"/>
                <w:sz w:val="20"/>
                <w:szCs w:val="20"/>
                <w:lang w:val="en-GB"/>
              </w:rPr>
              <w:t>unclear,</w:t>
            </w:r>
            <w:r w:rsidRPr="006E2F26">
              <w:rPr>
                <w:rFonts w:ascii="Arial" w:hAnsi="Arial" w:cs="Arial"/>
                <w:sz w:val="20"/>
                <w:szCs w:val="20"/>
                <w:lang w:val="en-GB"/>
              </w:rPr>
              <w:t xml:space="preserve"> Buffer solution needs to be defined, provide a background, followed by aim, methods and results, conclude </w:t>
            </w:r>
            <w:proofErr w:type="spellStart"/>
            <w:r w:rsidRPr="006E2F26">
              <w:rPr>
                <w:rFonts w:ascii="Arial" w:hAnsi="Arial" w:cs="Arial"/>
                <w:sz w:val="20"/>
                <w:szCs w:val="20"/>
                <w:lang w:val="en-GB"/>
              </w:rPr>
              <w:t>briedly</w:t>
            </w:r>
            <w:proofErr w:type="spellEnd"/>
            <w:r w:rsidRPr="006E2F26">
              <w:rPr>
                <w:rFonts w:ascii="Arial" w:hAnsi="Arial" w:cs="Arial"/>
                <w:sz w:val="20"/>
                <w:szCs w:val="20"/>
                <w:lang w:val="en-GB"/>
              </w:rPr>
              <w:t xml:space="preserve"> on </w:t>
            </w:r>
            <w:proofErr w:type="spellStart"/>
            <w:r w:rsidRPr="006E2F26">
              <w:rPr>
                <w:rFonts w:ascii="Arial" w:hAnsi="Arial" w:cs="Arial"/>
                <w:sz w:val="20"/>
                <w:szCs w:val="20"/>
                <w:lang w:val="en-GB"/>
              </w:rPr>
              <w:t>findingns</w:t>
            </w:r>
            <w:proofErr w:type="spellEnd"/>
            <w:r w:rsidRPr="006E2F26">
              <w:rPr>
                <w:rFonts w:ascii="Arial" w:hAnsi="Arial" w:cs="Arial"/>
                <w:sz w:val="20"/>
                <w:szCs w:val="20"/>
                <w:lang w:val="en-GB"/>
              </w:rPr>
              <w:t xml:space="preserve"> and significance. Avoid personalization, refer and correct highlighted areas.</w:t>
            </w:r>
          </w:p>
        </w:tc>
        <w:tc>
          <w:tcPr>
            <w:tcW w:w="1523" w:type="pct"/>
          </w:tcPr>
          <w:p w14:paraId="1D54B730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2F2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E2F2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E2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2BD2E3F" w:rsidR="00F1171E" w:rsidRPr="006E2F26" w:rsidRDefault="00E76770" w:rsidP="00EC4E9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sz w:val="20"/>
                <w:szCs w:val="20"/>
                <w:lang w:val="en-GB"/>
              </w:rPr>
              <w:t>Yes, it provided a background for the role of buffer solutions in chemical processes, highlighting the common ion effect, variation of pH on addition of NaOH et cetra.</w:t>
            </w:r>
          </w:p>
        </w:tc>
        <w:tc>
          <w:tcPr>
            <w:tcW w:w="1523" w:type="pct"/>
          </w:tcPr>
          <w:p w14:paraId="4898F764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2F2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E2F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E2F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E2F2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1BF205B" w:rsidR="00F1171E" w:rsidRPr="006E2F26" w:rsidRDefault="008A748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2F2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E2F2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E2F2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E2F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BA4B2A" w14:textId="535F24A8" w:rsidR="00F1171E" w:rsidRPr="006E2F26" w:rsidRDefault="008A748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sz w:val="20"/>
                <w:szCs w:val="20"/>
                <w:lang w:val="en-GB"/>
              </w:rPr>
              <w:t>Some issues with reporting style were highlighted for checks.</w:t>
            </w:r>
          </w:p>
          <w:p w14:paraId="41E28118" w14:textId="77777777" w:rsidR="00F1171E" w:rsidRPr="006E2F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E2F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E2F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E2F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E2F2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E2F2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E2F2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E2F2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E2F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6E2F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E2F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E2F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E2F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6E2F2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E2F2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1"/>
        <w:gridCol w:w="8422"/>
        <w:gridCol w:w="5457"/>
      </w:tblGrid>
      <w:tr w:rsidR="00F1171E" w:rsidRPr="006E2F2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E2F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E2F2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E2F2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E2F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E2F26" w14:paraId="5356501F" w14:textId="77777777" w:rsidTr="00CA6CE2">
        <w:trPr>
          <w:trHeight w:val="935"/>
        </w:trPr>
        <w:tc>
          <w:tcPr>
            <w:tcW w:w="171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E2F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2F2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290" w:type="pct"/>
            <w:shd w:val="clear" w:color="auto" w:fill="auto"/>
          </w:tcPr>
          <w:p w14:paraId="6F48B50B" w14:textId="77777777" w:rsidR="00F1171E" w:rsidRPr="006E2F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E2F26">
              <w:rPr>
                <w:rFonts w:ascii="Arial" w:hAnsi="Arial" w:cs="Arial"/>
                <w:lang w:val="en-GB"/>
              </w:rPr>
              <w:t>Author’s comment</w:t>
            </w:r>
            <w:r w:rsidRPr="006E2F2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E2F2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E2F26" w14:paraId="3944C8A3" w14:textId="77777777" w:rsidTr="00CA6CE2">
        <w:trPr>
          <w:trHeight w:val="697"/>
        </w:trPr>
        <w:tc>
          <w:tcPr>
            <w:tcW w:w="171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E2F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2F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E2F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E2F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E2F2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E2F2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E2F2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E2F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E2F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90" w:type="pct"/>
            <w:shd w:val="clear" w:color="auto" w:fill="auto"/>
            <w:vAlign w:val="center"/>
          </w:tcPr>
          <w:p w14:paraId="780A9F8E" w14:textId="77777777" w:rsidR="00F1171E" w:rsidRPr="006E2F2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E2F2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E2F2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E2F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98AD399" w14:textId="77777777" w:rsidR="006E2F26" w:rsidRPr="006742A5" w:rsidRDefault="006E2F26" w:rsidP="006E2F2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742A5">
        <w:rPr>
          <w:rFonts w:ascii="Arial" w:hAnsi="Arial" w:cs="Arial"/>
          <w:b/>
          <w:u w:val="single"/>
        </w:rPr>
        <w:t>Reviewer details:</w:t>
      </w:r>
    </w:p>
    <w:p w14:paraId="1DE46150" w14:textId="77777777" w:rsidR="006E2F26" w:rsidRPr="006742A5" w:rsidRDefault="006E2F26" w:rsidP="006E2F2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742A5">
        <w:rPr>
          <w:rFonts w:ascii="Arial" w:hAnsi="Arial" w:cs="Arial"/>
          <w:b/>
          <w:color w:val="000000"/>
        </w:rPr>
        <w:t>Michael Kalu, Gombe State University, Nigeria</w:t>
      </w:r>
    </w:p>
    <w:p w14:paraId="5B289EB2" w14:textId="77777777" w:rsidR="006E2F26" w:rsidRPr="006E2F26" w:rsidRDefault="006E2F26">
      <w:pPr>
        <w:rPr>
          <w:rFonts w:ascii="Arial" w:hAnsi="Arial" w:cs="Arial"/>
          <w:b/>
          <w:sz w:val="20"/>
          <w:szCs w:val="20"/>
        </w:rPr>
      </w:pPr>
    </w:p>
    <w:sectPr w:rsidR="006E2F26" w:rsidRPr="006E2F2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94EB" w14:textId="77777777" w:rsidR="00703093" w:rsidRPr="0000007A" w:rsidRDefault="00703093" w:rsidP="0099583E">
      <w:r>
        <w:separator/>
      </w:r>
    </w:p>
  </w:endnote>
  <w:endnote w:type="continuationSeparator" w:id="0">
    <w:p w14:paraId="39280BFD" w14:textId="77777777" w:rsidR="00703093" w:rsidRPr="0000007A" w:rsidRDefault="0070309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9100" w14:textId="77777777" w:rsidR="00703093" w:rsidRPr="0000007A" w:rsidRDefault="00703093" w:rsidP="0099583E">
      <w:r>
        <w:separator/>
      </w:r>
    </w:p>
  </w:footnote>
  <w:footnote w:type="continuationSeparator" w:id="0">
    <w:p w14:paraId="60B4E129" w14:textId="77777777" w:rsidR="00703093" w:rsidRPr="0000007A" w:rsidRDefault="0070309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5046522">
    <w:abstractNumId w:val="3"/>
  </w:num>
  <w:num w:numId="2" w16cid:durableId="286590686">
    <w:abstractNumId w:val="6"/>
  </w:num>
  <w:num w:numId="3" w16cid:durableId="1160539079">
    <w:abstractNumId w:val="5"/>
  </w:num>
  <w:num w:numId="4" w16cid:durableId="1100179929">
    <w:abstractNumId w:val="7"/>
  </w:num>
  <w:num w:numId="5" w16cid:durableId="1707486483">
    <w:abstractNumId w:val="4"/>
  </w:num>
  <w:num w:numId="6" w16cid:durableId="1328436299">
    <w:abstractNumId w:val="0"/>
  </w:num>
  <w:num w:numId="7" w16cid:durableId="2093961702">
    <w:abstractNumId w:val="1"/>
  </w:num>
  <w:num w:numId="8" w16cid:durableId="1661737472">
    <w:abstractNumId w:val="9"/>
  </w:num>
  <w:num w:numId="9" w16cid:durableId="566501129">
    <w:abstractNumId w:val="8"/>
  </w:num>
  <w:num w:numId="10" w16cid:durableId="1977099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4266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773F"/>
    <w:rsid w:val="003D1BDE"/>
    <w:rsid w:val="003E746A"/>
    <w:rsid w:val="00401C12"/>
    <w:rsid w:val="00421DBF"/>
    <w:rsid w:val="0042465A"/>
    <w:rsid w:val="00435B36"/>
    <w:rsid w:val="00441988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A43"/>
    <w:rsid w:val="00565D90"/>
    <w:rsid w:val="00567DE0"/>
    <w:rsid w:val="005735A5"/>
    <w:rsid w:val="005757CF"/>
    <w:rsid w:val="00581FF9"/>
    <w:rsid w:val="005A4F17"/>
    <w:rsid w:val="005B3509"/>
    <w:rsid w:val="005C25A0"/>
    <w:rsid w:val="005C5F41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2F26"/>
    <w:rsid w:val="006E6014"/>
    <w:rsid w:val="006E7D6E"/>
    <w:rsid w:val="00700A1D"/>
    <w:rsid w:val="00700EF2"/>
    <w:rsid w:val="00701186"/>
    <w:rsid w:val="00703093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A6746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6EFF"/>
    <w:rsid w:val="0086369B"/>
    <w:rsid w:val="00867E37"/>
    <w:rsid w:val="0087201B"/>
    <w:rsid w:val="00877F10"/>
    <w:rsid w:val="00882091"/>
    <w:rsid w:val="008850E6"/>
    <w:rsid w:val="00893E75"/>
    <w:rsid w:val="00895D0A"/>
    <w:rsid w:val="008A748E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49D5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5C07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49E9"/>
    <w:rsid w:val="00B53059"/>
    <w:rsid w:val="00B562D2"/>
    <w:rsid w:val="00B62087"/>
    <w:rsid w:val="00B62F41"/>
    <w:rsid w:val="00B63782"/>
    <w:rsid w:val="00B66599"/>
    <w:rsid w:val="00B760E1"/>
    <w:rsid w:val="00B82572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29E0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6CE2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5CD6"/>
    <w:rsid w:val="00CF7035"/>
    <w:rsid w:val="00D1283A"/>
    <w:rsid w:val="00D12970"/>
    <w:rsid w:val="00D17979"/>
    <w:rsid w:val="00D2075F"/>
    <w:rsid w:val="00D24CBE"/>
    <w:rsid w:val="00D27A79"/>
    <w:rsid w:val="00D32AC2"/>
    <w:rsid w:val="00D36BD1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1D86"/>
    <w:rsid w:val="00E03C32"/>
    <w:rsid w:val="00E3111A"/>
    <w:rsid w:val="00E451EA"/>
    <w:rsid w:val="00E566DE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6770"/>
    <w:rsid w:val="00E9533D"/>
    <w:rsid w:val="00E972A7"/>
    <w:rsid w:val="00EA2839"/>
    <w:rsid w:val="00EA75FB"/>
    <w:rsid w:val="00EB3E91"/>
    <w:rsid w:val="00EB6E15"/>
    <w:rsid w:val="00EC4E9E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6811"/>
    <w:rsid w:val="00F405F8"/>
    <w:rsid w:val="00F4700F"/>
    <w:rsid w:val="00F52B15"/>
    <w:rsid w:val="00F573EA"/>
    <w:rsid w:val="00F57E9D"/>
    <w:rsid w:val="00F73CF2"/>
    <w:rsid w:val="00F7605E"/>
    <w:rsid w:val="00F80C14"/>
    <w:rsid w:val="00F96F54"/>
    <w:rsid w:val="00F978B8"/>
    <w:rsid w:val="00FA605D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449E9"/>
    <w:rPr>
      <w:b/>
      <w:bCs/>
    </w:rPr>
  </w:style>
  <w:style w:type="paragraph" w:customStyle="1" w:styleId="Affiliation">
    <w:name w:val="Affiliation"/>
    <w:basedOn w:val="Normal"/>
    <w:rsid w:val="006E2F2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2025-05-27T13:21:00Z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