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3C1061" w14:paraId="1643A4CA" w14:textId="77777777" w:rsidTr="003C106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C106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C1061" w14:paraId="127EAD7E" w14:textId="77777777" w:rsidTr="003C1061">
        <w:trPr>
          <w:trHeight w:val="413"/>
        </w:trPr>
        <w:tc>
          <w:tcPr>
            <w:tcW w:w="1248" w:type="pct"/>
          </w:tcPr>
          <w:p w14:paraId="3C159AA5" w14:textId="77777777" w:rsidR="0000007A" w:rsidRPr="003C106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C1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6B9BC7A" w:rsidR="0000007A" w:rsidRPr="003C1061" w:rsidRDefault="00E529F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C106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3C1061" w14:paraId="73C90375" w14:textId="77777777" w:rsidTr="003C1061">
        <w:trPr>
          <w:trHeight w:val="290"/>
        </w:trPr>
        <w:tc>
          <w:tcPr>
            <w:tcW w:w="1248" w:type="pct"/>
          </w:tcPr>
          <w:p w14:paraId="20D28135" w14:textId="77777777" w:rsidR="0000007A" w:rsidRPr="003C10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68D1546" w:rsidR="0000007A" w:rsidRPr="003C106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C1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C1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C1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B1AA8" w:rsidRPr="003C1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5766</w:t>
            </w:r>
          </w:p>
        </w:tc>
      </w:tr>
      <w:tr w:rsidR="0000007A" w:rsidRPr="003C1061" w14:paraId="05B60576" w14:textId="77777777" w:rsidTr="003C1061">
        <w:trPr>
          <w:trHeight w:val="331"/>
        </w:trPr>
        <w:tc>
          <w:tcPr>
            <w:tcW w:w="1248" w:type="pct"/>
          </w:tcPr>
          <w:p w14:paraId="0196A627" w14:textId="77777777" w:rsidR="0000007A" w:rsidRPr="003C10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9B6EA26" w:rsidR="0000007A" w:rsidRPr="003C1061" w:rsidRDefault="00E529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C1061">
              <w:rPr>
                <w:rFonts w:ascii="Arial" w:hAnsi="Arial" w:cs="Arial"/>
                <w:b/>
                <w:sz w:val="20"/>
                <w:szCs w:val="20"/>
                <w:lang w:val="en-GB"/>
              </w:rPr>
              <w:t>Negative Appendectomy Rates -An Update</w:t>
            </w:r>
          </w:p>
        </w:tc>
      </w:tr>
      <w:tr w:rsidR="00CF0BBB" w:rsidRPr="003C1061" w14:paraId="6D508B1C" w14:textId="77777777" w:rsidTr="003C1061">
        <w:trPr>
          <w:trHeight w:val="332"/>
        </w:trPr>
        <w:tc>
          <w:tcPr>
            <w:tcW w:w="1248" w:type="pct"/>
          </w:tcPr>
          <w:p w14:paraId="32FC28F7" w14:textId="77777777" w:rsidR="00CF0BBB" w:rsidRPr="003C106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F945060" w:rsidR="00CF0BBB" w:rsidRPr="003C1061" w:rsidRDefault="006B1A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C106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3C1061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3C106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C106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C106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C106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C106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C106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C106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C106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AB37A67" w:rsidR="00E03C32" w:rsidRDefault="00027FA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27F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Medicine and Health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027F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7-13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690DD66" w:rsidR="00E03C32" w:rsidRPr="007B54A4" w:rsidRDefault="00027FA3" w:rsidP="00027FA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27F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027F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ajmah</w:t>
                  </w:r>
                  <w:proofErr w:type="spellEnd"/>
                  <w:r w:rsidRPr="00027F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/2023/v21i10873</w:t>
                  </w:r>
                </w:p>
              </w:txbxContent>
            </v:textbox>
          </v:rect>
        </w:pict>
      </w:r>
    </w:p>
    <w:p w14:paraId="40641486" w14:textId="77777777" w:rsidR="00D9392F" w:rsidRPr="003C106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C106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C106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C106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106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C106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C106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106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C106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06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C106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C1061">
              <w:rPr>
                <w:rFonts w:ascii="Arial" w:hAnsi="Arial" w:cs="Arial"/>
                <w:lang w:val="en-GB"/>
              </w:rPr>
              <w:t>Author’s Feedback</w:t>
            </w:r>
            <w:r w:rsidRPr="003C106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C106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C106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C10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C106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3C106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C106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C10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C10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3C10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C106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C10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C106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3C10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C106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C106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C1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3C106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C106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C10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C10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C106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3C106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C106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C10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C106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C106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C106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C106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C106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731C9E2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3C1061">
              <w:rPr>
                <w:rFonts w:ascii="Arial" w:hAnsi="Arial" w:cs="Arial"/>
                <w:b/>
                <w:sz w:val="20"/>
                <w:szCs w:val="20"/>
              </w:rPr>
              <w:t>1.Strengths</w:t>
            </w:r>
          </w:p>
          <w:p w14:paraId="2C1AD91D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Wide-ranging review of clinical scoring systems, inflammatory markers, imaging modalities, and laparoscopic surgery in reducing NAR (1996-2024)</w:t>
            </w:r>
          </w:p>
          <w:p w14:paraId="1D080A99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Recent literature covers systematic reviews and meta-analyses, plus regional differences.</w:t>
            </w:r>
          </w:p>
          <w:p w14:paraId="588B59FC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Multimodal approach integrates clinical, biochemical, radiological and surgical approaches to diagnosis.</w:t>
            </w:r>
          </w:p>
          <w:p w14:paraId="7508008B" w14:textId="77777777" w:rsidR="00D2224F" w:rsidRPr="003C1061" w:rsidRDefault="00D2224F" w:rsidP="00D2224F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  <w:p w14:paraId="4F09D932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C1061">
              <w:rPr>
                <w:rFonts w:ascii="Arial" w:hAnsi="Arial" w:cs="Arial"/>
                <w:b/>
                <w:sz w:val="20"/>
                <w:szCs w:val="20"/>
              </w:rPr>
              <w:t>Weaknesses &amp; Critique:</w:t>
            </w:r>
          </w:p>
          <w:p w14:paraId="47DE2104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a) Lack of Methodological Rigor for a Review:</w:t>
            </w:r>
          </w:p>
          <w:p w14:paraId="2FA565BB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Article lacks structured methodology (e.g. PRISMA flowchart, inclusion/exclusion criteria, quality assessment).</w:t>
            </w:r>
          </w:p>
          <w:p w14:paraId="773C7126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No data on number of articles reviewed or how data was extracted/</w:t>
            </w:r>
            <w:proofErr w:type="spellStart"/>
            <w:r w:rsidRPr="003C1061">
              <w:rPr>
                <w:rFonts w:ascii="Arial" w:hAnsi="Arial" w:cs="Arial"/>
                <w:sz w:val="20"/>
                <w:szCs w:val="20"/>
              </w:rPr>
              <w:t>synthesised</w:t>
            </w:r>
            <w:proofErr w:type="spellEnd"/>
            <w:r w:rsidRPr="003C10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CDC42D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44EBD87A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b) Outdated or Inconsistent Definitions:</w:t>
            </w:r>
          </w:p>
          <w:p w14:paraId="26DC89E7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Definition of negative appendectomy inconsistent. While histopathology cited as gold standard, some parts refer to intraoperative appearance, which is outdated and prone to surgeon bias.</w:t>
            </w:r>
          </w:p>
          <w:p w14:paraId="75A324A1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Current literature supports histopathologic confirmation as definitive criterion (Bhangu et al., 2015; Andersson, 2007).</w:t>
            </w:r>
          </w:p>
          <w:p w14:paraId="0EC119CB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21074A67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c) Underemphasis on Diagnostic Pathways:</w:t>
            </w:r>
          </w:p>
          <w:p w14:paraId="2FBE1A1A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Paper misses recent guidelines recommending diagnostic pathways combining scoring systems + ultrasound + CT selectively, e.g. World Society of Emergency Surgery (WSES) guidelines (Di Saverio et al., 2020).</w:t>
            </w:r>
          </w:p>
          <w:p w14:paraId="2AFC1244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Low-dose CT and MRI absent despite growing role in reducing NAR with minimized radiation exposure in children and pregnant women (Kim et al., 2018).</w:t>
            </w:r>
          </w:p>
          <w:p w14:paraId="235584BC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d) Gender-Specific Considerations Not Explored Deeply:</w:t>
            </w:r>
          </w:p>
          <w:p w14:paraId="22D1E575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 xml:space="preserve">- It notes that women have higher NARs but fails to critically </w:t>
            </w:r>
            <w:proofErr w:type="spellStart"/>
            <w:r w:rsidRPr="003C1061">
              <w:rPr>
                <w:rFonts w:ascii="Arial" w:hAnsi="Arial" w:cs="Arial"/>
                <w:sz w:val="20"/>
                <w:szCs w:val="20"/>
              </w:rPr>
              <w:t>analyse</w:t>
            </w:r>
            <w:proofErr w:type="spellEnd"/>
            <w:r w:rsidRPr="003C10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1061">
              <w:rPr>
                <w:rFonts w:ascii="Arial" w:hAnsi="Arial" w:cs="Arial"/>
                <w:sz w:val="20"/>
                <w:szCs w:val="20"/>
              </w:rPr>
              <w:t>gynaecological</w:t>
            </w:r>
            <w:proofErr w:type="spellEnd"/>
            <w:r w:rsidRPr="003C1061">
              <w:rPr>
                <w:rFonts w:ascii="Arial" w:hAnsi="Arial" w:cs="Arial"/>
                <w:sz w:val="20"/>
                <w:szCs w:val="20"/>
              </w:rPr>
              <w:t xml:space="preserve"> differential diagnoses or the role of </w:t>
            </w:r>
            <w:proofErr w:type="spellStart"/>
            <w:r w:rsidRPr="003C1061">
              <w:rPr>
                <w:rFonts w:ascii="Arial" w:hAnsi="Arial" w:cs="Arial"/>
                <w:sz w:val="20"/>
                <w:szCs w:val="20"/>
              </w:rPr>
              <w:t>gynaecological</w:t>
            </w:r>
            <w:proofErr w:type="spellEnd"/>
            <w:r w:rsidRPr="003C1061">
              <w:rPr>
                <w:rFonts w:ascii="Arial" w:hAnsi="Arial" w:cs="Arial"/>
                <w:sz w:val="20"/>
                <w:szCs w:val="20"/>
              </w:rPr>
              <w:t xml:space="preserve"> ultrasound in females of reproductive age.</w:t>
            </w:r>
          </w:p>
          <w:p w14:paraId="695C8614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1D909F89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e) No Discussion on Non-Operative Management:</w:t>
            </w:r>
          </w:p>
          <w:p w14:paraId="5044FE52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Emerging strategies for uncomplicated appendicitis, which could impact NAR, are not discussed (CODA Trial, 2020).</w:t>
            </w:r>
          </w:p>
          <w:p w14:paraId="01DD686F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25FC193B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f) Redundancy and Language Issues:</w:t>
            </w:r>
          </w:p>
          <w:p w14:paraId="5360BB09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Several parts of the article are repetitive.</w:t>
            </w:r>
          </w:p>
          <w:p w14:paraId="40F42781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C1061">
              <w:rPr>
                <w:rFonts w:ascii="Arial" w:hAnsi="Arial" w:cs="Arial"/>
                <w:sz w:val="20"/>
                <w:szCs w:val="20"/>
              </w:rPr>
              <w:t>- Grammar, punctuation and syntax need improvement to enhance clarity and readability.</w:t>
            </w:r>
          </w:p>
          <w:p w14:paraId="719C5488" w14:textId="77777777" w:rsidR="00D2224F" w:rsidRPr="003C1061" w:rsidRDefault="00D2224F" w:rsidP="00D2224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1563C8FD" w14:textId="77777777" w:rsidR="00D2224F" w:rsidRPr="003C1061" w:rsidRDefault="00D2224F" w:rsidP="00D2224F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 w:rsidRPr="003C1061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3. Conclusion:</w:t>
            </w:r>
          </w:p>
          <w:p w14:paraId="302254D3" w14:textId="77777777" w:rsidR="00D2224F" w:rsidRPr="003C1061" w:rsidRDefault="00D2224F" w:rsidP="00D2224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3C1061">
              <w:rPr>
                <w:rFonts w:ascii="Arial" w:hAnsi="Arial" w:cs="Arial"/>
                <w:sz w:val="20"/>
                <w:szCs w:val="20"/>
                <w:lang w:eastAsia="tr-TR"/>
              </w:rPr>
              <w:t>While informative and broad in scope, this review would benefit from greater methodological rigor, structured presentation, and deeper engagement with evolving trends like diagnostic algorithms, non-surgical management, and gender-specific challenges. Inclusion of more recent international consensus guidelines and refinement of definitions would also increase its academic quality.</w:t>
            </w:r>
          </w:p>
          <w:p w14:paraId="1E347C61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C10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C10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C106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C10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C106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C106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C10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C106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C10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106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C10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C1061">
              <w:rPr>
                <w:rFonts w:ascii="Arial" w:hAnsi="Arial" w:cs="Arial"/>
                <w:lang w:val="en-GB"/>
              </w:rPr>
              <w:t>Author’s comment</w:t>
            </w:r>
            <w:r w:rsidRPr="003C106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C106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C106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C10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C10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C10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C10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C10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C10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C10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C10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C106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C106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C106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C106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3C1061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05ADE3A" w14:textId="77777777" w:rsidR="003C1061" w:rsidRPr="00603E10" w:rsidRDefault="003C1061" w:rsidP="003C10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3E10">
        <w:rPr>
          <w:rFonts w:ascii="Arial" w:hAnsi="Arial" w:cs="Arial"/>
          <w:b/>
          <w:u w:val="single"/>
        </w:rPr>
        <w:t>Reviewer details:</w:t>
      </w:r>
    </w:p>
    <w:p w14:paraId="790C21D8" w14:textId="77777777" w:rsidR="003C1061" w:rsidRPr="00603E10" w:rsidRDefault="003C1061" w:rsidP="003C106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03E10">
        <w:rPr>
          <w:rFonts w:ascii="Arial" w:hAnsi="Arial" w:cs="Arial"/>
          <w:b/>
          <w:color w:val="000000"/>
        </w:rPr>
        <w:t>Yuksel Dogan, Turkey</w:t>
      </w:r>
    </w:p>
    <w:p w14:paraId="1471A0E7" w14:textId="77777777" w:rsidR="00F1171E" w:rsidRPr="003C1061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F1171E" w:rsidRPr="003C106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D0A3" w14:textId="77777777" w:rsidR="00255057" w:rsidRPr="0000007A" w:rsidRDefault="00255057" w:rsidP="0099583E">
      <w:r>
        <w:separator/>
      </w:r>
    </w:p>
  </w:endnote>
  <w:endnote w:type="continuationSeparator" w:id="0">
    <w:p w14:paraId="4AD91CA2" w14:textId="77777777" w:rsidR="00255057" w:rsidRPr="0000007A" w:rsidRDefault="002550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9133" w14:textId="77777777" w:rsidR="00255057" w:rsidRPr="0000007A" w:rsidRDefault="00255057" w:rsidP="0099583E">
      <w:r>
        <w:separator/>
      </w:r>
    </w:p>
  </w:footnote>
  <w:footnote w:type="continuationSeparator" w:id="0">
    <w:p w14:paraId="1E122AA1" w14:textId="77777777" w:rsidR="00255057" w:rsidRPr="0000007A" w:rsidRDefault="002550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0646501">
    <w:abstractNumId w:val="3"/>
  </w:num>
  <w:num w:numId="2" w16cid:durableId="649332427">
    <w:abstractNumId w:val="6"/>
  </w:num>
  <w:num w:numId="3" w16cid:durableId="339890324">
    <w:abstractNumId w:val="5"/>
  </w:num>
  <w:num w:numId="4" w16cid:durableId="1710180920">
    <w:abstractNumId w:val="7"/>
  </w:num>
  <w:num w:numId="5" w16cid:durableId="1184368161">
    <w:abstractNumId w:val="4"/>
  </w:num>
  <w:num w:numId="6" w16cid:durableId="2134131073">
    <w:abstractNumId w:val="0"/>
  </w:num>
  <w:num w:numId="7" w16cid:durableId="1417283945">
    <w:abstractNumId w:val="1"/>
  </w:num>
  <w:num w:numId="8" w16cid:durableId="1296762406">
    <w:abstractNumId w:val="9"/>
  </w:num>
  <w:num w:numId="9" w16cid:durableId="1595355547">
    <w:abstractNumId w:val="8"/>
  </w:num>
  <w:num w:numId="10" w16cid:durableId="38935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7FA3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1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9DB"/>
    <w:rsid w:val="00246BB9"/>
    <w:rsid w:val="0025366D"/>
    <w:rsid w:val="0025366F"/>
    <w:rsid w:val="00255057"/>
    <w:rsid w:val="00256735"/>
    <w:rsid w:val="00257F9E"/>
    <w:rsid w:val="00262634"/>
    <w:rsid w:val="002650C5"/>
    <w:rsid w:val="00275984"/>
    <w:rsid w:val="00280EC9"/>
    <w:rsid w:val="00281445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061"/>
    <w:rsid w:val="003D1BDE"/>
    <w:rsid w:val="003E118B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1AA8"/>
    <w:rsid w:val="006C3797"/>
    <w:rsid w:val="006C6EE6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4EC2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2A6F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B58"/>
    <w:rsid w:val="00B82FFC"/>
    <w:rsid w:val="00BA1AB3"/>
    <w:rsid w:val="00BA1FE2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224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29FE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7389"/>
    <w:rsid w:val="00E91069"/>
    <w:rsid w:val="00E9533D"/>
    <w:rsid w:val="00E972A7"/>
    <w:rsid w:val="00EA2839"/>
    <w:rsid w:val="00EB3E91"/>
    <w:rsid w:val="00EB6E15"/>
    <w:rsid w:val="00EC22F0"/>
    <w:rsid w:val="00EC6894"/>
    <w:rsid w:val="00ED6B12"/>
    <w:rsid w:val="00ED7400"/>
    <w:rsid w:val="00EF0567"/>
    <w:rsid w:val="00EF326D"/>
    <w:rsid w:val="00EF53FE"/>
    <w:rsid w:val="00F1171E"/>
    <w:rsid w:val="00F13071"/>
    <w:rsid w:val="00F2643C"/>
    <w:rsid w:val="00F32717"/>
    <w:rsid w:val="00F3295A"/>
    <w:rsid w:val="00F32A9A"/>
    <w:rsid w:val="00F3363D"/>
    <w:rsid w:val="00F33C84"/>
    <w:rsid w:val="00F3669D"/>
    <w:rsid w:val="00F405F8"/>
    <w:rsid w:val="00F40B7F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7F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C106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