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7"/>
        <w:gridCol w:w="15767"/>
      </w:tblGrid>
      <w:tr w:rsidR="006D7DF8" w:rsidRPr="00312A73" w14:paraId="295BFDA2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E36DA28" w14:textId="77777777" w:rsidR="006D7DF8" w:rsidRPr="00312A73" w:rsidRDefault="006D7DF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6D7DF8" w:rsidRPr="00312A73" w14:paraId="5CB364FC" w14:textId="77777777">
        <w:trPr>
          <w:trHeight w:val="413"/>
        </w:trPr>
        <w:tc>
          <w:tcPr>
            <w:tcW w:w="1234" w:type="pct"/>
          </w:tcPr>
          <w:p w14:paraId="491E062B" w14:textId="77777777" w:rsidR="006D7DF8" w:rsidRPr="00312A73" w:rsidRDefault="0084584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2A73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6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DF830E" w14:textId="77777777" w:rsidR="006D7DF8" w:rsidRPr="00312A73" w:rsidRDefault="0084584E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312A73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Current Advances in Plant Science, Molecular Biology, and Health Sector</w:t>
            </w:r>
          </w:p>
        </w:tc>
      </w:tr>
      <w:tr w:rsidR="006D7DF8" w:rsidRPr="00312A73" w14:paraId="59D0A144" w14:textId="77777777">
        <w:trPr>
          <w:trHeight w:val="290"/>
        </w:trPr>
        <w:tc>
          <w:tcPr>
            <w:tcW w:w="1234" w:type="pct"/>
          </w:tcPr>
          <w:p w14:paraId="6935FA86" w14:textId="77777777" w:rsidR="006D7DF8" w:rsidRPr="00312A73" w:rsidRDefault="0084584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2A7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D8E4DC" w14:textId="77777777" w:rsidR="006D7DF8" w:rsidRPr="00312A73" w:rsidRDefault="0084584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12A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Ms_BPR_5684.3</w:t>
            </w:r>
          </w:p>
        </w:tc>
      </w:tr>
      <w:tr w:rsidR="006D7DF8" w:rsidRPr="00312A73" w14:paraId="1697043F" w14:textId="77777777">
        <w:trPr>
          <w:trHeight w:val="331"/>
        </w:trPr>
        <w:tc>
          <w:tcPr>
            <w:tcW w:w="1234" w:type="pct"/>
          </w:tcPr>
          <w:p w14:paraId="33C78346" w14:textId="77777777" w:rsidR="006D7DF8" w:rsidRPr="00312A73" w:rsidRDefault="0084584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2A7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03D88B" w14:textId="77777777" w:rsidR="006D7DF8" w:rsidRPr="00312A73" w:rsidRDefault="0084584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312A73">
              <w:rPr>
                <w:rFonts w:ascii="Arial" w:hAnsi="Arial" w:cs="Arial"/>
                <w:b/>
                <w:sz w:val="20"/>
                <w:szCs w:val="20"/>
                <w:lang w:val="en-GB"/>
              </w:rPr>
              <w:t>Cytokine, cytokine storm and their role in fatalities of COVID-19</w:t>
            </w:r>
          </w:p>
        </w:tc>
      </w:tr>
      <w:tr w:rsidR="006D7DF8" w:rsidRPr="00312A73" w14:paraId="21539F06" w14:textId="77777777">
        <w:trPr>
          <w:trHeight w:val="332"/>
        </w:trPr>
        <w:tc>
          <w:tcPr>
            <w:tcW w:w="1234" w:type="pct"/>
          </w:tcPr>
          <w:p w14:paraId="3A8A9DC2" w14:textId="77777777" w:rsidR="006D7DF8" w:rsidRPr="00312A73" w:rsidRDefault="0084584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2A7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D2F025" w14:textId="77777777" w:rsidR="006D7DF8" w:rsidRPr="00312A73" w:rsidRDefault="0084584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12A7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20086C18" w14:textId="77777777" w:rsidR="006D7DF8" w:rsidRPr="00312A73" w:rsidRDefault="006D7DF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D6BED8A" w14:textId="77777777" w:rsidR="006D7DF8" w:rsidRPr="00312A73" w:rsidRDefault="006D7DF8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208488B3" w14:textId="77777777" w:rsidR="006D7DF8" w:rsidRPr="00312A73" w:rsidRDefault="006D7DF8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177CEC09" w14:textId="77777777" w:rsidR="006D7DF8" w:rsidRPr="00312A73" w:rsidRDefault="0084584E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12A73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2E77C0CE" w14:textId="77777777" w:rsidR="006D7DF8" w:rsidRPr="00312A73" w:rsidRDefault="006D7DF8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432C66C4" w14:textId="77777777" w:rsidR="006D7DF8" w:rsidRPr="00312A73" w:rsidRDefault="0084584E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312A73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196F556E" w14:textId="77777777" w:rsidR="006D7DF8" w:rsidRPr="00312A73" w:rsidRDefault="0084584E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12A73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694DF0CC" wp14:editId="6E1BA589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3" cy="1584325"/>
                <wp:effectExtent l="0" t="0" r="0" b="0"/>
                <wp:wrapNone/>
                <wp:docPr id="1026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606143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AEDFBF0" w14:textId="77777777" w:rsidR="006D7DF8" w:rsidRDefault="0084584E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56E6EC8B" w14:textId="77777777" w:rsidR="006D7DF8" w:rsidRDefault="006D7DF8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40D7FD6" w14:textId="77777777" w:rsidR="006D7DF8" w:rsidRDefault="0084584E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44EE31CC" w14:textId="77777777" w:rsidR="006D7DF8" w:rsidRDefault="006D7DF8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00F93F19" w14:textId="77777777" w:rsidR="006D7DF8" w:rsidRDefault="0084584E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Journal of Infectious Diseases and Immunity, 13(2): 20-29, 2021.</w:t>
                            </w:r>
                          </w:p>
                          <w:p w14:paraId="74F64957" w14:textId="77777777" w:rsidR="006D7DF8" w:rsidRDefault="0084584E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 10.5897/JIDI2021.0216</w:t>
                            </w:r>
                          </w:p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4DF0CC" id="矩形 1" o:spid="_x0000_s1026" style="position:absolute;left:0;text-align:left;margin-left:-9.6pt;margin-top:14.25pt;width:1071.35pt;height:124.7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" strokeweight="1pt">
                <v:path arrowok="t"/>
                <v:textbox>
                  <w:txbxContent>
                    <w:p w14:paraId="3AEDFBF0" w14:textId="77777777" w:rsidR="006D7DF8" w:rsidRDefault="0084584E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56E6EC8B" w14:textId="77777777" w:rsidR="006D7DF8" w:rsidRDefault="006D7DF8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40D7FD6" w14:textId="77777777" w:rsidR="006D7DF8" w:rsidRDefault="0084584E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44EE31CC" w14:textId="77777777" w:rsidR="006D7DF8" w:rsidRDefault="006D7DF8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00F93F19" w14:textId="77777777" w:rsidR="006D7DF8" w:rsidRDefault="0084584E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Journal of Infectious Diseases and Immunity, 13(2): 20-29, 2021.</w:t>
                      </w:r>
                    </w:p>
                    <w:p w14:paraId="74F64957" w14:textId="77777777" w:rsidR="006D7DF8" w:rsidRDefault="0084584E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 10.5897/JIDI2021.0216</w:t>
                      </w:r>
                    </w:p>
                  </w:txbxContent>
                </v:textbox>
              </v:rect>
            </w:pict>
          </mc:Fallback>
        </mc:AlternateContent>
      </w:r>
    </w:p>
    <w:p w14:paraId="5F2D29D6" w14:textId="77777777" w:rsidR="006D7DF8" w:rsidRPr="00312A73" w:rsidRDefault="0084584E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312A73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62AADE84" w14:textId="77777777" w:rsidR="006D7DF8" w:rsidRPr="00312A73" w:rsidRDefault="006D7DF8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1"/>
        <w:gridCol w:w="9357"/>
        <w:gridCol w:w="6442"/>
      </w:tblGrid>
      <w:tr w:rsidR="006D7DF8" w:rsidRPr="00312A73" w14:paraId="02B8FC3B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50275DBF" w14:textId="77777777" w:rsidR="006D7DF8" w:rsidRPr="00312A73" w:rsidRDefault="0084584E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12A7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12A7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1444287" w14:textId="77777777" w:rsidR="006D7DF8" w:rsidRPr="00312A73" w:rsidRDefault="006D7DF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D7DF8" w:rsidRPr="00312A73" w14:paraId="5CBC641B" w14:textId="77777777">
        <w:tc>
          <w:tcPr>
            <w:tcW w:w="1265" w:type="pct"/>
            <w:noWrap/>
          </w:tcPr>
          <w:p w14:paraId="0DB105FB" w14:textId="77777777" w:rsidR="006D7DF8" w:rsidRPr="00312A73" w:rsidRDefault="006D7DF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3F178C" w14:textId="77777777" w:rsidR="006D7DF8" w:rsidRPr="00312A73" w:rsidRDefault="0084584E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12A73">
              <w:rPr>
                <w:rFonts w:ascii="Arial" w:hAnsi="Arial" w:cs="Arial"/>
                <w:lang w:val="en-GB"/>
              </w:rPr>
              <w:t>Reviewer’s comment</w:t>
            </w:r>
          </w:p>
          <w:p w14:paraId="1E772A88" w14:textId="77777777" w:rsidR="006D7DF8" w:rsidRPr="00312A73" w:rsidRDefault="0084584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2A7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5CA7609F" w14:textId="77777777" w:rsidR="006D7DF8" w:rsidRPr="00312A73" w:rsidRDefault="006D7DF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C329CF7" w14:textId="77777777" w:rsidR="006D7DF8" w:rsidRPr="00312A73" w:rsidRDefault="0084584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12A73">
              <w:rPr>
                <w:rFonts w:ascii="Arial" w:hAnsi="Arial" w:cs="Arial"/>
                <w:lang w:val="en-GB"/>
              </w:rPr>
              <w:t>Author’s Feedback</w:t>
            </w:r>
            <w:r w:rsidRPr="00312A7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12A7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6D7DF8" w:rsidRPr="00312A73" w14:paraId="586FDBF2" w14:textId="77777777">
        <w:trPr>
          <w:trHeight w:val="1264"/>
        </w:trPr>
        <w:tc>
          <w:tcPr>
            <w:tcW w:w="1265" w:type="pct"/>
            <w:noWrap/>
          </w:tcPr>
          <w:p w14:paraId="42593860" w14:textId="77777777" w:rsidR="006D7DF8" w:rsidRPr="00312A73" w:rsidRDefault="0084584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2A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73D4892C" w14:textId="77777777" w:rsidR="006D7DF8" w:rsidRPr="00312A73" w:rsidRDefault="006D7DF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B9F5612" w14:textId="77777777" w:rsidR="006D7DF8" w:rsidRPr="00312A73" w:rsidRDefault="0084584E">
            <w:pPr>
              <w:pStyle w:val="ListParagraphcab97dd4-3562-4cc9-872b-39d524114949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2A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manuscript highlights the potential biomarkers which are crucial. It is highly relevant to the scientific </w:t>
            </w:r>
            <w:proofErr w:type="gramStart"/>
            <w:r w:rsidRPr="00312A73">
              <w:rPr>
                <w:rFonts w:ascii="Arial" w:hAnsi="Arial" w:cs="Arial"/>
                <w:b/>
                <w:bCs/>
                <w:sz w:val="20"/>
                <w:szCs w:val="20"/>
              </w:rPr>
              <w:t>community  and</w:t>
            </w:r>
            <w:proofErr w:type="gramEnd"/>
            <w:r w:rsidRPr="00312A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also it offers valuable insights to disease outcomes.</w:t>
            </w:r>
          </w:p>
        </w:tc>
        <w:tc>
          <w:tcPr>
            <w:tcW w:w="1523" w:type="pct"/>
          </w:tcPr>
          <w:p w14:paraId="6AB5B865" w14:textId="77777777" w:rsidR="006D7DF8" w:rsidRPr="00312A73" w:rsidRDefault="006D7DF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D7DF8" w:rsidRPr="00312A73" w14:paraId="0F1B98E5" w14:textId="77777777">
        <w:trPr>
          <w:trHeight w:val="1262"/>
        </w:trPr>
        <w:tc>
          <w:tcPr>
            <w:tcW w:w="1265" w:type="pct"/>
            <w:noWrap/>
          </w:tcPr>
          <w:p w14:paraId="5655CA46" w14:textId="77777777" w:rsidR="006D7DF8" w:rsidRPr="00312A73" w:rsidRDefault="0084584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2A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43DC6D5" w14:textId="77777777" w:rsidR="006D7DF8" w:rsidRPr="00312A73" w:rsidRDefault="0084584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2A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4101A655" w14:textId="77777777" w:rsidR="006D7DF8" w:rsidRPr="00312A73" w:rsidRDefault="006D7DF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756D342" w14:textId="77777777" w:rsidR="006D7DF8" w:rsidRPr="00312A73" w:rsidRDefault="0084584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2A73">
              <w:rPr>
                <w:rFonts w:ascii="Arial" w:hAnsi="Arial" w:cs="Arial"/>
                <w:b/>
                <w:bCs/>
                <w:sz w:val="20"/>
                <w:szCs w:val="20"/>
              </w:rPr>
              <w:t>Cytokine Dysregulation and Immune Storms in COVID-19: Mechanisms and Implications</w:t>
            </w:r>
          </w:p>
        </w:tc>
        <w:tc>
          <w:tcPr>
            <w:tcW w:w="1523" w:type="pct"/>
          </w:tcPr>
          <w:p w14:paraId="58F376A6" w14:textId="77777777" w:rsidR="006D7DF8" w:rsidRPr="00312A73" w:rsidRDefault="006D7DF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D7DF8" w:rsidRPr="00312A73" w14:paraId="3FC79866" w14:textId="77777777">
        <w:trPr>
          <w:trHeight w:val="1262"/>
        </w:trPr>
        <w:tc>
          <w:tcPr>
            <w:tcW w:w="1265" w:type="pct"/>
            <w:noWrap/>
          </w:tcPr>
          <w:p w14:paraId="30C553D2" w14:textId="77777777" w:rsidR="006D7DF8" w:rsidRPr="00312A73" w:rsidRDefault="0084584E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12A7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1D2D75D5" w14:textId="77777777" w:rsidR="006D7DF8" w:rsidRPr="00312A73" w:rsidRDefault="006D7DF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40E3E59" w14:textId="77777777" w:rsidR="006D7DF8" w:rsidRPr="00312A73" w:rsidRDefault="0084584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2A73">
              <w:rPr>
                <w:rFonts w:ascii="Arial" w:hAnsi="Arial" w:cs="Arial"/>
                <w:b/>
                <w:bCs/>
                <w:sz w:val="20"/>
                <w:szCs w:val="20"/>
              </w:rPr>
              <w:t>An abstract should give a quick overview of the review's purpose, significance, and main outcomes, allowing them to assess its relevance to their interests. To effectively shorten and structure an abstract, prioritize brevity and clarity.</w:t>
            </w:r>
          </w:p>
        </w:tc>
        <w:tc>
          <w:tcPr>
            <w:tcW w:w="1523" w:type="pct"/>
          </w:tcPr>
          <w:p w14:paraId="617AD198" w14:textId="77777777" w:rsidR="006D7DF8" w:rsidRPr="00312A73" w:rsidRDefault="006D7DF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D7DF8" w:rsidRPr="00312A73" w14:paraId="407B6B04" w14:textId="77777777">
        <w:tc>
          <w:tcPr>
            <w:tcW w:w="1265" w:type="pct"/>
            <w:noWrap/>
          </w:tcPr>
          <w:p w14:paraId="672E5546" w14:textId="77777777" w:rsidR="006D7DF8" w:rsidRPr="00312A73" w:rsidRDefault="0084584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12A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778A3E8F" w14:textId="77777777" w:rsidR="006D7DF8" w:rsidRPr="00312A73" w:rsidRDefault="0084584E">
            <w:pPr>
              <w:pStyle w:val="ListParagraphcab97dd4-3562-4cc9-872b-39d524114949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2A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Yes, </w:t>
            </w:r>
            <w:proofErr w:type="gramStart"/>
            <w:r w:rsidRPr="00312A73">
              <w:rPr>
                <w:rFonts w:ascii="Arial" w:hAnsi="Arial" w:cs="Arial"/>
                <w:b/>
                <w:bCs/>
                <w:sz w:val="20"/>
                <w:szCs w:val="20"/>
              </w:rPr>
              <w:t>The</w:t>
            </w:r>
            <w:proofErr w:type="gramEnd"/>
            <w:r w:rsidRPr="00312A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manuscript is largely scientifically accurate and provides a comprehensive review of cytokines, their families, </w:t>
            </w:r>
            <w:proofErr w:type="spellStart"/>
            <w:r w:rsidRPr="00312A73">
              <w:rPr>
                <w:rFonts w:ascii="Arial" w:hAnsi="Arial" w:cs="Arial"/>
                <w:b/>
                <w:bCs/>
                <w:sz w:val="20"/>
                <w:szCs w:val="20"/>
              </w:rPr>
              <w:t>signalling</w:t>
            </w:r>
            <w:proofErr w:type="spellEnd"/>
            <w:r w:rsidRPr="00312A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mechanisms, and their roles in COVID-19 pathogenesis, particularly the cytokine storm.</w:t>
            </w:r>
          </w:p>
        </w:tc>
        <w:tc>
          <w:tcPr>
            <w:tcW w:w="1523" w:type="pct"/>
          </w:tcPr>
          <w:p w14:paraId="0D8EF5E1" w14:textId="77777777" w:rsidR="006D7DF8" w:rsidRPr="00312A73" w:rsidRDefault="006D7DF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D7DF8" w:rsidRPr="00312A73" w14:paraId="311564EC" w14:textId="77777777">
        <w:trPr>
          <w:trHeight w:val="703"/>
        </w:trPr>
        <w:tc>
          <w:tcPr>
            <w:tcW w:w="1265" w:type="pct"/>
            <w:noWrap/>
          </w:tcPr>
          <w:p w14:paraId="59C54DB8" w14:textId="77777777" w:rsidR="006D7DF8" w:rsidRPr="00312A73" w:rsidRDefault="0084584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2A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014380D0" w14:textId="77777777" w:rsidR="006D7DF8" w:rsidRPr="00312A73" w:rsidRDefault="0084584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12A7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15B14D6F" w14:textId="77777777" w:rsidR="006D7DF8" w:rsidRPr="00312A73" w:rsidRDefault="0084584E">
            <w:pPr>
              <w:pStyle w:val="ListParagraphcab97dd4-3562-4cc9-872b-39d524114949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2A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references were sufficient </w:t>
            </w:r>
          </w:p>
        </w:tc>
        <w:tc>
          <w:tcPr>
            <w:tcW w:w="1523" w:type="pct"/>
          </w:tcPr>
          <w:p w14:paraId="4DF452B2" w14:textId="77777777" w:rsidR="006D7DF8" w:rsidRPr="00312A73" w:rsidRDefault="006D7DF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D7DF8" w:rsidRPr="00312A73" w14:paraId="441632B0" w14:textId="77777777">
        <w:trPr>
          <w:trHeight w:val="386"/>
        </w:trPr>
        <w:tc>
          <w:tcPr>
            <w:tcW w:w="1265" w:type="pct"/>
            <w:noWrap/>
          </w:tcPr>
          <w:p w14:paraId="1CCD8342" w14:textId="77777777" w:rsidR="006D7DF8" w:rsidRPr="00312A73" w:rsidRDefault="006D7DF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1331466F" w14:textId="77777777" w:rsidR="006D7DF8" w:rsidRPr="00312A73" w:rsidRDefault="0084584E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12A7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6467C06D" w14:textId="77777777" w:rsidR="006D7DF8" w:rsidRPr="00312A73" w:rsidRDefault="006D7DF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B4E06F6" w14:textId="77777777" w:rsidR="006D7DF8" w:rsidRPr="00312A73" w:rsidRDefault="0084584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2A73">
              <w:rPr>
                <w:rFonts w:ascii="Arial" w:hAnsi="Arial" w:cs="Arial"/>
                <w:sz w:val="20"/>
                <w:szCs w:val="20"/>
              </w:rPr>
              <w:t xml:space="preserve">There </w:t>
            </w:r>
            <w:proofErr w:type="gramStart"/>
            <w:r w:rsidRPr="00312A73">
              <w:rPr>
                <w:rFonts w:ascii="Arial" w:hAnsi="Arial" w:cs="Arial"/>
                <w:sz w:val="20"/>
                <w:szCs w:val="20"/>
              </w:rPr>
              <w:t>was</w:t>
            </w:r>
            <w:proofErr w:type="gramEnd"/>
            <w:r w:rsidRPr="00312A73">
              <w:rPr>
                <w:rFonts w:ascii="Arial" w:hAnsi="Arial" w:cs="Arial"/>
                <w:sz w:val="20"/>
                <w:szCs w:val="20"/>
              </w:rPr>
              <w:t xml:space="preserve"> some grammatical errors found.</w:t>
            </w:r>
          </w:p>
          <w:p w14:paraId="7B6E04BF" w14:textId="77777777" w:rsidR="006D7DF8" w:rsidRPr="00312A73" w:rsidRDefault="0084584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2A73">
              <w:rPr>
                <w:rFonts w:ascii="Arial" w:hAnsi="Arial" w:cs="Arial"/>
                <w:sz w:val="20"/>
                <w:szCs w:val="20"/>
              </w:rPr>
              <w:t>While the manuscript demonstrates a good understanding of the scientific content, it contains numerous grammatical errors, awkward phrasing, redundancy, and inconsistent terminology</w:t>
            </w:r>
          </w:p>
          <w:p w14:paraId="46B91D7B" w14:textId="77777777" w:rsidR="006D7DF8" w:rsidRPr="00312A73" w:rsidRDefault="0084584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2A73">
              <w:rPr>
                <w:rFonts w:ascii="Arial" w:hAnsi="Arial" w:cs="Arial"/>
                <w:sz w:val="20"/>
                <w:szCs w:val="20"/>
              </w:rPr>
              <w:t xml:space="preserve">Seek professional language editing </w:t>
            </w:r>
          </w:p>
          <w:p w14:paraId="46ACC888" w14:textId="77777777" w:rsidR="006D7DF8" w:rsidRPr="00312A73" w:rsidRDefault="006D7DF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D95E2DE" w14:textId="77777777" w:rsidR="006D7DF8" w:rsidRPr="00312A73" w:rsidRDefault="006D7DF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A2D5A35" w14:textId="77777777" w:rsidR="006D7DF8" w:rsidRPr="00312A73" w:rsidRDefault="006D7DF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8EA6AF6" w14:textId="77777777" w:rsidR="006D7DF8" w:rsidRPr="00312A73" w:rsidRDefault="006D7DF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D7DF8" w:rsidRPr="00312A73" w14:paraId="161909A7" w14:textId="77777777">
        <w:trPr>
          <w:trHeight w:val="1178"/>
        </w:trPr>
        <w:tc>
          <w:tcPr>
            <w:tcW w:w="1265" w:type="pct"/>
            <w:noWrap/>
          </w:tcPr>
          <w:p w14:paraId="22A3632E" w14:textId="77777777" w:rsidR="006D7DF8" w:rsidRPr="00312A73" w:rsidRDefault="0084584E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12A7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12A7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12A7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71209BFF" w14:textId="77777777" w:rsidR="006D7DF8" w:rsidRPr="00312A73" w:rsidRDefault="006D7DF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0B0D8000" w14:textId="77777777" w:rsidR="006D7DF8" w:rsidRPr="00312A73" w:rsidRDefault="006D7DF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FF424F1" w14:textId="77777777" w:rsidR="006D7DF8" w:rsidRPr="00312A73" w:rsidRDefault="0084584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2A73">
              <w:rPr>
                <w:rFonts w:ascii="Arial" w:hAnsi="Arial" w:cs="Arial"/>
                <w:sz w:val="20"/>
                <w:szCs w:val="20"/>
              </w:rPr>
              <w:t xml:space="preserve">Suggest a conclusion that summaries the key insights and future outlook of the literature. </w:t>
            </w:r>
          </w:p>
          <w:p w14:paraId="7439FA14" w14:textId="77777777" w:rsidR="006D7DF8" w:rsidRPr="00312A73" w:rsidRDefault="0084584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2A73">
              <w:rPr>
                <w:rFonts w:ascii="Arial" w:hAnsi="Arial" w:cs="Arial"/>
                <w:sz w:val="20"/>
                <w:szCs w:val="20"/>
              </w:rPr>
              <w:t xml:space="preserve">The keywords must not be </w:t>
            </w:r>
            <w:proofErr w:type="gramStart"/>
            <w:r w:rsidRPr="00312A73">
              <w:rPr>
                <w:rFonts w:ascii="Arial" w:hAnsi="Arial" w:cs="Arial"/>
                <w:sz w:val="20"/>
                <w:szCs w:val="20"/>
              </w:rPr>
              <w:t>exceed</w:t>
            </w:r>
            <w:proofErr w:type="gramEnd"/>
            <w:r w:rsidRPr="00312A73">
              <w:rPr>
                <w:rFonts w:ascii="Arial" w:hAnsi="Arial" w:cs="Arial"/>
                <w:sz w:val="20"/>
                <w:szCs w:val="20"/>
              </w:rPr>
              <w:t xml:space="preserve"> 5 to 7, and it should be arranged in alphabetically. </w:t>
            </w:r>
          </w:p>
          <w:p w14:paraId="6F3BCADF" w14:textId="77777777" w:rsidR="006D7DF8" w:rsidRPr="00312A73" w:rsidRDefault="0084584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2A73">
              <w:rPr>
                <w:rFonts w:ascii="Arial" w:hAnsi="Arial" w:cs="Arial"/>
                <w:sz w:val="20"/>
                <w:szCs w:val="20"/>
              </w:rPr>
              <w:t>The article is excessively long and may overwhelming the readers.</w:t>
            </w:r>
          </w:p>
          <w:p w14:paraId="63E2C5B8" w14:textId="77777777" w:rsidR="006D7DF8" w:rsidRPr="00312A73" w:rsidRDefault="006D7DF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DC815AA" w14:textId="77777777" w:rsidR="006D7DF8" w:rsidRPr="00312A73" w:rsidRDefault="006D7DF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FF3CADC" w14:textId="77777777" w:rsidR="006D7DF8" w:rsidRPr="00312A73" w:rsidRDefault="006D7DF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6BA4B4A" w14:textId="77777777" w:rsidR="006D7DF8" w:rsidRPr="00312A73" w:rsidRDefault="006D7DF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3E728E7" w14:textId="77777777" w:rsidR="006D7DF8" w:rsidRPr="00312A73" w:rsidRDefault="006D7DF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993F613" w14:textId="77777777" w:rsidR="006D7DF8" w:rsidRPr="00312A73" w:rsidRDefault="006D7DF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C542FC4" w14:textId="77777777" w:rsidR="006D7DF8" w:rsidRPr="00312A73" w:rsidRDefault="006D7DF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4B92527" w14:textId="77777777" w:rsidR="006D7DF8" w:rsidRPr="00312A73" w:rsidRDefault="006D7DF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DD336CA" w14:textId="77777777" w:rsidR="006D7DF8" w:rsidRPr="00312A73" w:rsidRDefault="006D7DF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E9B342" w14:textId="77777777" w:rsidR="006D7DF8" w:rsidRPr="00312A73" w:rsidRDefault="006D7DF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28EB695" w14:textId="77777777" w:rsidR="006D7DF8" w:rsidRPr="00312A73" w:rsidRDefault="006D7DF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7FF302C" w14:textId="77777777" w:rsidR="006D7DF8" w:rsidRPr="00312A73" w:rsidRDefault="006D7DF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E7CABE" w14:textId="77777777" w:rsidR="006D7DF8" w:rsidRPr="00312A73" w:rsidRDefault="006D7DF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E59D528" w14:textId="77777777" w:rsidR="006D7DF8" w:rsidRPr="00312A73" w:rsidRDefault="006D7DF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7533C37" w14:textId="77777777" w:rsidR="006D7DF8" w:rsidRPr="00312A73" w:rsidRDefault="006D7DF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407A3D" w14:textId="77777777" w:rsidR="006D7DF8" w:rsidRPr="00312A73" w:rsidRDefault="006D7DF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8642"/>
        <w:gridCol w:w="5677"/>
      </w:tblGrid>
      <w:tr w:rsidR="006D7DF8" w:rsidRPr="00312A73" w14:paraId="1A93127D" w14:textId="77777777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369E363A" w14:textId="77777777" w:rsidR="006D7DF8" w:rsidRPr="00312A73" w:rsidRDefault="0084584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12A7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12A73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E930E28" w14:textId="77777777" w:rsidR="006D7DF8" w:rsidRPr="00312A73" w:rsidRDefault="006D7DF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6D7DF8" w:rsidRPr="00312A73" w14:paraId="51B2F351" w14:textId="77777777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173905ED" w14:textId="77777777" w:rsidR="006D7DF8" w:rsidRPr="00312A73" w:rsidRDefault="006D7DF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left w:w="108" w:type="dxa"/>
              <w:right w:w="108" w:type="dxa"/>
            </w:tcMar>
          </w:tcPr>
          <w:p w14:paraId="01A517A3" w14:textId="77777777" w:rsidR="006D7DF8" w:rsidRPr="00312A73" w:rsidRDefault="0084584E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12A73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35888715" w14:textId="77777777" w:rsidR="006D7DF8" w:rsidRPr="00312A73" w:rsidRDefault="0084584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12A73">
              <w:rPr>
                <w:rFonts w:ascii="Arial" w:hAnsi="Arial" w:cs="Arial"/>
                <w:lang w:val="en-GB"/>
              </w:rPr>
              <w:t>Author’s comment</w:t>
            </w:r>
            <w:r w:rsidRPr="00312A7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12A73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6D7DF8" w:rsidRPr="00312A73" w14:paraId="370B86CD" w14:textId="77777777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592D42B1" w14:textId="77777777" w:rsidR="006D7DF8" w:rsidRPr="00312A73" w:rsidRDefault="0084584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12A7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8645917" w14:textId="77777777" w:rsidR="006D7DF8" w:rsidRPr="00312A73" w:rsidRDefault="006D7DF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BAAA8F" w14:textId="77777777" w:rsidR="006D7DF8" w:rsidRPr="00312A73" w:rsidRDefault="0084584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12A7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12A7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12A7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202E1CAC" w14:textId="77777777" w:rsidR="006D7DF8" w:rsidRPr="00312A73" w:rsidRDefault="006D7DF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40EBB8B" w14:textId="77777777" w:rsidR="006D7DF8" w:rsidRPr="00312A73" w:rsidRDefault="006D7DF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643D7ACB" w14:textId="77777777" w:rsidR="006D7DF8" w:rsidRPr="00312A73" w:rsidRDefault="006D7DF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59C9989" w14:textId="77777777" w:rsidR="006D7DF8" w:rsidRPr="00312A73" w:rsidRDefault="006D7DF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3BAE3CE" w14:textId="77777777" w:rsidR="006D7DF8" w:rsidRPr="00312A73" w:rsidRDefault="006D7DF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3C210CE" w14:textId="77777777" w:rsidR="006D7DF8" w:rsidRPr="00312A73" w:rsidRDefault="006D7DF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F4586B7" w14:textId="77777777" w:rsidR="006D7DF8" w:rsidRPr="00312A73" w:rsidRDefault="006D7DF8">
      <w:pPr>
        <w:rPr>
          <w:rFonts w:ascii="Arial" w:hAnsi="Arial" w:cs="Arial"/>
          <w:b/>
          <w:sz w:val="20"/>
          <w:szCs w:val="20"/>
          <w:lang w:val="en-GB"/>
        </w:rPr>
      </w:pPr>
    </w:p>
    <w:p w14:paraId="22163A4F" w14:textId="77777777" w:rsidR="00C35BBD" w:rsidRPr="00312A73" w:rsidRDefault="00C35BBD" w:rsidP="00C35BB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12A73">
        <w:rPr>
          <w:rFonts w:ascii="Arial" w:hAnsi="Arial" w:cs="Arial"/>
          <w:b/>
          <w:u w:val="single"/>
        </w:rPr>
        <w:t>Reviewer details:</w:t>
      </w:r>
    </w:p>
    <w:p w14:paraId="3ED048DE" w14:textId="77777777" w:rsidR="00C35BBD" w:rsidRPr="00312A73" w:rsidRDefault="00C35BBD">
      <w:pPr>
        <w:rPr>
          <w:rFonts w:ascii="Arial" w:hAnsi="Arial" w:cs="Arial"/>
          <w:b/>
          <w:sz w:val="20"/>
          <w:szCs w:val="20"/>
          <w:lang w:val="en-GB"/>
        </w:rPr>
      </w:pPr>
    </w:p>
    <w:p w14:paraId="52A4942A" w14:textId="2F684ED0" w:rsidR="00C35BBD" w:rsidRPr="00312A73" w:rsidRDefault="00C35BBD">
      <w:pPr>
        <w:rPr>
          <w:rFonts w:ascii="Arial" w:hAnsi="Arial" w:cs="Arial"/>
          <w:b/>
          <w:bCs/>
          <w:sz w:val="20"/>
          <w:szCs w:val="20"/>
          <w:lang w:val="en-GB"/>
        </w:rPr>
      </w:pPr>
      <w:bookmarkStart w:id="0" w:name="_Hlk200379274"/>
      <w:proofErr w:type="spellStart"/>
      <w:proofErr w:type="gramStart"/>
      <w:r w:rsidRPr="00312A73">
        <w:rPr>
          <w:rFonts w:ascii="Arial" w:hAnsi="Arial" w:cs="Arial"/>
          <w:b/>
          <w:bCs/>
          <w:color w:val="000000"/>
          <w:sz w:val="20"/>
          <w:szCs w:val="20"/>
        </w:rPr>
        <w:t>B.Naveena</w:t>
      </w:r>
      <w:proofErr w:type="spellEnd"/>
      <w:proofErr w:type="gramEnd"/>
      <w:r w:rsidRPr="00312A73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proofErr w:type="spellStart"/>
      <w:r w:rsidRPr="00312A73">
        <w:rPr>
          <w:rFonts w:ascii="Arial" w:hAnsi="Arial" w:cs="Arial"/>
          <w:b/>
          <w:bCs/>
          <w:color w:val="000000"/>
          <w:sz w:val="20"/>
          <w:szCs w:val="20"/>
        </w:rPr>
        <w:t>Velammal</w:t>
      </w:r>
      <w:proofErr w:type="spellEnd"/>
      <w:r w:rsidRPr="00312A73">
        <w:rPr>
          <w:rFonts w:ascii="Arial" w:hAnsi="Arial" w:cs="Arial"/>
          <w:b/>
          <w:bCs/>
          <w:color w:val="000000"/>
          <w:sz w:val="20"/>
          <w:szCs w:val="20"/>
        </w:rPr>
        <w:t xml:space="preserve"> Medical College Hospital and Research Institute</w:t>
      </w:r>
      <w:r w:rsidRPr="00312A73">
        <w:rPr>
          <w:rFonts w:ascii="Arial" w:hAnsi="Arial" w:cs="Arial"/>
          <w:b/>
          <w:bCs/>
          <w:color w:val="000000"/>
          <w:sz w:val="20"/>
          <w:szCs w:val="20"/>
        </w:rPr>
        <w:t>, India</w:t>
      </w:r>
      <w:bookmarkEnd w:id="0"/>
    </w:p>
    <w:sectPr w:rsidR="00C35BBD" w:rsidRPr="00312A73">
      <w:headerReference w:type="default" r:id="rId6"/>
      <w:footerReference w:type="default" r:id="rId7"/>
      <w:pgSz w:w="23814" w:h="16839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DB426" w14:textId="77777777" w:rsidR="005B688C" w:rsidRDefault="005B688C">
      <w:r>
        <w:separator/>
      </w:r>
    </w:p>
  </w:endnote>
  <w:endnote w:type="continuationSeparator" w:id="0">
    <w:p w14:paraId="6283EB97" w14:textId="77777777" w:rsidR="005B688C" w:rsidRDefault="005B6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26A7C" w14:textId="77777777" w:rsidR="006D7DF8" w:rsidRDefault="0084584E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CC9BE" w14:textId="77777777" w:rsidR="005B688C" w:rsidRDefault="005B688C">
      <w:r>
        <w:separator/>
      </w:r>
    </w:p>
  </w:footnote>
  <w:footnote w:type="continuationSeparator" w:id="0">
    <w:p w14:paraId="0875C0D1" w14:textId="77777777" w:rsidR="005B688C" w:rsidRDefault="005B6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88717" w14:textId="77777777" w:rsidR="006D7DF8" w:rsidRDefault="006D7DF8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A634F67" w14:textId="77777777" w:rsidR="006D7DF8" w:rsidRDefault="006D7DF8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EE9F84A" w14:textId="77777777" w:rsidR="006D7DF8" w:rsidRDefault="0084584E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720"/>
  <w:drawingGridHorizontalSpacing w:val="120"/>
  <w:drawingGridVerticalSpacing w:val="163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growAutofit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D7DF8"/>
    <w:rsid w:val="00312A73"/>
    <w:rsid w:val="005B688C"/>
    <w:rsid w:val="006D7DF8"/>
    <w:rsid w:val="0084584E"/>
    <w:rsid w:val="00C35BBD"/>
    <w:rsid w:val="00D12F25"/>
    <w:rsid w:val="00D8077A"/>
    <w:rsid w:val="00E821E7"/>
    <w:rsid w:val="00FC17FC"/>
    <w:rsid w:val="00FD2AC1"/>
    <w:rsid w:val="00FE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5AD5A"/>
  <w15:docId w15:val="{3786E437-7927-4AAC-8BF9-6F213678A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sz w:val="32"/>
    </w:rPr>
  </w:style>
  <w:style w:type="paragraph" w:styleId="Heading4">
    <w:name w:val="heading 4"/>
    <w:basedOn w:val="Normal"/>
    <w:uiPriority w:val="9"/>
    <w:semiHidden/>
    <w:unhideWhenUsed/>
    <w:qFormat/>
    <w:pPr>
      <w:spacing w:before="100" w:beforeAutospacing="1" w:after="100" w:afterAutospacing="1"/>
      <w:outlineLvl w:val="3"/>
    </w:pPr>
    <w:rPr>
      <w:rFonts w:ascii="Arial Unicode MS" w:eastAsia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cs="Arial Unicode MS"/>
    </w:rPr>
  </w:style>
  <w:style w:type="paragraph" w:styleId="BodyText">
    <w:name w:val="Body Text"/>
    <w:basedOn w:val="Normal"/>
    <w:pPr>
      <w:jc w:val="both"/>
    </w:pPr>
    <w:rPr>
      <w:rFonts w:ascii="Helvetica" w:eastAsia="MS Mincho" w:hAnsi="Helvetica" w:cs="Helvetica"/>
      <w:lang w:val="fr-FR"/>
    </w:rPr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ListParagraphcab97dd4-3562-4cc9-872b-39d524114949">
    <w:name w:val="List Paragraph_cab97dd4-3562-4cc9-872b-39d524114949"/>
    <w:basedOn w:val="Normal"/>
    <w:pPr>
      <w:ind w:left="720"/>
      <w:contextualSpacing/>
    </w:pPr>
  </w:style>
  <w:style w:type="paragraph" w:customStyle="1" w:styleId="Revisiond157c8c8-e38d-47c5-abd8-f80e5bb05c5a">
    <w:name w:val="Revision_d157c8c8-e38d-47c5-abd8-f80e5bb05c5a"/>
    <w:rPr>
      <w:rFonts w:ascii="Calibri" w:eastAsia="Calibri" w:hAnsi="Calibri"/>
      <w:sz w:val="22"/>
      <w:szCs w:val="22"/>
      <w:lang w:eastAsia="en-US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E53EF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C35BB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469</Words>
  <Characters>2678</Characters>
  <Application>Microsoft Office Word</Application>
  <DocSecurity>0</DocSecurity>
  <Lines>22</Lines>
  <Paragraphs>6</Paragraphs>
  <ScaleCrop>false</ScaleCrop>
  <Company>HP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2025-06-09T11:04:00Z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ICV">
    <vt:lpwstr>1135f8e6c3444463b468dccc66518d73</vt:lpwstr>
  </property>
</Properties>
</file>