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E156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E156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E156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E156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E156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A3B759E" w:rsidR="0000007A" w:rsidRPr="004E1568" w:rsidRDefault="00672DC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E156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4E156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E156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5472B96" w:rsidR="0000007A" w:rsidRPr="004E156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F3C09"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5729</w:t>
            </w:r>
          </w:p>
        </w:tc>
      </w:tr>
      <w:tr w:rsidR="0000007A" w:rsidRPr="004E156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E156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68AA5CE" w:rsidR="0000007A" w:rsidRPr="004E1568" w:rsidRDefault="009629E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E1568">
              <w:rPr>
                <w:rFonts w:ascii="Arial" w:hAnsi="Arial" w:cs="Arial"/>
                <w:b/>
                <w:sz w:val="20"/>
                <w:szCs w:val="20"/>
                <w:lang w:val="en-GB"/>
              </w:rPr>
              <w:t>Explicit Spatial Approach to the Value of Local Social Ameni-ties in Metro and Nonmetro Counties in the U.S.: Implications for Comparative Wealth Measurement</w:t>
            </w:r>
          </w:p>
        </w:tc>
      </w:tr>
      <w:tr w:rsidR="00CF0BBB" w:rsidRPr="004E156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E156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AF4CD50" w:rsidR="00CF0BBB" w:rsidRPr="004E1568" w:rsidRDefault="004F3C0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E156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E156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4E1568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E43B60" w14:textId="77777777" w:rsidR="0086369B" w:rsidRPr="004E156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E156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E156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E156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E156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E156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E156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E156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F8BA78B" w:rsidR="00E03C32" w:rsidRDefault="005C7F5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C7F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Land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5C7F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12(3), 586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59C90D5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5C7F5D" w:rsidRPr="00EF6E45">
                    <w:rPr>
                      <w:lang w:val="en-US"/>
                    </w:rPr>
                    <w:t xml:space="preserve"> </w:t>
                  </w:r>
                  <w:hyperlink r:id="rId8" w:history="1">
                    <w:r w:rsidR="005C7F5D" w:rsidRPr="001C590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https://doi.org/10.3390/land12030586</w:t>
                    </w:r>
                  </w:hyperlink>
                  <w:r w:rsidR="005C7F5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E156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E156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E156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E156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156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E156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E156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E156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156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E156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E156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E1568">
              <w:rPr>
                <w:rFonts w:ascii="Arial" w:hAnsi="Arial" w:cs="Arial"/>
                <w:lang w:val="en-GB"/>
              </w:rPr>
              <w:t>Author’s Feedback</w:t>
            </w:r>
            <w:r w:rsidRPr="004E156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E156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E156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E156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E156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AD498FF" w:rsidR="00F1171E" w:rsidRPr="004E1568" w:rsidRDefault="003C01C0" w:rsidP="003C01C0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significantly advances spatial economics by integrating Roback’s spatial equilibrium model with the comprehensive wealth framework, offering a novel methodology to quantify non-market amenities (e.g., social, natural, and built capital) across U.S. metro and nonmetro counties. It addresses critical gaps in wealth measurement by avoiding double-counting of assets and explicitly </w:t>
            </w:r>
            <w:proofErr w:type="spellStart"/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modeling</w:t>
            </w:r>
            <w:proofErr w:type="spellEnd"/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spatial spillovers, enabling more accurate policy evaluations for taxation, public investment, and regional development.</w:t>
            </w:r>
          </w:p>
        </w:tc>
        <w:tc>
          <w:tcPr>
            <w:tcW w:w="1523" w:type="pct"/>
          </w:tcPr>
          <w:p w14:paraId="462A339C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156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E156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E156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19B0481" w14:textId="77777777" w:rsidR="006B342A" w:rsidRPr="004E1568" w:rsidRDefault="006B342A" w:rsidP="006B342A">
            <w:pPr>
              <w:ind w:left="37" w:hanging="3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Alternative title:</w:t>
            </w:r>
          </w:p>
          <w:p w14:paraId="4308AE64" w14:textId="77777777" w:rsidR="006B342A" w:rsidRPr="004E1568" w:rsidRDefault="006B342A" w:rsidP="006B342A">
            <w:pPr>
              <w:ind w:left="37" w:hanging="3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Spatial Valuation of Local Amenities in U.S. Metro and Nonmetro Counties: Implications for Comprehensive Wealth Measurement and Policy.</w:t>
            </w:r>
          </w:p>
          <w:p w14:paraId="3F1710E3" w14:textId="77777777" w:rsidR="006B342A" w:rsidRPr="004E1568" w:rsidRDefault="006B342A" w:rsidP="006B342A">
            <w:pPr>
              <w:ind w:left="37" w:hanging="3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</w:t>
            </w:r>
          </w:p>
          <w:p w14:paraId="794AA9A7" w14:textId="09E0BD4E" w:rsidR="00F1171E" w:rsidRPr="004E1568" w:rsidRDefault="006B342A" w:rsidP="006B342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Valuing Local Social Amenities in U.S. Counties: A Spatial Approach to Comprehensive Wealth Measurement.</w:t>
            </w:r>
          </w:p>
        </w:tc>
        <w:tc>
          <w:tcPr>
            <w:tcW w:w="1523" w:type="pct"/>
          </w:tcPr>
          <w:p w14:paraId="405B6701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1568" w14:paraId="5604762A" w14:textId="77777777" w:rsidTr="006B342A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E156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E156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32B61581" w14:textId="77777777" w:rsidR="006B342A" w:rsidRPr="004E1568" w:rsidRDefault="006B342A" w:rsidP="006B342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comprehensive but could emphasize two key additions:</w:t>
            </w:r>
          </w:p>
          <w:p w14:paraId="0FB7E83A" w14:textId="0E63C5D1" w:rsidR="00F1171E" w:rsidRPr="004E1568" w:rsidRDefault="006B342A" w:rsidP="006B342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Explicitly mention the use of spatial econometric models (e.g., SEM) to capture cross-county spillovers and highlight the policy implications of divergent metro/nonmetro results (e.g., overprovision of services in metros vs. </w:t>
            </w:r>
            <w:proofErr w:type="spellStart"/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underprovision</w:t>
            </w:r>
            <w:proofErr w:type="spellEnd"/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nonmetros</w:t>
            </w:r>
            <w:proofErr w:type="spellEnd"/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).</w:t>
            </w:r>
          </w:p>
        </w:tc>
        <w:tc>
          <w:tcPr>
            <w:tcW w:w="1523" w:type="pct"/>
          </w:tcPr>
          <w:p w14:paraId="1D54B730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156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E156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D69EE7" w14:textId="77777777" w:rsidR="00AC64FF" w:rsidRPr="004E1568" w:rsidRDefault="00AC64FF" w:rsidP="00AC64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sound:</w:t>
            </w:r>
          </w:p>
          <w:p w14:paraId="45E13CAB" w14:textId="77777777" w:rsidR="00AC64FF" w:rsidRPr="004E1568" w:rsidRDefault="00AC64FF" w:rsidP="00AC64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Robust methodology (spatial 2SLS, SEM) accounts for endogeneity and spatial dependence.</w:t>
            </w:r>
          </w:p>
          <w:p w14:paraId="2B5A7721" w14:textId="1893880F" w:rsidR="00F1171E" w:rsidRPr="004E1568" w:rsidRDefault="00AC64FF" w:rsidP="00AC64F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Innovative adjustments (e.g., user-cost method for rents, place-of-residence income) enhance validity.</w:t>
            </w:r>
          </w:p>
        </w:tc>
        <w:tc>
          <w:tcPr>
            <w:tcW w:w="1523" w:type="pct"/>
          </w:tcPr>
          <w:p w14:paraId="4898F764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1568" w14:paraId="73739464" w14:textId="77777777" w:rsidTr="000C1DD0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E156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E156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  <w:vAlign w:val="center"/>
          </w:tcPr>
          <w:p w14:paraId="24FE0567" w14:textId="32861073" w:rsidR="00F1171E" w:rsidRPr="004E1568" w:rsidRDefault="000C1DD0" w:rsidP="000C1DD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</w:rPr>
              <w:t>References are sufficient but not up-to-date (limited to 2017 only).</w:t>
            </w:r>
          </w:p>
        </w:tc>
        <w:tc>
          <w:tcPr>
            <w:tcW w:w="1523" w:type="pct"/>
          </w:tcPr>
          <w:p w14:paraId="40220055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156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E156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E156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E156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E156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B972361" w:rsidR="00F1171E" w:rsidRPr="004E1568" w:rsidRDefault="00342434" w:rsidP="006B342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language is generally appropriate but needs a minor revision</w:t>
            </w:r>
          </w:p>
        </w:tc>
        <w:tc>
          <w:tcPr>
            <w:tcW w:w="1523" w:type="pct"/>
          </w:tcPr>
          <w:p w14:paraId="0351CA58" w14:textId="77777777" w:rsidR="00F1171E" w:rsidRPr="004E156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E156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E156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E156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E156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E1568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756E42A" w14:textId="77777777" w:rsidR="003C01C0" w:rsidRPr="004E1568" w:rsidRDefault="003C01C0" w:rsidP="003C01C0">
            <w:pPr>
              <w:rPr>
                <w:rFonts w:ascii="Arial" w:hAnsi="Arial" w:cs="Arial"/>
                <w:b/>
                <w:bCs/>
                <w:sz w:val="20"/>
                <w:szCs w:val="20"/>
                <w:lang w:val="fr-MA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fr-MA"/>
              </w:rPr>
              <w:t xml:space="preserve">Questions for the </w:t>
            </w:r>
            <w:proofErr w:type="spellStart"/>
            <w:r w:rsidRPr="004E1568">
              <w:rPr>
                <w:rFonts w:ascii="Arial" w:hAnsi="Arial" w:cs="Arial"/>
                <w:b/>
                <w:bCs/>
                <w:sz w:val="20"/>
                <w:szCs w:val="20"/>
                <w:lang w:val="fr-MA"/>
              </w:rPr>
              <w:t>Author</w:t>
            </w:r>
            <w:proofErr w:type="spellEnd"/>
          </w:p>
          <w:p w14:paraId="2B7BD595" w14:textId="77777777" w:rsidR="003C01C0" w:rsidRPr="004E1568" w:rsidRDefault="003C01C0" w:rsidP="003C01C0">
            <w:pPr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</w:rPr>
              <w:t>How might unobserved cultural factors (e.g., social cohesion) influence amenity valuations beyond the modeled variables?</w:t>
            </w:r>
          </w:p>
          <w:p w14:paraId="48BD830E" w14:textId="77777777" w:rsidR="003C01C0" w:rsidRPr="004E1568" w:rsidRDefault="003C01C0" w:rsidP="003C01C0">
            <w:pPr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</w:rPr>
              <w:t>Could the SEM’s assumption of IID errors understate heterogeneity in nonmetro counties?</w:t>
            </w:r>
          </w:p>
          <w:p w14:paraId="15DFD0E8" w14:textId="474462FB" w:rsidR="00F1171E" w:rsidRPr="004E1568" w:rsidRDefault="003C01C0" w:rsidP="003C01C0">
            <w:pPr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568">
              <w:rPr>
                <w:rFonts w:ascii="Arial" w:hAnsi="Arial" w:cs="Arial"/>
                <w:b/>
                <w:bCs/>
                <w:sz w:val="20"/>
                <w:szCs w:val="20"/>
              </w:rPr>
              <w:t>For policy: Should property tax reforms prioritize amenity-driven value increases despite affordability concerns?</w:t>
            </w:r>
          </w:p>
        </w:tc>
        <w:tc>
          <w:tcPr>
            <w:tcW w:w="1523" w:type="pct"/>
          </w:tcPr>
          <w:p w14:paraId="465E098E" w14:textId="77777777" w:rsidR="00F1171E" w:rsidRPr="004E156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E15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E15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E15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E15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E15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E15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E15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E15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E15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E15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E15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E15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E156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E15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E156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E15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E15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E156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E15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156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E15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E1568">
              <w:rPr>
                <w:rFonts w:ascii="Arial" w:hAnsi="Arial" w:cs="Arial"/>
                <w:lang w:val="en-GB"/>
              </w:rPr>
              <w:t>Author’s comment</w:t>
            </w:r>
            <w:r w:rsidRPr="004E156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E156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E156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E15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15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E15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E15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E156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E156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E156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E15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DB0FD4D" w:rsidR="00F1171E" w:rsidRPr="004E15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E156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E156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E156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E15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029220B" w14:textId="77777777" w:rsidR="004E1568" w:rsidRPr="00EE62F9" w:rsidRDefault="004E1568" w:rsidP="004E156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E62F9">
        <w:rPr>
          <w:rFonts w:ascii="Arial" w:hAnsi="Arial" w:cs="Arial"/>
          <w:b/>
          <w:u w:val="single"/>
        </w:rPr>
        <w:t>Reviewer details:</w:t>
      </w:r>
    </w:p>
    <w:p w14:paraId="250BEA9F" w14:textId="77777777" w:rsidR="004E1568" w:rsidRPr="00EE62F9" w:rsidRDefault="004E1568" w:rsidP="004E156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E62F9">
        <w:rPr>
          <w:rFonts w:ascii="Arial" w:hAnsi="Arial" w:cs="Arial"/>
          <w:b/>
          <w:color w:val="000000"/>
        </w:rPr>
        <w:t>Youssef Salama, Morocco</w:t>
      </w:r>
    </w:p>
    <w:p w14:paraId="2513F8DA" w14:textId="77777777" w:rsidR="004E1568" w:rsidRPr="004E1568" w:rsidRDefault="004E156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E1568" w:rsidRPr="004E156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7FD90" w14:textId="77777777" w:rsidR="008C68FF" w:rsidRPr="0000007A" w:rsidRDefault="008C68FF" w:rsidP="0099583E">
      <w:r>
        <w:separator/>
      </w:r>
    </w:p>
  </w:endnote>
  <w:endnote w:type="continuationSeparator" w:id="0">
    <w:p w14:paraId="59025258" w14:textId="77777777" w:rsidR="008C68FF" w:rsidRPr="0000007A" w:rsidRDefault="008C68F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646E" w14:textId="77777777" w:rsidR="008C68FF" w:rsidRPr="0000007A" w:rsidRDefault="008C68FF" w:rsidP="0099583E">
      <w:r>
        <w:separator/>
      </w:r>
    </w:p>
  </w:footnote>
  <w:footnote w:type="continuationSeparator" w:id="0">
    <w:p w14:paraId="6B3B3DE3" w14:textId="77777777" w:rsidR="008C68FF" w:rsidRPr="0000007A" w:rsidRDefault="008C68F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AB5019"/>
    <w:multiLevelType w:val="multilevel"/>
    <w:tmpl w:val="31AA9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1881281">
    <w:abstractNumId w:val="3"/>
  </w:num>
  <w:num w:numId="2" w16cid:durableId="1313174561">
    <w:abstractNumId w:val="6"/>
  </w:num>
  <w:num w:numId="3" w16cid:durableId="2083214646">
    <w:abstractNumId w:val="5"/>
  </w:num>
  <w:num w:numId="4" w16cid:durableId="1121924116">
    <w:abstractNumId w:val="7"/>
  </w:num>
  <w:num w:numId="5" w16cid:durableId="584384650">
    <w:abstractNumId w:val="4"/>
  </w:num>
  <w:num w:numId="6" w16cid:durableId="814685581">
    <w:abstractNumId w:val="0"/>
  </w:num>
  <w:num w:numId="7" w16cid:durableId="1188567128">
    <w:abstractNumId w:val="1"/>
  </w:num>
  <w:num w:numId="8" w16cid:durableId="2018649505">
    <w:abstractNumId w:val="9"/>
  </w:num>
  <w:num w:numId="9" w16cid:durableId="382675517">
    <w:abstractNumId w:val="8"/>
  </w:num>
  <w:num w:numId="10" w16cid:durableId="1294096751">
    <w:abstractNumId w:val="2"/>
  </w:num>
  <w:num w:numId="11" w16cid:durableId="12474958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activeWritingStyle w:appName="MSWord" w:lang="fr-M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MA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1DD0"/>
    <w:rsid w:val="000C3B7E"/>
    <w:rsid w:val="000D13B0"/>
    <w:rsid w:val="000F6EA8"/>
    <w:rsid w:val="00101322"/>
    <w:rsid w:val="00115767"/>
    <w:rsid w:val="00121FFA"/>
    <w:rsid w:val="00123127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7F14"/>
    <w:rsid w:val="002B0E4B"/>
    <w:rsid w:val="002C40B8"/>
    <w:rsid w:val="002D60EF"/>
    <w:rsid w:val="002E10DF"/>
    <w:rsid w:val="002E1211"/>
    <w:rsid w:val="002E12BD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2434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01C0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7AEB"/>
    <w:rsid w:val="004B03BF"/>
    <w:rsid w:val="004B0965"/>
    <w:rsid w:val="004B4CAD"/>
    <w:rsid w:val="004B4FDC"/>
    <w:rsid w:val="004C0178"/>
    <w:rsid w:val="004C3DF1"/>
    <w:rsid w:val="004D2E36"/>
    <w:rsid w:val="004E08E3"/>
    <w:rsid w:val="004E1568"/>
    <w:rsid w:val="004E1D1A"/>
    <w:rsid w:val="004E4915"/>
    <w:rsid w:val="004F3C09"/>
    <w:rsid w:val="004F741F"/>
    <w:rsid w:val="004F78F5"/>
    <w:rsid w:val="004F7BF2"/>
    <w:rsid w:val="00503AB6"/>
    <w:rsid w:val="005047C5"/>
    <w:rsid w:val="0050495C"/>
    <w:rsid w:val="00510920"/>
    <w:rsid w:val="00514DAD"/>
    <w:rsid w:val="0052339F"/>
    <w:rsid w:val="00530A2D"/>
    <w:rsid w:val="00531C82"/>
    <w:rsid w:val="00533FC1"/>
    <w:rsid w:val="0054564B"/>
    <w:rsid w:val="00545A13"/>
    <w:rsid w:val="00545E4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7F5D"/>
    <w:rsid w:val="005D230D"/>
    <w:rsid w:val="005E11DC"/>
    <w:rsid w:val="005E29CE"/>
    <w:rsid w:val="005E3241"/>
    <w:rsid w:val="005E7FB0"/>
    <w:rsid w:val="005F184C"/>
    <w:rsid w:val="00602F7D"/>
    <w:rsid w:val="00605952"/>
    <w:rsid w:val="0061050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2DCD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342A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0193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68FF"/>
    <w:rsid w:val="008C75AD"/>
    <w:rsid w:val="008D020E"/>
    <w:rsid w:val="008E5067"/>
    <w:rsid w:val="008F036B"/>
    <w:rsid w:val="008F36E4"/>
    <w:rsid w:val="0090660A"/>
    <w:rsid w:val="0090720F"/>
    <w:rsid w:val="0091410B"/>
    <w:rsid w:val="009245E3"/>
    <w:rsid w:val="0094193F"/>
    <w:rsid w:val="00942DEE"/>
    <w:rsid w:val="00944F67"/>
    <w:rsid w:val="009553EC"/>
    <w:rsid w:val="00955E45"/>
    <w:rsid w:val="009629E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6D4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4FF"/>
    <w:rsid w:val="00AD6C51"/>
    <w:rsid w:val="00AE0E9B"/>
    <w:rsid w:val="00AE54CD"/>
    <w:rsid w:val="00AE7454"/>
    <w:rsid w:val="00AF3016"/>
    <w:rsid w:val="00B03A45"/>
    <w:rsid w:val="00B2236C"/>
    <w:rsid w:val="00B22FE6"/>
    <w:rsid w:val="00B3033D"/>
    <w:rsid w:val="00B334D9"/>
    <w:rsid w:val="00B53059"/>
    <w:rsid w:val="00B55FF2"/>
    <w:rsid w:val="00B562D2"/>
    <w:rsid w:val="00B62087"/>
    <w:rsid w:val="00B62F41"/>
    <w:rsid w:val="00B63782"/>
    <w:rsid w:val="00B66599"/>
    <w:rsid w:val="00B71B8B"/>
    <w:rsid w:val="00B760E1"/>
    <w:rsid w:val="00B82FFC"/>
    <w:rsid w:val="00BA1AB3"/>
    <w:rsid w:val="00BA55B7"/>
    <w:rsid w:val="00BA6421"/>
    <w:rsid w:val="00BB21AB"/>
    <w:rsid w:val="00BB4FEC"/>
    <w:rsid w:val="00BC402F"/>
    <w:rsid w:val="00BC71BD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0EB8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D3C"/>
    <w:rsid w:val="00E030FA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6E45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1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1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4E156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land120305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2025-06-10T12:02:00Z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