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0"/>
        <w:gridCol w:w="15982"/>
      </w:tblGrid>
      <w:tr w:rsidR="00602F7D" w:rsidRPr="001D250E" w14:paraId="1643A4CA" w14:textId="77777777" w:rsidTr="001D250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D250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D250E" w14:paraId="127EAD7E" w14:textId="77777777" w:rsidTr="001D250E">
        <w:trPr>
          <w:trHeight w:val="413"/>
        </w:trPr>
        <w:tc>
          <w:tcPr>
            <w:tcW w:w="1254" w:type="pct"/>
          </w:tcPr>
          <w:p w14:paraId="3C159AA5" w14:textId="77777777" w:rsidR="0000007A" w:rsidRPr="001D250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D250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494590" w:rsidR="0000007A" w:rsidRPr="001D250E" w:rsidRDefault="00AE1F4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D250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D250E" w14:paraId="73C90375" w14:textId="77777777" w:rsidTr="001D250E">
        <w:trPr>
          <w:trHeight w:val="290"/>
        </w:trPr>
        <w:tc>
          <w:tcPr>
            <w:tcW w:w="1254" w:type="pct"/>
          </w:tcPr>
          <w:p w14:paraId="20D28135" w14:textId="77777777" w:rsidR="0000007A" w:rsidRPr="001D25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8C2A81" w:rsidR="0000007A" w:rsidRPr="001D250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C0C50"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5794</w:t>
            </w:r>
          </w:p>
        </w:tc>
      </w:tr>
      <w:tr w:rsidR="0000007A" w:rsidRPr="001D250E" w14:paraId="05B60576" w14:textId="77777777" w:rsidTr="001D250E">
        <w:trPr>
          <w:trHeight w:val="331"/>
        </w:trPr>
        <w:tc>
          <w:tcPr>
            <w:tcW w:w="1254" w:type="pct"/>
          </w:tcPr>
          <w:p w14:paraId="0196A627" w14:textId="77777777" w:rsidR="0000007A" w:rsidRPr="001D25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CD102F" w:rsidR="0000007A" w:rsidRPr="001D250E" w:rsidRDefault="008E48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Pharmacokinetic analysis of prognostic factors in patients with advanced-stage intrahepatic cholangiocarcinoma following </w:t>
            </w:r>
            <w:proofErr w:type="spellStart"/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>Atractylodes</w:t>
            </w:r>
            <w:proofErr w:type="spellEnd"/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>lancea</w:t>
            </w:r>
            <w:proofErr w:type="spellEnd"/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(Thunb) DC administration</w:t>
            </w:r>
          </w:p>
        </w:tc>
      </w:tr>
      <w:tr w:rsidR="00CF0BBB" w:rsidRPr="001D250E" w14:paraId="6D508B1C" w14:textId="77777777" w:rsidTr="001D250E">
        <w:trPr>
          <w:trHeight w:val="332"/>
        </w:trPr>
        <w:tc>
          <w:tcPr>
            <w:tcW w:w="1254" w:type="pct"/>
          </w:tcPr>
          <w:p w14:paraId="32FC28F7" w14:textId="77777777" w:rsidR="00CF0BBB" w:rsidRPr="001D250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D2C7E8" w:rsidR="00CF0BBB" w:rsidRPr="001D250E" w:rsidRDefault="009C0C5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D250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D250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D250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D250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D250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D250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D250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D250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D250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D250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E264B88" w:rsidR="00E03C32" w:rsidRDefault="00DA1AC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1A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Integrative Cancer Therapies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1-23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8BED69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DA1ACC" w:rsidRPr="00DA1ACC">
                    <w:t xml:space="preserve"> </w:t>
                  </w:r>
                  <w:hyperlink r:id="rId8" w:history="1">
                    <w:r w:rsidR="00DA1ACC" w:rsidRPr="001E526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https://doi.org/10.1177/15347354231223967</w:t>
                    </w:r>
                  </w:hyperlink>
                  <w:r w:rsidR="00DA1A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D250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D250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D25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D250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250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250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250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250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D250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D250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250E">
              <w:rPr>
                <w:rFonts w:ascii="Arial" w:hAnsi="Arial" w:cs="Arial"/>
                <w:lang w:val="en-GB"/>
              </w:rPr>
              <w:t>Author’s Feedback</w:t>
            </w:r>
            <w:r w:rsidRPr="001D25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250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D250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D25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D250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E8CCA9" w:rsidR="00F1171E" w:rsidRPr="001D250E" w:rsidRDefault="00AA5E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holds significant importance for the scientific community as it introduces a novel approach to predicting therapeutic outcomes in advanced-stage intrahepatic cholangiocarcinoma (ICC) using pharmacokinetic parameters of a standardized herbal extract,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Atractylodes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lancea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(Thunb.) DC (AL). By establishing cut-off values for AUC</w:t>
            </w:r>
            <w:r w:rsidRPr="001D250E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₀</w:t>
            </w: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-inf,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Cmax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Cavg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prognostic indicators, the study provides a practical framework for optimizing dosage and improving treatment efficacy. It also pioneers the use of total bioactivity, rather than a single active constituent, as a more clinically relevant pharmacokinetic marker in herbal medicine research. These findings lay a strong foundation for future phase 2B clinical trials and may influence the integration of pharmacokinetically guided therapy in personalized treatment strategies for ICC.</w:t>
            </w:r>
          </w:p>
        </w:tc>
        <w:tc>
          <w:tcPr>
            <w:tcW w:w="1523" w:type="pct"/>
          </w:tcPr>
          <w:p w14:paraId="462A339C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250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D25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D25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0727BC" w14:textId="77777777" w:rsidR="00AA5EF4" w:rsidRPr="001D250E" w:rsidRDefault="00AA5EF4" w:rsidP="00AA5E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Alternative Title:</w:t>
            </w:r>
          </w:p>
          <w:p w14:paraId="794AA9A7" w14:textId="5E8C321C" w:rsidR="00F1171E" w:rsidRPr="001D250E" w:rsidRDefault="00AA5EF4" w:rsidP="00AA5E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"Pharmacokinetic-Based Prognostic Markers for Advanced Intrahepatic Cholangiocarcinoma Treated with Standardized Extract of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Atractylodes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lancea</w:t>
            </w:r>
            <w:proofErr w:type="spellEnd"/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(Thunb.) DC"</w:t>
            </w:r>
          </w:p>
        </w:tc>
        <w:tc>
          <w:tcPr>
            <w:tcW w:w="1523" w:type="pct"/>
          </w:tcPr>
          <w:p w14:paraId="405B6701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250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D25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250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987113" w:rsidR="00F1171E" w:rsidRPr="001D250E" w:rsidRDefault="00AA5EF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250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D250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16BB63B" w:rsidR="00F1171E" w:rsidRPr="001D250E" w:rsidRDefault="00AA5E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A652E3"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A652E3" w:rsidRPr="001D2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2E3"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sound overall, with a clear research objective, appropriate methodology, and relevant findings</w:t>
            </w:r>
          </w:p>
        </w:tc>
        <w:tc>
          <w:tcPr>
            <w:tcW w:w="1523" w:type="pct"/>
          </w:tcPr>
          <w:p w14:paraId="4898F764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250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D25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D25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CD94DC1" w:rsidR="00F1171E" w:rsidRPr="001D250E" w:rsidRDefault="00A652E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250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D25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250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5B04D6C" w:rsidR="00F1171E" w:rsidRPr="001D250E" w:rsidRDefault="00A652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250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250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250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250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765C47" w14:textId="59DCA030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The manuscript addresses an important unmet clinical need in ICC, a cancer with poor prognosis and limited treatment options.</w:t>
            </w:r>
          </w:p>
          <w:p w14:paraId="49277F47" w14:textId="7FFA4918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 xml:space="preserve">The use of pharmacokinetic parameters as prognostic markers in </w:t>
            </w:r>
            <w:proofErr w:type="gramStart"/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proofErr w:type="gramEnd"/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 xml:space="preserve"> herbal formulation is novel and forward-thinking.</w:t>
            </w:r>
          </w:p>
          <w:p w14:paraId="492696D8" w14:textId="3FD320FE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The structure of the paper is logical, with clear objectives, methods, results, and interpretation.</w:t>
            </w:r>
          </w:p>
          <w:p w14:paraId="5E946A0E" w14:textId="6875A6A5" w:rsidR="00F1171E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The authors appropriately discuss limitations and propose future directions, including a phase 2B trial.</w:t>
            </w:r>
          </w:p>
          <w:p w14:paraId="26DFE92F" w14:textId="21A5931B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Use consistent terms such as “total AL bioactivity”, “CMC-AL”, or “standardized extract” throughout the text.</w:t>
            </w:r>
          </w:p>
          <w:p w14:paraId="77016951" w14:textId="77777777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sz w:val="20"/>
                <w:szCs w:val="20"/>
                <w:lang w:val="en-GB"/>
              </w:rPr>
              <w:t>Avoid interchanging "predictors" and "prognostic factors" without clarification.</w:t>
            </w:r>
          </w:p>
          <w:p w14:paraId="6A6F3313" w14:textId="77777777" w:rsidR="00A652E3" w:rsidRPr="001D250E" w:rsidRDefault="00A652E3" w:rsidP="00A652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D25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1D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D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D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D250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D250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250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D250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250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D25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250E">
              <w:rPr>
                <w:rFonts w:ascii="Arial" w:hAnsi="Arial" w:cs="Arial"/>
                <w:lang w:val="en-GB"/>
              </w:rPr>
              <w:t>Author’s comment</w:t>
            </w:r>
            <w:r w:rsidRPr="001D25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250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D250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25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25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25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25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56A4F5F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D25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D25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D25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D25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7991851" w14:textId="77777777" w:rsidR="001D250E" w:rsidRPr="00152AA3" w:rsidRDefault="001D250E" w:rsidP="001D250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52AA3">
        <w:rPr>
          <w:rFonts w:ascii="Arial" w:hAnsi="Arial" w:cs="Arial"/>
          <w:b/>
          <w:u w:val="single"/>
        </w:rPr>
        <w:t>Reviewer details:</w:t>
      </w:r>
    </w:p>
    <w:p w14:paraId="1746829E" w14:textId="77777777" w:rsidR="001D250E" w:rsidRPr="00152AA3" w:rsidRDefault="001D250E" w:rsidP="001D250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52AA3">
        <w:rPr>
          <w:rFonts w:ascii="Arial" w:hAnsi="Arial" w:cs="Arial"/>
          <w:b/>
          <w:color w:val="000000"/>
        </w:rPr>
        <w:t xml:space="preserve">Amal Ibrahim </w:t>
      </w:r>
      <w:proofErr w:type="spellStart"/>
      <w:r w:rsidRPr="00152AA3">
        <w:rPr>
          <w:rFonts w:ascii="Arial" w:hAnsi="Arial" w:cs="Arial"/>
          <w:b/>
          <w:color w:val="000000"/>
        </w:rPr>
        <w:t>Abdelmaksoud</w:t>
      </w:r>
      <w:proofErr w:type="spellEnd"/>
      <w:r w:rsidRPr="00152AA3">
        <w:rPr>
          <w:rFonts w:ascii="Arial" w:hAnsi="Arial" w:cs="Arial"/>
          <w:b/>
          <w:color w:val="000000"/>
        </w:rPr>
        <w:t xml:space="preserve"> El-</w:t>
      </w:r>
      <w:proofErr w:type="spellStart"/>
      <w:r w:rsidRPr="00152AA3">
        <w:rPr>
          <w:rFonts w:ascii="Arial" w:hAnsi="Arial" w:cs="Arial"/>
          <w:b/>
          <w:color w:val="000000"/>
        </w:rPr>
        <w:t>Refaiy</w:t>
      </w:r>
      <w:proofErr w:type="spellEnd"/>
      <w:r w:rsidRPr="00152AA3">
        <w:rPr>
          <w:rFonts w:ascii="Arial" w:hAnsi="Arial" w:cs="Arial"/>
          <w:b/>
          <w:color w:val="000000"/>
        </w:rPr>
        <w:t>, Al-Azhar University, Egypt</w:t>
      </w:r>
    </w:p>
    <w:p w14:paraId="68E42AF7" w14:textId="77777777" w:rsidR="001D250E" w:rsidRPr="001D250E" w:rsidRDefault="001D250E">
      <w:pPr>
        <w:rPr>
          <w:rFonts w:ascii="Arial" w:hAnsi="Arial" w:cs="Arial"/>
          <w:b/>
          <w:sz w:val="20"/>
          <w:szCs w:val="20"/>
        </w:rPr>
      </w:pPr>
    </w:p>
    <w:sectPr w:rsidR="001D250E" w:rsidRPr="001D250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A9A4" w14:textId="77777777" w:rsidR="000A71A2" w:rsidRPr="0000007A" w:rsidRDefault="000A71A2" w:rsidP="0099583E">
      <w:r>
        <w:separator/>
      </w:r>
    </w:p>
  </w:endnote>
  <w:endnote w:type="continuationSeparator" w:id="0">
    <w:p w14:paraId="631B2EC6" w14:textId="77777777" w:rsidR="000A71A2" w:rsidRPr="0000007A" w:rsidRDefault="000A71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1A3F1" w14:textId="77777777" w:rsidR="000A71A2" w:rsidRPr="0000007A" w:rsidRDefault="000A71A2" w:rsidP="0099583E">
      <w:r>
        <w:separator/>
      </w:r>
    </w:p>
  </w:footnote>
  <w:footnote w:type="continuationSeparator" w:id="0">
    <w:p w14:paraId="07B5C020" w14:textId="77777777" w:rsidR="000A71A2" w:rsidRPr="0000007A" w:rsidRDefault="000A71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2644860">
    <w:abstractNumId w:val="3"/>
  </w:num>
  <w:num w:numId="2" w16cid:durableId="1601257034">
    <w:abstractNumId w:val="6"/>
  </w:num>
  <w:num w:numId="3" w16cid:durableId="836919497">
    <w:abstractNumId w:val="5"/>
  </w:num>
  <w:num w:numId="4" w16cid:durableId="1256551735">
    <w:abstractNumId w:val="7"/>
  </w:num>
  <w:num w:numId="5" w16cid:durableId="1898280014">
    <w:abstractNumId w:val="4"/>
  </w:num>
  <w:num w:numId="6" w16cid:durableId="153768999">
    <w:abstractNumId w:val="0"/>
  </w:num>
  <w:num w:numId="7" w16cid:durableId="1956012623">
    <w:abstractNumId w:val="1"/>
  </w:num>
  <w:num w:numId="8" w16cid:durableId="811943355">
    <w:abstractNumId w:val="9"/>
  </w:num>
  <w:num w:numId="9" w16cid:durableId="682627491">
    <w:abstractNumId w:val="8"/>
  </w:num>
  <w:num w:numId="10" w16cid:durableId="165086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A71A2"/>
    <w:rsid w:val="000B4EE5"/>
    <w:rsid w:val="000B74A1"/>
    <w:rsid w:val="000B757E"/>
    <w:rsid w:val="000C0837"/>
    <w:rsid w:val="000C0B04"/>
    <w:rsid w:val="000C3B7E"/>
    <w:rsid w:val="000D13B0"/>
    <w:rsid w:val="000E46E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E67"/>
    <w:rsid w:val="001B5029"/>
    <w:rsid w:val="001D250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5A3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3DD1"/>
    <w:rsid w:val="00353718"/>
    <w:rsid w:val="00374F93"/>
    <w:rsid w:val="00377F1D"/>
    <w:rsid w:val="00394901"/>
    <w:rsid w:val="003A04E7"/>
    <w:rsid w:val="003A1C45"/>
    <w:rsid w:val="003A2B46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3D2E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E61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854"/>
    <w:rsid w:val="008E5067"/>
    <w:rsid w:val="008F036B"/>
    <w:rsid w:val="008F36E4"/>
    <w:rsid w:val="0090720F"/>
    <w:rsid w:val="0091410B"/>
    <w:rsid w:val="009245E3"/>
    <w:rsid w:val="00925C6C"/>
    <w:rsid w:val="00942DEE"/>
    <w:rsid w:val="00944F67"/>
    <w:rsid w:val="009553EC"/>
    <w:rsid w:val="00955E45"/>
    <w:rsid w:val="00962B70"/>
    <w:rsid w:val="00963E49"/>
    <w:rsid w:val="00967C62"/>
    <w:rsid w:val="00982766"/>
    <w:rsid w:val="009852C4"/>
    <w:rsid w:val="0099583E"/>
    <w:rsid w:val="009A0242"/>
    <w:rsid w:val="009A59ED"/>
    <w:rsid w:val="009B101F"/>
    <w:rsid w:val="009B239B"/>
    <w:rsid w:val="009C0C50"/>
    <w:rsid w:val="009C53EE"/>
    <w:rsid w:val="009C5642"/>
    <w:rsid w:val="009E13C3"/>
    <w:rsid w:val="009E2F3D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2E3"/>
    <w:rsid w:val="00A65C50"/>
    <w:rsid w:val="00A8290F"/>
    <w:rsid w:val="00A9012F"/>
    <w:rsid w:val="00AA41B3"/>
    <w:rsid w:val="00AA49A2"/>
    <w:rsid w:val="00AA5338"/>
    <w:rsid w:val="00AA5EF4"/>
    <w:rsid w:val="00AB1ED6"/>
    <w:rsid w:val="00AB397D"/>
    <w:rsid w:val="00AB638A"/>
    <w:rsid w:val="00AB65BF"/>
    <w:rsid w:val="00AB6E43"/>
    <w:rsid w:val="00AC1349"/>
    <w:rsid w:val="00AD6C51"/>
    <w:rsid w:val="00AE0E9B"/>
    <w:rsid w:val="00AE1F47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BD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4DC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4A4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AC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D21"/>
    <w:rsid w:val="00E44C4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D25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153473542312239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2025-06-20T06:05:00Z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