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B0D5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B0D5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B0D5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B0D5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B0D5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DBCEFA" w:rsidR="0000007A" w:rsidRPr="00DB0D59" w:rsidRDefault="0025246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B0D5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DB0D5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B0D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C5CAC84" w:rsidR="0000007A" w:rsidRPr="00DB0D5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142D4"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5810</w:t>
            </w:r>
          </w:p>
        </w:tc>
      </w:tr>
      <w:tr w:rsidR="0000007A" w:rsidRPr="00DB0D5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B0D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5EA59B" w:rsidR="0000007A" w:rsidRPr="00DB0D59" w:rsidRDefault="00767D4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B0D59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ASSESSING ECONOMIC RESILIENCE IN FARM HOUSEHOLDS CONFRONTING CLIMATE CHANGE: A SCENARIO ANALYSIS OF THE COASTAL PLAINS IN KERALA</w:t>
            </w:r>
          </w:p>
        </w:tc>
      </w:tr>
      <w:tr w:rsidR="00CF0BBB" w:rsidRPr="00DB0D5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B0D5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6745CC" w:rsidR="00CF0BBB" w:rsidRPr="00DB0D59" w:rsidRDefault="00E142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96D9DB0" w14:textId="77777777" w:rsidR="00E327CD" w:rsidRPr="00DB0D59" w:rsidRDefault="00E327CD" w:rsidP="00DB0D5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0BAEBD1" w14:textId="77777777" w:rsidR="00E327CD" w:rsidRPr="00DB0D59" w:rsidRDefault="00E327CD" w:rsidP="00DB0D5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2E8BE1E1" w14:textId="77777777" w:rsidR="00E327CD" w:rsidRPr="00DB0D59" w:rsidRDefault="00E327C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B0D5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0D5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B0D5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0D5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0D5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B0D5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B0D5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0D59">
              <w:rPr>
                <w:rFonts w:ascii="Arial" w:hAnsi="Arial" w:cs="Arial"/>
                <w:lang w:val="en-GB"/>
              </w:rPr>
              <w:t>Author’s Feedback</w:t>
            </w:r>
            <w:r w:rsidRPr="00DB0D5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0D5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B0D5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B0D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B0D5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B90301" w:rsidR="00F1171E" w:rsidRPr="00DB0D59" w:rsidRDefault="00CD031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Use of Economic Resilience Index (ERI) with breakdowns into Absorptive, Adaptive, and Transformative capacities is methodologically sound.</w:t>
            </w:r>
            <w:r w:rsidRPr="00DB0D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Principal Component Analysis (PCA), F-value, p-values, and variance analysis are presented.</w:t>
            </w:r>
            <w:r w:rsidRPr="00DB0D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Focus on Kerala's coastal AEUs is timely and contextually appropriate.</w:t>
            </w:r>
          </w:p>
        </w:tc>
        <w:tc>
          <w:tcPr>
            <w:tcW w:w="1523" w:type="pct"/>
          </w:tcPr>
          <w:p w14:paraId="462A339C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0D5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B0D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B0D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1641D32" w:rsidR="00F1171E" w:rsidRPr="00DB0D59" w:rsidRDefault="00431B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Assessing Economic Resilience of Farm Households in Kerala’s Coastal Plains under Climate Stress”</w:t>
            </w: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better reflect content.</w:t>
            </w:r>
          </w:p>
        </w:tc>
        <w:tc>
          <w:tcPr>
            <w:tcW w:w="1523" w:type="pct"/>
          </w:tcPr>
          <w:p w14:paraId="405B6701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0D5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B0D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B0D5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DB3EF6B" w14:textId="77777777" w:rsidR="00F1171E" w:rsidRPr="00DB0D59" w:rsidRDefault="00431B78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Reduce to max 250 words, highlight key results briefly, remove background info already in intro.</w:t>
            </w:r>
          </w:p>
          <w:p w14:paraId="35C94682" w14:textId="77777777" w:rsidR="00CD0311" w:rsidRPr="00DB0D59" w:rsidRDefault="003F1BC1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AEU 6 is missing throughout the paper. The jump from AEU 5 to AEU 7 (</w:t>
            </w:r>
            <w:proofErr w:type="spellStart"/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Kaipad</w:t>
            </w:r>
            <w:proofErr w:type="spellEnd"/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) is unexplained.</w:t>
            </w:r>
          </w:p>
          <w:p w14:paraId="56B32216" w14:textId="77777777" w:rsidR="003F1BC1" w:rsidRPr="00DB0D59" w:rsidRDefault="003F1BC1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term </w:t>
            </w:r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  <w:proofErr w:type="spellStart"/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Kaipad</w:t>
            </w:r>
            <w:proofErr w:type="spellEnd"/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lands”</w:t>
            </w: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  <w:proofErr w:type="spellStart"/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Kaipad</w:t>
            </w:r>
            <w:proofErr w:type="spellEnd"/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region”</w:t>
            </w: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are used interchangeably.</w:t>
            </w:r>
          </w:p>
          <w:p w14:paraId="702ECA64" w14:textId="70F8BBFD" w:rsidR="003F1BC1" w:rsidRPr="00DB0D59" w:rsidRDefault="003F1BC1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Table 2 (PCA Loadings): Complex for general readers; lacks proper interpretation of PC </w:t>
            </w:r>
            <w:proofErr w:type="gramStart"/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values.[</w:t>
            </w:r>
            <w:proofErr w:type="gramEnd"/>
            <w:r w:rsidRPr="00DB0D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Suggestion</w:t>
            </w: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: Explain what PC1–PC7 represent, and emphasize only significant loadings (&gt;0.5 or &lt;-0.5) in-text.]</w:t>
            </w:r>
          </w:p>
          <w:p w14:paraId="61B50C99" w14:textId="6BEBF05E" w:rsidR="003F1BC1" w:rsidRPr="00DB0D59" w:rsidRDefault="00CC7EB4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Despite being called a </w:t>
            </w:r>
            <w:r w:rsidRPr="00DB0D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“scenario analysis,”</w:t>
            </w: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climate model, future projection, or scenario-based forecast is presented.</w:t>
            </w:r>
          </w:p>
          <w:p w14:paraId="75F8C981" w14:textId="09DE8151" w:rsidR="00CC7EB4" w:rsidRPr="00DB0D59" w:rsidRDefault="00CC7EB4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No mention of how gender (especially women's role in resilience) impacts household adaptation strategies.</w:t>
            </w:r>
          </w:p>
          <w:p w14:paraId="6A39B99A" w14:textId="2A6E32F1" w:rsidR="00CC7EB4" w:rsidRPr="00DB0D59" w:rsidRDefault="00A0088E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Policy Linkage / Actionable Framework</w:t>
            </w:r>
          </w:p>
          <w:p w14:paraId="504C9E59" w14:textId="77777777" w:rsidR="003F1BC1" w:rsidRPr="00DB0D59" w:rsidRDefault="00A0088E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No maps or graphs to visualize AEUs or index comparisons.</w:t>
            </w:r>
          </w:p>
          <w:p w14:paraId="7FBC9DB7" w14:textId="77777777" w:rsidR="00A0088E" w:rsidRPr="00DB0D59" w:rsidRDefault="00A0088E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Justify the choice of 13 indicators and the weightage system used in ERI. In Methodology section</w:t>
            </w:r>
          </w:p>
          <w:p w14:paraId="0FB7E83A" w14:textId="7B39F505" w:rsidR="00470027" w:rsidRPr="00DB0D59" w:rsidRDefault="00470027" w:rsidP="00CD03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In conclusion section -Reiterate key findings numerically (e.g., “</w:t>
            </w:r>
            <w:proofErr w:type="spellStart"/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Kaipad's</w:t>
            </w:r>
            <w:proofErr w:type="spellEnd"/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ERI was 0.677, 15% higher than </w:t>
            </w:r>
            <w:proofErr w:type="spellStart"/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Kuttanad’s</w:t>
            </w:r>
            <w:proofErr w:type="spellEnd"/>
            <w:r w:rsidRPr="00DB0D59">
              <w:rPr>
                <w:rFonts w:ascii="Arial" w:hAnsi="Arial" w:cs="Arial"/>
                <w:b/>
                <w:bCs/>
                <w:sz w:val="20"/>
                <w:szCs w:val="20"/>
              </w:rPr>
              <w:t>”)</w:t>
            </w:r>
          </w:p>
        </w:tc>
        <w:tc>
          <w:tcPr>
            <w:tcW w:w="1523" w:type="pct"/>
          </w:tcPr>
          <w:p w14:paraId="1D54B730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0D5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B0D5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33C309" w:rsidR="00F1171E" w:rsidRPr="00DB0D59" w:rsidRDefault="00431B7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0D5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B0D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B0D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41BDE5B" w:rsidR="00F1171E" w:rsidRPr="00DB0D59" w:rsidRDefault="007D6CC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0D5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B0D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B0D5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D289C91" w:rsidR="00F1171E" w:rsidRPr="00DB0D59" w:rsidRDefault="004A6068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DB0D59">
              <w:rPr>
                <w:rFonts w:ascii="Arial" w:hAnsi="Arial" w:cs="Arial"/>
                <w:sz w:val="20"/>
                <w:szCs w:val="20"/>
              </w:rPr>
              <w:t>Several long, complex sentences can reduce readability.</w:t>
            </w:r>
          </w:p>
          <w:p w14:paraId="6CE1F7AF" w14:textId="5D894789" w:rsidR="004A6068" w:rsidRPr="00DB0D59" w:rsidRDefault="004A606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sz w:val="20"/>
                <w:szCs w:val="20"/>
              </w:rPr>
              <w:t xml:space="preserve">Example: “Notably, </w:t>
            </w:r>
            <w:proofErr w:type="spellStart"/>
            <w:r w:rsidRPr="00DB0D59">
              <w:rPr>
                <w:rFonts w:ascii="Arial" w:hAnsi="Arial" w:cs="Arial"/>
                <w:sz w:val="20"/>
                <w:szCs w:val="20"/>
              </w:rPr>
              <w:t>Kuttanad</w:t>
            </w:r>
            <w:proofErr w:type="spellEnd"/>
            <w:r w:rsidRPr="00DB0D59">
              <w:rPr>
                <w:rFonts w:ascii="Arial" w:hAnsi="Arial" w:cs="Arial"/>
                <w:sz w:val="20"/>
                <w:szCs w:val="20"/>
              </w:rPr>
              <w:t xml:space="preserve"> recorded a lower ERI score (0.521) compared to the average ERI (</w:t>
            </w:r>
            <w:proofErr w:type="gramStart"/>
            <w:r w:rsidRPr="00DB0D59">
              <w:rPr>
                <w:rFonts w:ascii="Arial" w:hAnsi="Arial" w:cs="Arial"/>
                <w:sz w:val="20"/>
                <w:szCs w:val="20"/>
              </w:rPr>
              <w:t>0.573)...</w:t>
            </w:r>
            <w:proofErr w:type="gramEnd"/>
            <w:r w:rsidRPr="00DB0D59">
              <w:rPr>
                <w:rFonts w:ascii="Arial" w:hAnsi="Arial" w:cs="Arial"/>
                <w:sz w:val="20"/>
                <w:szCs w:val="20"/>
              </w:rPr>
              <w:t>” → could be reworded for clarity.</w:t>
            </w:r>
          </w:p>
          <w:p w14:paraId="41E28118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0D5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B0D5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B0D5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B0D5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47EA7FEE" w:rsidR="00F1171E" w:rsidRPr="00DB0D59" w:rsidRDefault="003F57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sz w:val="20"/>
                <w:szCs w:val="20"/>
              </w:rPr>
              <w:t>The article is well-organized</w:t>
            </w:r>
          </w:p>
        </w:tc>
        <w:tc>
          <w:tcPr>
            <w:tcW w:w="1523" w:type="pct"/>
          </w:tcPr>
          <w:p w14:paraId="465E098E" w14:textId="77777777" w:rsidR="00F1171E" w:rsidRPr="00DB0D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DB0D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B0D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B0D5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B0D5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B0D5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B0D5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0D5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B0D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0D59">
              <w:rPr>
                <w:rFonts w:ascii="Arial" w:hAnsi="Arial" w:cs="Arial"/>
                <w:lang w:val="en-GB"/>
              </w:rPr>
              <w:t>Author’s comment</w:t>
            </w:r>
            <w:r w:rsidRPr="00DB0D5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0D5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B0D5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0D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B0D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B0D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B0D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B0D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B0D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B0D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B0D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7207647" w14:textId="77777777" w:rsidR="00DB0D59" w:rsidRPr="006D3FF3" w:rsidRDefault="00DB0D59" w:rsidP="00DB0D5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D3FF3">
        <w:rPr>
          <w:rFonts w:ascii="Arial" w:hAnsi="Arial" w:cs="Arial"/>
          <w:b/>
          <w:u w:val="single"/>
        </w:rPr>
        <w:t>Reviewer details:</w:t>
      </w:r>
    </w:p>
    <w:p w14:paraId="73665BEE" w14:textId="77777777" w:rsidR="00DB0D59" w:rsidRPr="006D3FF3" w:rsidRDefault="00DB0D59" w:rsidP="00DB0D5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8E1A702" w14:textId="77777777" w:rsidR="00DB0D59" w:rsidRPr="006D3FF3" w:rsidRDefault="00DB0D59" w:rsidP="00DB0D5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D3FF3">
        <w:rPr>
          <w:rFonts w:ascii="Arial" w:hAnsi="Arial" w:cs="Arial"/>
          <w:b/>
        </w:rPr>
        <w:t>Sattam Mandal, University of Calcutta, India</w:t>
      </w:r>
    </w:p>
    <w:p w14:paraId="1B3520CD" w14:textId="77777777" w:rsidR="00DB0D59" w:rsidRPr="00DB0D59" w:rsidRDefault="00DB0D59">
      <w:pPr>
        <w:rPr>
          <w:rFonts w:ascii="Arial" w:hAnsi="Arial" w:cs="Arial"/>
          <w:b/>
          <w:sz w:val="20"/>
          <w:szCs w:val="20"/>
        </w:rPr>
      </w:pPr>
    </w:p>
    <w:sectPr w:rsidR="00DB0D59" w:rsidRPr="00DB0D5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49D8" w14:textId="77777777" w:rsidR="00DE50A9" w:rsidRPr="0000007A" w:rsidRDefault="00DE50A9" w:rsidP="0099583E">
      <w:r>
        <w:separator/>
      </w:r>
    </w:p>
  </w:endnote>
  <w:endnote w:type="continuationSeparator" w:id="0">
    <w:p w14:paraId="66E744F4" w14:textId="77777777" w:rsidR="00DE50A9" w:rsidRPr="0000007A" w:rsidRDefault="00DE50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DFAE7" w14:textId="77777777" w:rsidR="00DE50A9" w:rsidRPr="0000007A" w:rsidRDefault="00DE50A9" w:rsidP="0099583E">
      <w:r>
        <w:separator/>
      </w:r>
    </w:p>
  </w:footnote>
  <w:footnote w:type="continuationSeparator" w:id="0">
    <w:p w14:paraId="0394893A" w14:textId="77777777" w:rsidR="00DE50A9" w:rsidRPr="0000007A" w:rsidRDefault="00DE50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06C2"/>
    <w:multiLevelType w:val="hybridMultilevel"/>
    <w:tmpl w:val="3B14F0D6"/>
    <w:lvl w:ilvl="0" w:tplc="8D6019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C1E47"/>
    <w:multiLevelType w:val="hybridMultilevel"/>
    <w:tmpl w:val="5BFA154E"/>
    <w:lvl w:ilvl="0" w:tplc="22347E5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6666613">
    <w:abstractNumId w:val="4"/>
  </w:num>
  <w:num w:numId="2" w16cid:durableId="1097949353">
    <w:abstractNumId w:val="7"/>
  </w:num>
  <w:num w:numId="3" w16cid:durableId="22563198">
    <w:abstractNumId w:val="6"/>
  </w:num>
  <w:num w:numId="4" w16cid:durableId="673727451">
    <w:abstractNumId w:val="8"/>
  </w:num>
  <w:num w:numId="5" w16cid:durableId="100150306">
    <w:abstractNumId w:val="5"/>
  </w:num>
  <w:num w:numId="6" w16cid:durableId="144049746">
    <w:abstractNumId w:val="0"/>
  </w:num>
  <w:num w:numId="7" w16cid:durableId="1799255071">
    <w:abstractNumId w:val="2"/>
  </w:num>
  <w:num w:numId="8" w16cid:durableId="193271306">
    <w:abstractNumId w:val="11"/>
  </w:num>
  <w:num w:numId="9" w16cid:durableId="652946649">
    <w:abstractNumId w:val="10"/>
  </w:num>
  <w:num w:numId="10" w16cid:durableId="2025012174">
    <w:abstractNumId w:val="3"/>
  </w:num>
  <w:num w:numId="11" w16cid:durableId="202595367">
    <w:abstractNumId w:val="1"/>
  </w:num>
  <w:num w:numId="12" w16cid:durableId="7051087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0D4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4ED"/>
    <w:rsid w:val="000A6F41"/>
    <w:rsid w:val="000B4EE5"/>
    <w:rsid w:val="000B74A1"/>
    <w:rsid w:val="000B757E"/>
    <w:rsid w:val="000C0837"/>
    <w:rsid w:val="000C0B04"/>
    <w:rsid w:val="000C0D61"/>
    <w:rsid w:val="000C3B7E"/>
    <w:rsid w:val="000D0E95"/>
    <w:rsid w:val="000D13B0"/>
    <w:rsid w:val="000E36F1"/>
    <w:rsid w:val="000F6EA8"/>
    <w:rsid w:val="00101322"/>
    <w:rsid w:val="0010612E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46F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129"/>
    <w:rsid w:val="0033692F"/>
    <w:rsid w:val="00353718"/>
    <w:rsid w:val="00373370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BC1"/>
    <w:rsid w:val="003F575E"/>
    <w:rsid w:val="00401C12"/>
    <w:rsid w:val="00421DBF"/>
    <w:rsid w:val="0042465A"/>
    <w:rsid w:val="00431B78"/>
    <w:rsid w:val="00431DD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027"/>
    <w:rsid w:val="00474129"/>
    <w:rsid w:val="00477844"/>
    <w:rsid w:val="00477FEA"/>
    <w:rsid w:val="004847FF"/>
    <w:rsid w:val="00495DBB"/>
    <w:rsid w:val="004A6068"/>
    <w:rsid w:val="004B03BF"/>
    <w:rsid w:val="004B0965"/>
    <w:rsid w:val="004B4CAD"/>
    <w:rsid w:val="004B4FDC"/>
    <w:rsid w:val="004B7515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45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07F5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BB2"/>
    <w:rsid w:val="00766889"/>
    <w:rsid w:val="00766A0D"/>
    <w:rsid w:val="00767D49"/>
    <w:rsid w:val="00767F8C"/>
    <w:rsid w:val="00780B67"/>
    <w:rsid w:val="00781D07"/>
    <w:rsid w:val="00792D53"/>
    <w:rsid w:val="007A62F8"/>
    <w:rsid w:val="007B1099"/>
    <w:rsid w:val="007B54A4"/>
    <w:rsid w:val="007C6CDF"/>
    <w:rsid w:val="007D0246"/>
    <w:rsid w:val="007D6CC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4ED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88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DAA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02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8E0"/>
    <w:rsid w:val="00C22886"/>
    <w:rsid w:val="00C25C8F"/>
    <w:rsid w:val="00C263C6"/>
    <w:rsid w:val="00C268B8"/>
    <w:rsid w:val="00C435C6"/>
    <w:rsid w:val="00C635B6"/>
    <w:rsid w:val="00C70DFC"/>
    <w:rsid w:val="00C74F74"/>
    <w:rsid w:val="00C82466"/>
    <w:rsid w:val="00C84097"/>
    <w:rsid w:val="00CA4B20"/>
    <w:rsid w:val="00CA7853"/>
    <w:rsid w:val="00CB429B"/>
    <w:rsid w:val="00CC2753"/>
    <w:rsid w:val="00CC7EB4"/>
    <w:rsid w:val="00CD0311"/>
    <w:rsid w:val="00CD093E"/>
    <w:rsid w:val="00CD1556"/>
    <w:rsid w:val="00CD1FD7"/>
    <w:rsid w:val="00CD5091"/>
    <w:rsid w:val="00CD5DFD"/>
    <w:rsid w:val="00CD7C84"/>
    <w:rsid w:val="00CE199A"/>
    <w:rsid w:val="00CE43AE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0D59"/>
    <w:rsid w:val="00DB23B9"/>
    <w:rsid w:val="00DB7E1B"/>
    <w:rsid w:val="00DC1D81"/>
    <w:rsid w:val="00DC6FED"/>
    <w:rsid w:val="00DD0C4A"/>
    <w:rsid w:val="00DD274C"/>
    <w:rsid w:val="00DD3E82"/>
    <w:rsid w:val="00DE50A9"/>
    <w:rsid w:val="00DE7D30"/>
    <w:rsid w:val="00DF04E3"/>
    <w:rsid w:val="00E03C32"/>
    <w:rsid w:val="00E142D4"/>
    <w:rsid w:val="00E3111A"/>
    <w:rsid w:val="00E327CD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B0D5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2025-06-12T08:29:00Z</dcterms:created>
  <dcterms:modified xsi:type="dcterms:W3CDTF">2025-06-19T13:04:00Z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