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33A5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3A5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3A5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33A5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3A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17B22E" w:rsidR="0000007A" w:rsidRPr="00033A55" w:rsidRDefault="00321A3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Therapeutic Targeting of Oxidative and Apoptotic Pathways to Maintain Redox Homeostasis in Diverse Disease and Cellular Models</w:t>
            </w:r>
          </w:p>
        </w:tc>
      </w:tr>
      <w:tr w:rsidR="0000007A" w:rsidRPr="00033A5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33A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11E010" w:rsidR="0000007A" w:rsidRPr="00033A5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9025B" w:rsidRPr="00033A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25B"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5859</w:t>
            </w:r>
          </w:p>
        </w:tc>
      </w:tr>
      <w:tr w:rsidR="0000007A" w:rsidRPr="00033A5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33A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843DD7" w:rsidR="0000007A" w:rsidRPr="00033A55" w:rsidRDefault="00321A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33A55">
              <w:rPr>
                <w:rFonts w:ascii="Arial" w:hAnsi="Arial" w:cs="Arial"/>
                <w:b/>
                <w:sz w:val="20"/>
                <w:szCs w:val="20"/>
                <w:lang w:val="en-GB"/>
              </w:rPr>
              <w:t>Therapeutic Targeting of Oxidative and Apoptotic Pathways to Maintain Redox Homeostasis in Diverse Disease and Cellular Models</w:t>
            </w:r>
          </w:p>
        </w:tc>
      </w:tr>
      <w:tr w:rsidR="00CF0BBB" w:rsidRPr="00033A5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33A5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CC3DC8" w:rsidR="00CF0BBB" w:rsidRPr="00033A55" w:rsidRDefault="00321A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033A5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33A5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A51658B" w:rsidR="009B239B" w:rsidRPr="00033A55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033A55">
        <w:rPr>
          <w:rFonts w:ascii="Arial" w:hAnsi="Arial" w:cs="Arial"/>
          <w:sz w:val="20"/>
          <w:szCs w:val="20"/>
        </w:rPr>
        <w:t xml:space="preserve"> </w:t>
      </w:r>
    </w:p>
    <w:p w14:paraId="5A743ECE" w14:textId="067C529A" w:rsidR="00D27A79" w:rsidRPr="00033A55" w:rsidRDefault="00D27A79" w:rsidP="00321A3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33A5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3A5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3A5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3A5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3A5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3A5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3A5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3A55">
              <w:rPr>
                <w:rFonts w:ascii="Arial" w:hAnsi="Arial" w:cs="Arial"/>
                <w:lang w:val="en-GB"/>
              </w:rPr>
              <w:t>Author’s Feedback</w:t>
            </w:r>
            <w:r w:rsidRPr="00033A5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3A5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33A5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33A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33A5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8D732A" w:rsidR="00F1171E" w:rsidRPr="00033A55" w:rsidRDefault="00A60D2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sz w:val="20"/>
                <w:szCs w:val="20"/>
              </w:rPr>
              <w:t>Therapeutic targeting of oxidative and apoptotic pathways to maintain redox homeostasis, the balance between reactive oxygen species (ROS) and antioxidant defenses, in various diseases.</w:t>
            </w:r>
          </w:p>
        </w:tc>
        <w:tc>
          <w:tcPr>
            <w:tcW w:w="1523" w:type="pct"/>
          </w:tcPr>
          <w:p w14:paraId="462A339C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3A5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33A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33A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DCFD6A" w:rsidR="00F1171E" w:rsidRPr="00033A55" w:rsidRDefault="00A60D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3A5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33A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3A5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9237AA" w:rsidR="00F1171E" w:rsidRPr="00033A55" w:rsidRDefault="00A60D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3A5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33A5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E9018A" w:rsidR="00F1171E" w:rsidRPr="00033A55" w:rsidRDefault="00A60D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3A5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33A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33A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CF9A1A" w:rsidR="00F1171E" w:rsidRPr="00033A55" w:rsidRDefault="00A60D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 reduce the references</w:t>
            </w:r>
          </w:p>
        </w:tc>
        <w:tc>
          <w:tcPr>
            <w:tcW w:w="1523" w:type="pct"/>
          </w:tcPr>
          <w:p w14:paraId="40220055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3A5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33A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3A5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BD114DB" w:rsidR="00F1171E" w:rsidRPr="00033A55" w:rsidRDefault="00707DB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3A5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3A5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3A5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3A5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996A100" w:rsidR="00F1171E" w:rsidRPr="00033A55" w:rsidRDefault="00A60D2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sz w:val="20"/>
                <w:szCs w:val="20"/>
                <w:lang w:val="en-GB"/>
              </w:rPr>
              <w:t>Rewrite to organize in correct way.</w:t>
            </w:r>
          </w:p>
          <w:p w14:paraId="7EB58C99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33A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33A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33A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33A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33A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33A5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3A5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33A5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33A5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3A5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33A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3A55">
              <w:rPr>
                <w:rFonts w:ascii="Arial" w:hAnsi="Arial" w:cs="Arial"/>
                <w:lang w:val="en-GB"/>
              </w:rPr>
              <w:t>Author’s comment</w:t>
            </w:r>
            <w:r w:rsidRPr="00033A5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3A5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33A5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3A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3A5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3A5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3A5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11C55143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33A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33A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33A5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33A5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2EBCC85" w14:textId="77777777" w:rsidR="00033A55" w:rsidRPr="0085605B" w:rsidRDefault="00033A55" w:rsidP="00033A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605B">
        <w:rPr>
          <w:rFonts w:ascii="Arial" w:hAnsi="Arial" w:cs="Arial"/>
          <w:b/>
          <w:u w:val="single"/>
        </w:rPr>
        <w:t>Reviewer details:</w:t>
      </w:r>
    </w:p>
    <w:p w14:paraId="0B11E4E9" w14:textId="77777777" w:rsidR="00033A55" w:rsidRPr="0085605B" w:rsidRDefault="00033A55" w:rsidP="00033A5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5605B">
        <w:rPr>
          <w:rFonts w:ascii="Arial" w:hAnsi="Arial" w:cs="Arial"/>
          <w:b/>
          <w:color w:val="000000"/>
        </w:rPr>
        <w:t>Vasukidevi</w:t>
      </w:r>
      <w:proofErr w:type="spellEnd"/>
      <w:r w:rsidRPr="0085605B">
        <w:rPr>
          <w:rFonts w:ascii="Arial" w:hAnsi="Arial" w:cs="Arial"/>
          <w:b/>
          <w:color w:val="000000"/>
        </w:rPr>
        <w:t xml:space="preserve"> Ramachandran, Bharath Institute of Higher Education and Research, India</w:t>
      </w:r>
    </w:p>
    <w:p w14:paraId="488762E9" w14:textId="77777777" w:rsidR="00033A55" w:rsidRPr="0085605B" w:rsidRDefault="00033A55" w:rsidP="00033A5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76BEA2D" w14:textId="77777777" w:rsidR="00033A55" w:rsidRPr="00033A55" w:rsidRDefault="00033A55">
      <w:pPr>
        <w:rPr>
          <w:rFonts w:ascii="Arial" w:hAnsi="Arial" w:cs="Arial"/>
          <w:b/>
          <w:sz w:val="20"/>
          <w:szCs w:val="20"/>
        </w:rPr>
      </w:pPr>
    </w:p>
    <w:sectPr w:rsidR="00033A55" w:rsidRPr="00033A5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99D2" w14:textId="77777777" w:rsidR="004E08F8" w:rsidRPr="0000007A" w:rsidRDefault="004E08F8" w:rsidP="0099583E">
      <w:r>
        <w:separator/>
      </w:r>
    </w:p>
  </w:endnote>
  <w:endnote w:type="continuationSeparator" w:id="0">
    <w:p w14:paraId="70BB20B1" w14:textId="77777777" w:rsidR="004E08F8" w:rsidRPr="0000007A" w:rsidRDefault="004E08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051E" w14:textId="77777777" w:rsidR="004E08F8" w:rsidRPr="0000007A" w:rsidRDefault="004E08F8" w:rsidP="0099583E">
      <w:r>
        <w:separator/>
      </w:r>
    </w:p>
  </w:footnote>
  <w:footnote w:type="continuationSeparator" w:id="0">
    <w:p w14:paraId="03946FEE" w14:textId="77777777" w:rsidR="004E08F8" w:rsidRPr="0000007A" w:rsidRDefault="004E08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3013138">
    <w:abstractNumId w:val="3"/>
  </w:num>
  <w:num w:numId="2" w16cid:durableId="1601257814">
    <w:abstractNumId w:val="6"/>
  </w:num>
  <w:num w:numId="3" w16cid:durableId="1190296760">
    <w:abstractNumId w:val="5"/>
  </w:num>
  <w:num w:numId="4" w16cid:durableId="1005278376">
    <w:abstractNumId w:val="7"/>
  </w:num>
  <w:num w:numId="5" w16cid:durableId="544952685">
    <w:abstractNumId w:val="4"/>
  </w:num>
  <w:num w:numId="6" w16cid:durableId="1937403697">
    <w:abstractNumId w:val="0"/>
  </w:num>
  <w:num w:numId="7" w16cid:durableId="1648051557">
    <w:abstractNumId w:val="1"/>
  </w:num>
  <w:num w:numId="8" w16cid:durableId="768965775">
    <w:abstractNumId w:val="9"/>
  </w:num>
  <w:num w:numId="9" w16cid:durableId="1563983487">
    <w:abstractNumId w:val="8"/>
  </w:num>
  <w:num w:numId="10" w16cid:durableId="1657564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A5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A32"/>
    <w:rsid w:val="00326D7D"/>
    <w:rsid w:val="0033018A"/>
    <w:rsid w:val="0033692F"/>
    <w:rsid w:val="00353718"/>
    <w:rsid w:val="00362B1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097"/>
    <w:rsid w:val="003D1BDE"/>
    <w:rsid w:val="003E108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8F8"/>
    <w:rsid w:val="004E1D1A"/>
    <w:rsid w:val="004E4915"/>
    <w:rsid w:val="004F0AF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A11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2C4"/>
    <w:rsid w:val="006E6014"/>
    <w:rsid w:val="006E7D6E"/>
    <w:rsid w:val="00700A1D"/>
    <w:rsid w:val="00700EF2"/>
    <w:rsid w:val="00701186"/>
    <w:rsid w:val="00707BE1"/>
    <w:rsid w:val="00707DB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25B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BE7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1F3"/>
    <w:rsid w:val="00A60D2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3F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89F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DB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3A5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2025-06-28T11:17:00Z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