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F141" w14:textId="77777777" w:rsidR="006549F2" w:rsidRDefault="006549F2">
      <w:pPr>
        <w:pStyle w:val="BodyText"/>
        <w:spacing w:before="199"/>
        <w:rPr>
          <w:sz w:val="20"/>
        </w:rPr>
      </w:pPr>
    </w:p>
    <w:p w14:paraId="792A377B" w14:textId="77777777" w:rsidR="006549F2" w:rsidRDefault="00157F65">
      <w:pPr>
        <w:pStyle w:val="Title"/>
      </w:pPr>
      <w:r>
        <w:t>Subclinical Hypothyroidism in obesity: Review of Molecular</w:t>
      </w:r>
      <w:r>
        <w:rPr>
          <w:spacing w:val="-6"/>
        </w:rPr>
        <w:t xml:space="preserve"> </w:t>
      </w:r>
      <w:r>
        <w:t>evidence</w:t>
      </w:r>
      <w:r>
        <w:rPr>
          <w:spacing w:val="-6"/>
        </w:rPr>
        <w:t xml:space="preserve"> </w:t>
      </w:r>
      <w:r>
        <w:t>for</w:t>
      </w:r>
      <w:r>
        <w:rPr>
          <w:spacing w:val="-4"/>
        </w:rPr>
        <w:t xml:space="preserve"> </w:t>
      </w:r>
      <w:r>
        <w:t>impaired</w:t>
      </w:r>
      <w:r>
        <w:rPr>
          <w:spacing w:val="-6"/>
        </w:rPr>
        <w:t xml:space="preserve"> </w:t>
      </w:r>
      <w:r>
        <w:t>thyroid</w:t>
      </w:r>
      <w:r>
        <w:rPr>
          <w:spacing w:val="-6"/>
        </w:rPr>
        <w:t xml:space="preserve"> </w:t>
      </w:r>
      <w:r>
        <w:t>hormone</w:t>
      </w:r>
      <w:r>
        <w:rPr>
          <w:spacing w:val="-6"/>
        </w:rPr>
        <w:t xml:space="preserve"> </w:t>
      </w:r>
      <w:r>
        <w:t>receptor affinity from animal studies</w:t>
      </w:r>
    </w:p>
    <w:p w14:paraId="639F66F6" w14:textId="77777777" w:rsidR="006549F2" w:rsidRDefault="006549F2">
      <w:pPr>
        <w:pStyle w:val="BodyText"/>
        <w:spacing w:before="52"/>
        <w:rPr>
          <w:sz w:val="20"/>
        </w:rPr>
      </w:pPr>
    </w:p>
    <w:p w14:paraId="753DE02D" w14:textId="77777777" w:rsidR="002035D6" w:rsidRDefault="002035D6">
      <w:pPr>
        <w:pStyle w:val="BodyText"/>
        <w:spacing w:before="52"/>
        <w:rPr>
          <w:sz w:val="20"/>
        </w:rPr>
      </w:pPr>
    </w:p>
    <w:p w14:paraId="61CE255E" w14:textId="77777777" w:rsidR="006549F2" w:rsidRDefault="006549F2">
      <w:pPr>
        <w:pStyle w:val="BodyText"/>
        <w:spacing w:before="15"/>
        <w:rPr>
          <w:sz w:val="20"/>
        </w:rPr>
      </w:pPr>
    </w:p>
    <w:p w14:paraId="3C7C6D47" w14:textId="77777777" w:rsidR="006549F2" w:rsidRDefault="00157F65">
      <w:pPr>
        <w:spacing w:line="235" w:lineRule="auto"/>
        <w:ind w:left="415" w:right="402" w:hanging="5"/>
        <w:jc w:val="both"/>
        <w:rPr>
          <w:rFonts w:ascii="Arial"/>
          <w:b/>
          <w:sz w:val="19"/>
        </w:rPr>
      </w:pPr>
      <w:r>
        <w:rPr>
          <w:rFonts w:ascii="Arial"/>
          <w:b/>
          <w:sz w:val="19"/>
        </w:rPr>
        <w:t xml:space="preserve">To determine the potential for subclinical thyroidal actions as a contributing factor for hormonal regulation of energy balance and the development of obesity and metabolic syndrome, studies of resting and catecholamine stimulated metabolism, </w:t>
      </w:r>
      <w:r>
        <w:rPr>
          <w:rFonts w:ascii="Arial"/>
          <w:b/>
          <w:i/>
          <w:sz w:val="19"/>
        </w:rPr>
        <w:t xml:space="preserve">in vivo </w:t>
      </w:r>
      <w:r>
        <w:rPr>
          <w:rFonts w:ascii="Arial"/>
          <w:b/>
          <w:sz w:val="19"/>
        </w:rPr>
        <w:t xml:space="preserve">thyroid hormone half-life, thyroid hormone bind characteristics and weight gain, groups of lean and obese congenic </w:t>
      </w:r>
      <w:commentRangeStart w:id="0"/>
      <w:r w:rsidRPr="006951B8">
        <w:rPr>
          <w:rFonts w:ascii="Arial"/>
          <w:b/>
          <w:sz w:val="19"/>
          <w:highlight w:val="yellow"/>
        </w:rPr>
        <w:t>LA/</w:t>
      </w:r>
      <w:proofErr w:type="spellStart"/>
      <w:r w:rsidRPr="006951B8">
        <w:rPr>
          <w:rFonts w:ascii="Arial"/>
          <w:b/>
          <w:sz w:val="19"/>
          <w:highlight w:val="yellow"/>
        </w:rPr>
        <w:t>Ntul</w:t>
      </w:r>
      <w:proofErr w:type="spellEnd"/>
      <w:r w:rsidRPr="006951B8">
        <w:rPr>
          <w:rFonts w:ascii="Arial"/>
          <w:b/>
          <w:sz w:val="19"/>
          <w:highlight w:val="yellow"/>
        </w:rPr>
        <w:t>//-cp rats</w:t>
      </w:r>
      <w:r>
        <w:rPr>
          <w:rFonts w:ascii="Arial"/>
          <w:b/>
          <w:sz w:val="19"/>
        </w:rPr>
        <w:t xml:space="preserve"> </w:t>
      </w:r>
      <w:commentRangeEnd w:id="0"/>
      <w:r w:rsidR="00FB783E">
        <w:rPr>
          <w:rStyle w:val="CommentReference"/>
        </w:rPr>
        <w:commentReference w:id="0"/>
      </w:r>
      <w:r>
        <w:rPr>
          <w:rFonts w:ascii="Arial"/>
          <w:b/>
          <w:sz w:val="19"/>
        </w:rPr>
        <w:t xml:space="preserve">were offered stock or high energy diets and </w:t>
      </w:r>
      <w:r>
        <w:rPr>
          <w:rFonts w:ascii="Arial"/>
          <w:b/>
          <w:i/>
          <w:sz w:val="19"/>
        </w:rPr>
        <w:t xml:space="preserve">in vivo </w:t>
      </w:r>
      <w:r>
        <w:rPr>
          <w:rFonts w:ascii="Arial"/>
          <w:b/>
          <w:sz w:val="19"/>
        </w:rPr>
        <w:t xml:space="preserve">and </w:t>
      </w:r>
      <w:r>
        <w:rPr>
          <w:rFonts w:ascii="Arial"/>
          <w:b/>
          <w:i/>
          <w:sz w:val="19"/>
        </w:rPr>
        <w:t xml:space="preserve">in vitro </w:t>
      </w:r>
      <w:r>
        <w:rPr>
          <w:rFonts w:ascii="Arial"/>
          <w:b/>
          <w:sz w:val="19"/>
        </w:rPr>
        <w:t>parameters of thyroid hormone action determined. The obese phenotype demonstrated impaired thermic responses to diet and environment and cold induced thermoregulation, in association with decreases in plasma</w:t>
      </w:r>
      <w:r>
        <w:rPr>
          <w:rFonts w:ascii="Arial"/>
          <w:b/>
          <w:spacing w:val="80"/>
          <w:sz w:val="19"/>
        </w:rPr>
        <w:t xml:space="preserve"> </w:t>
      </w:r>
      <w:r>
        <w:rPr>
          <w:rFonts w:ascii="Arial"/>
          <w:b/>
          <w:sz w:val="19"/>
        </w:rPr>
        <w:t xml:space="preserve">T3 but not T4 concentrations. The plasma half-life of T4 was ~50% longer in obese than in lean littermates, while the half-life of T3 was similar in both phenotypes. Measures of nuclear thyroid hormone receptor density were similar in both phenotypes, but receptor affinity for T3 was diminished in the obese phenotype, consistent with impaired thyroidal actions as a contributing factor for subclinical hypothyroidism in the obese phenotype of this </w:t>
      </w:r>
      <w:r>
        <w:rPr>
          <w:rFonts w:ascii="Arial"/>
          <w:b/>
          <w:spacing w:val="-2"/>
          <w:sz w:val="19"/>
        </w:rPr>
        <w:t>strain.</w:t>
      </w:r>
    </w:p>
    <w:p w14:paraId="0C790660" w14:textId="77777777" w:rsidR="006549F2" w:rsidRDefault="00157F65">
      <w:pPr>
        <w:pStyle w:val="BodyText"/>
        <w:spacing w:before="213"/>
        <w:ind w:left="415"/>
        <w:jc w:val="both"/>
      </w:pPr>
      <w:r>
        <w:rPr>
          <w:rFonts w:ascii="Arial"/>
          <w:b/>
          <w:spacing w:val="-2"/>
        </w:rPr>
        <w:t>Keywords:</w:t>
      </w:r>
      <w:r>
        <w:rPr>
          <w:rFonts w:ascii="Arial"/>
          <w:b/>
          <w:spacing w:val="7"/>
        </w:rPr>
        <w:t xml:space="preserve"> </w:t>
      </w:r>
      <w:r>
        <w:rPr>
          <w:spacing w:val="-2"/>
        </w:rPr>
        <w:t>Obesity,</w:t>
      </w:r>
      <w:r>
        <w:rPr>
          <w:spacing w:val="10"/>
        </w:rPr>
        <w:t xml:space="preserve"> </w:t>
      </w:r>
      <w:commentRangeStart w:id="1"/>
      <w:proofErr w:type="spellStart"/>
      <w:r w:rsidRPr="006951B8">
        <w:rPr>
          <w:spacing w:val="-2"/>
          <w:highlight w:val="yellow"/>
        </w:rPr>
        <w:t>Hypothryoidism</w:t>
      </w:r>
      <w:commentRangeEnd w:id="1"/>
      <w:proofErr w:type="spellEnd"/>
      <w:r w:rsidR="0010525C">
        <w:rPr>
          <w:rStyle w:val="CommentReference"/>
        </w:rPr>
        <w:commentReference w:id="1"/>
      </w:r>
      <w:r>
        <w:rPr>
          <w:spacing w:val="-2"/>
        </w:rPr>
        <w:t>,</w:t>
      </w:r>
      <w:r>
        <w:rPr>
          <w:spacing w:val="10"/>
        </w:rPr>
        <w:t xml:space="preserve"> </w:t>
      </w:r>
      <w:r>
        <w:rPr>
          <w:spacing w:val="-2"/>
        </w:rPr>
        <w:t>Hyperinsulinemia,</w:t>
      </w:r>
      <w:r>
        <w:rPr>
          <w:spacing w:val="10"/>
        </w:rPr>
        <w:t xml:space="preserve"> </w:t>
      </w:r>
      <w:proofErr w:type="spellStart"/>
      <w:r>
        <w:rPr>
          <w:spacing w:val="-2"/>
        </w:rPr>
        <w:t>Hyperamylinemia</w:t>
      </w:r>
      <w:proofErr w:type="spellEnd"/>
      <w:r>
        <w:rPr>
          <w:spacing w:val="-2"/>
        </w:rPr>
        <w:t>,</w:t>
      </w:r>
      <w:r>
        <w:rPr>
          <w:spacing w:val="10"/>
        </w:rPr>
        <w:t xml:space="preserve"> </w:t>
      </w:r>
      <w:commentRangeStart w:id="2"/>
      <w:r w:rsidRPr="006951B8">
        <w:rPr>
          <w:spacing w:val="-2"/>
          <w:highlight w:val="yellow"/>
        </w:rPr>
        <w:t>Research</w:t>
      </w:r>
      <w:commentRangeEnd w:id="2"/>
      <w:r w:rsidR="0010525C">
        <w:rPr>
          <w:rStyle w:val="CommentReference"/>
        </w:rPr>
        <w:commentReference w:id="2"/>
      </w:r>
      <w:r>
        <w:rPr>
          <w:spacing w:val="-2"/>
        </w:rPr>
        <w:t>,</w:t>
      </w:r>
      <w:r>
        <w:rPr>
          <w:spacing w:val="10"/>
        </w:rPr>
        <w:t xml:space="preserve"> </w:t>
      </w:r>
      <w:r>
        <w:rPr>
          <w:spacing w:val="-4"/>
        </w:rPr>
        <w:t>Rats</w:t>
      </w:r>
    </w:p>
    <w:p w14:paraId="19F65297" w14:textId="77777777" w:rsidR="006549F2" w:rsidRDefault="006549F2">
      <w:pPr>
        <w:pStyle w:val="BodyText"/>
        <w:spacing w:before="25"/>
      </w:pPr>
    </w:p>
    <w:p w14:paraId="19CB29CC" w14:textId="77777777" w:rsidR="006549F2" w:rsidRDefault="00157F65">
      <w:pPr>
        <w:pStyle w:val="Heading1"/>
        <w:spacing w:before="1"/>
      </w:pPr>
      <w:r>
        <w:rPr>
          <w:spacing w:val="-2"/>
        </w:rPr>
        <w:t>INTRODUCTION</w:t>
      </w:r>
    </w:p>
    <w:p w14:paraId="220F40C4" w14:textId="77777777" w:rsidR="006549F2" w:rsidRDefault="006549F2">
      <w:pPr>
        <w:pStyle w:val="BodyText"/>
        <w:spacing w:before="9"/>
        <w:rPr>
          <w:rFonts w:ascii="Arial"/>
          <w:b/>
          <w:sz w:val="10"/>
        </w:rPr>
      </w:pPr>
    </w:p>
    <w:p w14:paraId="3E3467E2" w14:textId="77777777" w:rsidR="006549F2" w:rsidRDefault="006549F2">
      <w:pPr>
        <w:pStyle w:val="BodyText"/>
        <w:rPr>
          <w:rFonts w:ascii="Arial"/>
          <w:b/>
          <w:sz w:val="10"/>
        </w:rPr>
        <w:sectPr w:rsidR="006549F2">
          <w:headerReference w:type="even" r:id="rId10"/>
          <w:headerReference w:type="default" r:id="rId11"/>
          <w:footerReference w:type="even" r:id="rId12"/>
          <w:footerReference w:type="default" r:id="rId13"/>
          <w:headerReference w:type="first" r:id="rId14"/>
          <w:footerReference w:type="first" r:id="rId15"/>
          <w:type w:val="continuous"/>
          <w:pgSz w:w="11910" w:h="16860"/>
          <w:pgMar w:top="1220" w:right="283" w:bottom="280" w:left="425" w:header="720" w:footer="720" w:gutter="0"/>
          <w:cols w:space="720"/>
        </w:sectPr>
      </w:pPr>
    </w:p>
    <w:p w14:paraId="7B822A48" w14:textId="77777777" w:rsidR="006549F2" w:rsidRDefault="00157F65">
      <w:pPr>
        <w:pStyle w:val="BodyText"/>
        <w:spacing w:before="101" w:line="237" w:lineRule="auto"/>
        <w:ind w:left="441" w:right="38"/>
        <w:jc w:val="both"/>
      </w:pPr>
      <w:r>
        <w:t>Obesity and its pathophysiologic sequela</w:t>
      </w:r>
      <w:r>
        <w:rPr>
          <w:spacing w:val="-1"/>
        </w:rPr>
        <w:t xml:space="preserve"> </w:t>
      </w:r>
      <w:r>
        <w:t>have become a burgeoning</w:t>
      </w:r>
      <w:r>
        <w:rPr>
          <w:spacing w:val="-4"/>
        </w:rPr>
        <w:t xml:space="preserve"> </w:t>
      </w:r>
      <w:r>
        <w:t>medical</w:t>
      </w:r>
      <w:r>
        <w:rPr>
          <w:spacing w:val="-4"/>
        </w:rPr>
        <w:t xml:space="preserve"> </w:t>
      </w:r>
      <w:r>
        <w:t>issue</w:t>
      </w:r>
      <w:r>
        <w:rPr>
          <w:spacing w:val="-4"/>
        </w:rPr>
        <w:t xml:space="preserve"> </w:t>
      </w:r>
      <w:r>
        <w:t>not</w:t>
      </w:r>
      <w:r>
        <w:rPr>
          <w:spacing w:val="-4"/>
        </w:rPr>
        <w:t xml:space="preserve"> </w:t>
      </w:r>
      <w:r>
        <w:t>only</w:t>
      </w:r>
      <w:r>
        <w:rPr>
          <w:spacing w:val="-5"/>
        </w:rPr>
        <w:t xml:space="preserve"> </w:t>
      </w:r>
      <w:r>
        <w:t>in</w:t>
      </w:r>
      <w:r>
        <w:rPr>
          <w:spacing w:val="-4"/>
        </w:rPr>
        <w:t xml:space="preserve"> </w:t>
      </w:r>
      <w:r>
        <w:t>Africa</w:t>
      </w:r>
      <w:r>
        <w:rPr>
          <w:spacing w:val="-4"/>
        </w:rPr>
        <w:t xml:space="preserve"> </w:t>
      </w:r>
      <w:r>
        <w:t>but</w:t>
      </w:r>
      <w:r>
        <w:rPr>
          <w:spacing w:val="-1"/>
        </w:rPr>
        <w:t xml:space="preserve"> </w:t>
      </w:r>
      <w:r>
        <w:t>worldwide [1].</w:t>
      </w:r>
      <w:r>
        <w:rPr>
          <w:spacing w:val="-2"/>
        </w:rPr>
        <w:t xml:space="preserve"> </w:t>
      </w:r>
      <w:r>
        <w:t>Patients</w:t>
      </w:r>
      <w:r>
        <w:rPr>
          <w:spacing w:val="-2"/>
        </w:rPr>
        <w:t xml:space="preserve"> </w:t>
      </w:r>
      <w:r>
        <w:t>often</w:t>
      </w:r>
      <w:r>
        <w:rPr>
          <w:spacing w:val="-2"/>
        </w:rPr>
        <w:t xml:space="preserve"> </w:t>
      </w:r>
      <w:r>
        <w:t>experiment</w:t>
      </w:r>
      <w:r>
        <w:rPr>
          <w:spacing w:val="-2"/>
        </w:rPr>
        <w:t xml:space="preserve"> </w:t>
      </w:r>
      <w:r>
        <w:t>with</w:t>
      </w:r>
      <w:r>
        <w:rPr>
          <w:spacing w:val="-2"/>
        </w:rPr>
        <w:t xml:space="preserve"> </w:t>
      </w:r>
      <w:r>
        <w:t>any</w:t>
      </w:r>
      <w:r>
        <w:rPr>
          <w:spacing w:val="-2"/>
        </w:rPr>
        <w:t xml:space="preserve"> </w:t>
      </w:r>
      <w:r>
        <w:t>number</w:t>
      </w:r>
      <w:r>
        <w:rPr>
          <w:spacing w:val="-2"/>
        </w:rPr>
        <w:t xml:space="preserve"> </w:t>
      </w:r>
      <w:r>
        <w:t>of</w:t>
      </w:r>
      <w:r>
        <w:rPr>
          <w:spacing w:val="-2"/>
        </w:rPr>
        <w:t xml:space="preserve"> </w:t>
      </w:r>
      <w:r>
        <w:t>a</w:t>
      </w:r>
      <w:r>
        <w:rPr>
          <w:spacing w:val="-2"/>
        </w:rPr>
        <w:t xml:space="preserve"> </w:t>
      </w:r>
      <w:r>
        <w:t>broad assortment</w:t>
      </w:r>
      <w:r>
        <w:rPr>
          <w:spacing w:val="-4"/>
        </w:rPr>
        <w:t xml:space="preserve"> </w:t>
      </w:r>
      <w:r>
        <w:t>of</w:t>
      </w:r>
      <w:r>
        <w:rPr>
          <w:spacing w:val="-4"/>
        </w:rPr>
        <w:t xml:space="preserve"> </w:t>
      </w:r>
      <w:r>
        <w:t>dietary</w:t>
      </w:r>
      <w:r>
        <w:rPr>
          <w:spacing w:val="-4"/>
        </w:rPr>
        <w:t xml:space="preserve"> </w:t>
      </w:r>
      <w:r>
        <w:t>and</w:t>
      </w:r>
      <w:r>
        <w:rPr>
          <w:spacing w:val="-4"/>
        </w:rPr>
        <w:t xml:space="preserve"> </w:t>
      </w:r>
      <w:r>
        <w:t>exercise</w:t>
      </w:r>
      <w:r>
        <w:rPr>
          <w:spacing w:val="-2"/>
        </w:rPr>
        <w:t xml:space="preserve"> </w:t>
      </w:r>
      <w:r>
        <w:t>approaches</w:t>
      </w:r>
      <w:r>
        <w:rPr>
          <w:spacing w:val="-4"/>
        </w:rPr>
        <w:t xml:space="preserve"> </w:t>
      </w:r>
      <w:r>
        <w:t>to</w:t>
      </w:r>
      <w:r>
        <w:rPr>
          <w:spacing w:val="-4"/>
        </w:rPr>
        <w:t xml:space="preserve"> </w:t>
      </w:r>
      <w:r>
        <w:t xml:space="preserve">resolve their body weight and other issues often with little or no lasting success. While obese and overweight patients may sometimes </w:t>
      </w:r>
      <w:proofErr w:type="gramStart"/>
      <w:r>
        <w:t>present with</w:t>
      </w:r>
      <w:proofErr w:type="gramEnd"/>
      <w:r>
        <w:t xml:space="preserve"> symptoms suggestive of disordered carbohydrate metabolism and thyroidal parameters including hypothyroidism, the usual routine </w:t>
      </w:r>
      <w:commentRangeStart w:id="3"/>
      <w:r w:rsidRPr="006951B8">
        <w:rPr>
          <w:highlight w:val="yellow"/>
        </w:rPr>
        <w:t>thyroid battery of labs</w:t>
      </w:r>
      <w:r>
        <w:t xml:space="preserve"> </w:t>
      </w:r>
      <w:commentRangeEnd w:id="3"/>
      <w:r w:rsidR="0010525C">
        <w:rPr>
          <w:rStyle w:val="CommentReference"/>
        </w:rPr>
        <w:commentReference w:id="3"/>
      </w:r>
      <w:r>
        <w:t xml:space="preserve">come back, they may identify markers of insulin </w:t>
      </w:r>
      <w:proofErr w:type="gramStart"/>
      <w:r>
        <w:t>resistance, but</w:t>
      </w:r>
      <w:proofErr w:type="gramEnd"/>
      <w:r>
        <w:t xml:space="preserve"> often fail to identify any obvious abnormal findings in their hypothalamic-thyroidal </w:t>
      </w:r>
      <w:r>
        <w:rPr>
          <w:spacing w:val="-2"/>
        </w:rPr>
        <w:t>axis.</w:t>
      </w:r>
    </w:p>
    <w:p w14:paraId="4B9CFC8C" w14:textId="77777777" w:rsidR="006549F2" w:rsidRDefault="00157F65">
      <w:pPr>
        <w:pStyle w:val="BodyText"/>
        <w:spacing w:before="7"/>
        <w:rPr>
          <w:sz w:val="5"/>
        </w:rPr>
      </w:pPr>
      <w:r>
        <w:rPr>
          <w:noProof/>
          <w:sz w:val="5"/>
        </w:rPr>
        <mc:AlternateContent>
          <mc:Choice Requires="wps">
            <w:drawing>
              <wp:anchor distT="0" distB="0" distL="0" distR="0" simplePos="0" relativeHeight="487588352" behindDoc="1" locked="0" layoutInCell="1" allowOverlap="1" wp14:anchorId="27D488CF" wp14:editId="1F91470A">
                <wp:simplePos x="0" y="0"/>
                <wp:positionH relativeFrom="page">
                  <wp:posOffset>536575</wp:posOffset>
                </wp:positionH>
                <wp:positionV relativeFrom="paragraph">
                  <wp:posOffset>56021</wp:posOffset>
                </wp:positionV>
                <wp:extent cx="20478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1270"/>
                        </a:xfrm>
                        <a:custGeom>
                          <a:avLst/>
                          <a:gdLst/>
                          <a:ahLst/>
                          <a:cxnLst/>
                          <a:rect l="l" t="t" r="r" b="b"/>
                          <a:pathLst>
                            <a:path w="2047875">
                              <a:moveTo>
                                <a:pt x="0" y="0"/>
                              </a:moveTo>
                              <a:lnTo>
                                <a:pt x="20478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8B036" id="Graphic 15" o:spid="_x0000_s1026" style="position:absolute;margin-left:42.25pt;margin-top:4.4pt;width:161.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04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" path="m,l2047875,e" filled="f">
                <v:path arrowok="t"/>
                <w10:wrap type="topAndBottom" anchorx="page"/>
              </v:shape>
            </w:pict>
          </mc:Fallback>
        </mc:AlternateContent>
      </w:r>
    </w:p>
    <w:p w14:paraId="60917261" w14:textId="77777777" w:rsidR="002035D6" w:rsidRDefault="002035D6">
      <w:pPr>
        <w:pStyle w:val="BodyText"/>
        <w:spacing w:before="101" w:line="237" w:lineRule="auto"/>
        <w:ind w:left="368" w:right="402"/>
        <w:jc w:val="both"/>
      </w:pPr>
    </w:p>
    <w:p w14:paraId="46DDE62E" w14:textId="77777777" w:rsidR="006549F2" w:rsidRDefault="00157F65">
      <w:pPr>
        <w:pStyle w:val="BodyText"/>
        <w:spacing w:before="101" w:line="237" w:lineRule="auto"/>
        <w:ind w:left="368" w:right="402"/>
        <w:jc w:val="both"/>
      </w:pPr>
      <w:r>
        <w:br w:type="column"/>
      </w:r>
      <w:r>
        <w:t>However, when we turn to the findings in animal studies</w:t>
      </w:r>
      <w:r>
        <w:rPr>
          <w:spacing w:val="40"/>
        </w:rPr>
        <w:t xml:space="preserve"> </w:t>
      </w:r>
      <w:r>
        <w:t>we may discover a possible basis for the patients’</w:t>
      </w:r>
      <w:r>
        <w:rPr>
          <w:spacing w:val="40"/>
        </w:rPr>
        <w:t xml:space="preserve"> </w:t>
      </w:r>
      <w:r>
        <w:t xml:space="preserve">apparent symptomology. Laurberg, </w:t>
      </w:r>
      <w:r w:rsidRPr="006951B8">
        <w:rPr>
          <w:highlight w:val="yellow"/>
        </w:rPr>
        <w:t>et al.,</w:t>
      </w:r>
      <w:r>
        <w:t xml:space="preserve"> noted that small differences in thyroid function alone have been associated with up to a 5 kg annual difference in body weight [2]. A syndrome</w:t>
      </w:r>
      <w:r>
        <w:rPr>
          <w:spacing w:val="-2"/>
        </w:rPr>
        <w:t xml:space="preserve"> </w:t>
      </w:r>
      <w:r>
        <w:t>of</w:t>
      </w:r>
      <w:r>
        <w:rPr>
          <w:spacing w:val="-1"/>
        </w:rPr>
        <w:t xml:space="preserve"> </w:t>
      </w:r>
      <w:r>
        <w:t>carbohydrate</w:t>
      </w:r>
      <w:r>
        <w:rPr>
          <w:spacing w:val="-2"/>
        </w:rPr>
        <w:t xml:space="preserve"> </w:t>
      </w:r>
      <w:r>
        <w:t>sensitivity</w:t>
      </w:r>
      <w:r>
        <w:rPr>
          <w:spacing w:val="-2"/>
        </w:rPr>
        <w:t xml:space="preserve"> </w:t>
      </w:r>
      <w:r>
        <w:t>may</w:t>
      </w:r>
      <w:r>
        <w:rPr>
          <w:spacing w:val="-4"/>
        </w:rPr>
        <w:t xml:space="preserve"> </w:t>
      </w:r>
      <w:r>
        <w:t>also</w:t>
      </w:r>
      <w:r>
        <w:rPr>
          <w:spacing w:val="-2"/>
        </w:rPr>
        <w:t xml:space="preserve"> </w:t>
      </w:r>
      <w:r>
        <w:t>be</w:t>
      </w:r>
      <w:r>
        <w:rPr>
          <w:spacing w:val="-2"/>
        </w:rPr>
        <w:t xml:space="preserve"> </w:t>
      </w:r>
      <w:r>
        <w:t>reported by some patients while attempting to control their ease of weight gain, but even after careful monitoring of the types and amounts of carbohydrates consumed, patients may still often report lingering weight control issues but which fall in the category of overweight but well short of that required for a diagnosis of metabolic syndrome on initial presentation [3,4].</w:t>
      </w:r>
    </w:p>
    <w:p w14:paraId="49D43E9D" w14:textId="77777777" w:rsidR="006549F2" w:rsidRDefault="006549F2">
      <w:pPr>
        <w:pStyle w:val="BodyText"/>
        <w:spacing w:line="237" w:lineRule="auto"/>
        <w:jc w:val="both"/>
        <w:sectPr w:rsidR="006549F2">
          <w:type w:val="continuous"/>
          <w:pgSz w:w="11910" w:h="16860"/>
          <w:pgMar w:top="1220" w:right="283" w:bottom="280" w:left="425" w:header="720" w:footer="720" w:gutter="0"/>
          <w:cols w:num="2" w:space="720" w:equalWidth="0">
            <w:col w:w="5312" w:space="183"/>
            <w:col w:w="5707"/>
          </w:cols>
        </w:sectPr>
      </w:pPr>
    </w:p>
    <w:p w14:paraId="6E72E6F2" w14:textId="77777777" w:rsidR="006549F2" w:rsidRDefault="006549F2">
      <w:pPr>
        <w:pStyle w:val="BodyText"/>
        <w:spacing w:before="187"/>
      </w:pPr>
    </w:p>
    <w:p w14:paraId="4912D0EB" w14:textId="77777777" w:rsidR="006549F2" w:rsidRDefault="00157F65">
      <w:pPr>
        <w:pStyle w:val="BodyText"/>
        <w:spacing w:line="232" w:lineRule="auto"/>
        <w:ind w:left="441" w:right="40"/>
        <w:jc w:val="both"/>
      </w:pPr>
      <w:r>
        <w:t xml:space="preserve">The extent to which disorders in glucose uptake and oxidation </w:t>
      </w:r>
      <w:r>
        <w:rPr>
          <w:rFonts w:ascii="Arial"/>
          <w:i/>
          <w:sz w:val="20"/>
        </w:rPr>
        <w:t xml:space="preserve">via </w:t>
      </w:r>
      <w:r>
        <w:t>down regulation of insulin-dependent GLUT4 transporter expression and activity in skeletal muscle and other peripheral tissues projects yet an additional complication without an easy resolution for the obese individual.</w:t>
      </w:r>
    </w:p>
    <w:p w14:paraId="71E59CB6" w14:textId="77777777" w:rsidR="006549F2" w:rsidRDefault="006549F2">
      <w:pPr>
        <w:pStyle w:val="BodyText"/>
        <w:spacing w:before="100"/>
      </w:pPr>
    </w:p>
    <w:p w14:paraId="10B9EE0D" w14:textId="77777777" w:rsidR="006549F2" w:rsidRDefault="00157F65">
      <w:pPr>
        <w:pStyle w:val="Heading1"/>
        <w:jc w:val="both"/>
      </w:pPr>
      <w:r>
        <w:t>LITERATURE</w:t>
      </w:r>
      <w:r>
        <w:rPr>
          <w:spacing w:val="-6"/>
        </w:rPr>
        <w:t xml:space="preserve"> </w:t>
      </w:r>
      <w:r>
        <w:rPr>
          <w:spacing w:val="-2"/>
        </w:rPr>
        <w:t>REVIEW</w:t>
      </w:r>
    </w:p>
    <w:p w14:paraId="47EE2CFB" w14:textId="77777777" w:rsidR="006549F2" w:rsidRDefault="006549F2">
      <w:pPr>
        <w:pStyle w:val="BodyText"/>
        <w:spacing w:before="99"/>
        <w:rPr>
          <w:rFonts w:ascii="Arial"/>
          <w:b/>
          <w:sz w:val="20"/>
        </w:rPr>
      </w:pPr>
    </w:p>
    <w:p w14:paraId="1740853C" w14:textId="77777777" w:rsidR="006549F2" w:rsidRDefault="00157F65">
      <w:pPr>
        <w:pStyle w:val="BodyText"/>
        <w:spacing w:line="235" w:lineRule="auto"/>
        <w:ind w:left="441" w:right="38"/>
        <w:jc w:val="both"/>
      </w:pPr>
      <w:r>
        <w:t xml:space="preserve">Animal studies may hold a clue for the easy weight gain phenomena. In several strains of genetically obese rodents, where the epigenetic expression of obesity usually occurs </w:t>
      </w:r>
      <w:r>
        <w:rPr>
          <w:rFonts w:ascii="Arial"/>
          <w:i/>
          <w:sz w:val="20"/>
        </w:rPr>
        <w:t xml:space="preserve">via </w:t>
      </w:r>
      <w:r>
        <w:t xml:space="preserve">an autosomal recessive trait, </w:t>
      </w:r>
      <w:r w:rsidRPr="006951B8">
        <w:rPr>
          <w:highlight w:val="yellow"/>
        </w:rPr>
        <w:t>we</w:t>
      </w:r>
      <w:r>
        <w:t xml:space="preserve"> often note that disordered parameters of thyroid hormone activity may lead us to a possible explanation for the apparent clinical dilemma experienced by the above- referenced patients. </w:t>
      </w:r>
      <w:commentRangeStart w:id="4"/>
      <w:r w:rsidRPr="006951B8">
        <w:rPr>
          <w:highlight w:val="yellow"/>
        </w:rPr>
        <w:t>5</w:t>
      </w:r>
      <w:commentRangeEnd w:id="4"/>
      <w:r w:rsidR="0010525C">
        <w:rPr>
          <w:rStyle w:val="CommentReference"/>
        </w:rPr>
        <w:commentReference w:id="4"/>
      </w:r>
      <w:r>
        <w:t xml:space="preserve"> During early growth (preweaning,</w:t>
      </w:r>
      <w:r>
        <w:rPr>
          <w:spacing w:val="40"/>
        </w:rPr>
        <w:t xml:space="preserve"> </w:t>
      </w:r>
      <w:r>
        <w:t>1 to 21 days of age), the lean phenotype and pre-obese offspring of parental strains that carry the recessive trait appear of normal weight and outward dimensions. However, during the postweaning growth phase (21-42 days of age in rodents) the obese phenotype begins to visibly and progressively express the oncoming signs of obesity</w:t>
      </w:r>
      <w:r>
        <w:rPr>
          <w:spacing w:val="-3"/>
        </w:rPr>
        <w:t xml:space="preserve"> </w:t>
      </w:r>
      <w:r>
        <w:rPr>
          <w:rFonts w:ascii="Arial"/>
          <w:i/>
          <w:sz w:val="20"/>
        </w:rPr>
        <w:t>via</w:t>
      </w:r>
      <w:r>
        <w:rPr>
          <w:rFonts w:ascii="Arial"/>
          <w:i/>
          <w:spacing w:val="-9"/>
          <w:sz w:val="20"/>
        </w:rPr>
        <w:t xml:space="preserve"> </w:t>
      </w:r>
      <w:r>
        <w:t>relative</w:t>
      </w:r>
      <w:r>
        <w:rPr>
          <w:spacing w:val="-3"/>
        </w:rPr>
        <w:t xml:space="preserve"> </w:t>
      </w:r>
      <w:r>
        <w:t>hyperphagia</w:t>
      </w:r>
      <w:r>
        <w:rPr>
          <w:spacing w:val="-3"/>
        </w:rPr>
        <w:t xml:space="preserve"> </w:t>
      </w:r>
      <w:r>
        <w:t>of</w:t>
      </w:r>
      <w:r>
        <w:rPr>
          <w:spacing w:val="-3"/>
        </w:rPr>
        <w:t xml:space="preserve"> </w:t>
      </w:r>
      <w:r>
        <w:t>an</w:t>
      </w:r>
      <w:r>
        <w:rPr>
          <w:spacing w:val="-3"/>
        </w:rPr>
        <w:t xml:space="preserve"> </w:t>
      </w:r>
      <w:r>
        <w:t>unconfirmed</w:t>
      </w:r>
      <w:r>
        <w:rPr>
          <w:spacing w:val="-3"/>
        </w:rPr>
        <w:t xml:space="preserve"> </w:t>
      </w:r>
      <w:r>
        <w:t>origin, greater physical and circumferential dimensions and an altered stance and gait [5,6]. During the adolescence growth phase (over 42 days of age), the physical and clinical markers indicative of the obese phenotype become well established, while growth and development of the lean phenotype is physiologically and physically unremarkable in animals that are both homozygous or heterozygous for the lean phenotype trait. During the post-pubertal growth period, the hormonal and biochemical parameters become suggestive of the biochemical pathways and physiologic mechanisms that will culminate in their hyperphagia and obesity</w:t>
      </w:r>
      <w:r>
        <w:rPr>
          <w:spacing w:val="40"/>
        </w:rPr>
        <w:t xml:space="preserve"> </w:t>
      </w:r>
      <w:r>
        <w:t>phenotype, regardless of the dietary or environmental conditions imposed.</w:t>
      </w:r>
    </w:p>
    <w:p w14:paraId="2143FF6D" w14:textId="77777777" w:rsidR="006549F2" w:rsidRDefault="00157F65">
      <w:pPr>
        <w:pStyle w:val="BodyText"/>
        <w:spacing w:before="116" w:line="235" w:lineRule="auto"/>
        <w:ind w:left="441" w:right="38"/>
        <w:jc w:val="both"/>
      </w:pPr>
      <w:r>
        <w:t>Pair feeding to their lean littermates in lean and obese LA/</w:t>
      </w:r>
      <w:proofErr w:type="spellStart"/>
      <w:r>
        <w:t>Ntul</w:t>
      </w:r>
      <w:proofErr w:type="spellEnd"/>
      <w:r>
        <w:t>//-cp rats and up to 2 hours of vigorous running wheel activity per day did not prevent the further progression of obesity in the obese phenotype. In addition, upon attaining adulthood, the metabolic parameters indicative of the obese state including measures of plasma T3, resting and norepinephrine stimulated</w:t>
      </w:r>
      <w:r>
        <w:rPr>
          <w:spacing w:val="-6"/>
        </w:rPr>
        <w:t xml:space="preserve"> </w:t>
      </w:r>
      <w:r>
        <w:t>metabolic</w:t>
      </w:r>
      <w:r>
        <w:rPr>
          <w:spacing w:val="-6"/>
        </w:rPr>
        <w:t xml:space="preserve"> </w:t>
      </w:r>
      <w:r>
        <w:t>rates</w:t>
      </w:r>
      <w:r>
        <w:rPr>
          <w:spacing w:val="-4"/>
        </w:rPr>
        <w:t xml:space="preserve"> </w:t>
      </w:r>
      <w:r>
        <w:t>and</w:t>
      </w:r>
      <w:r>
        <w:rPr>
          <w:spacing w:val="-6"/>
        </w:rPr>
        <w:t xml:space="preserve"> </w:t>
      </w:r>
      <w:proofErr w:type="spellStart"/>
      <w:r>
        <w:t>Vanilmandelic</w:t>
      </w:r>
      <w:proofErr w:type="spellEnd"/>
      <w:r>
        <w:rPr>
          <w:spacing w:val="-6"/>
        </w:rPr>
        <w:t xml:space="preserve"> </w:t>
      </w:r>
      <w:r>
        <w:t>Acid</w:t>
      </w:r>
      <w:r>
        <w:rPr>
          <w:spacing w:val="-5"/>
        </w:rPr>
        <w:t xml:space="preserve"> </w:t>
      </w:r>
      <w:r>
        <w:t>(VMA) excretion as a measure of overall sympathetic activity, became decreased in comparison to the same parameters in their lean littermates. In addition,</w:t>
      </w:r>
      <w:r>
        <w:rPr>
          <w:spacing w:val="40"/>
        </w:rPr>
        <w:t xml:space="preserve"> </w:t>
      </w:r>
      <w:r>
        <w:t>elevations in both plasma insulin and amylin were found to</w:t>
      </w:r>
      <w:r>
        <w:rPr>
          <w:spacing w:val="-2"/>
        </w:rPr>
        <w:t xml:space="preserve"> </w:t>
      </w:r>
      <w:r>
        <w:t>be</w:t>
      </w:r>
      <w:r>
        <w:rPr>
          <w:spacing w:val="-2"/>
        </w:rPr>
        <w:t xml:space="preserve"> </w:t>
      </w:r>
      <w:r>
        <w:t>increased</w:t>
      </w:r>
      <w:r>
        <w:rPr>
          <w:spacing w:val="-2"/>
        </w:rPr>
        <w:t xml:space="preserve"> </w:t>
      </w:r>
      <w:r>
        <w:t>in</w:t>
      </w:r>
      <w:r>
        <w:rPr>
          <w:spacing w:val="-2"/>
        </w:rPr>
        <w:t xml:space="preserve"> </w:t>
      </w:r>
      <w:r>
        <w:t>the</w:t>
      </w:r>
      <w:r>
        <w:rPr>
          <w:spacing w:val="-2"/>
        </w:rPr>
        <w:t xml:space="preserve"> </w:t>
      </w:r>
      <w:r>
        <w:t>obese</w:t>
      </w:r>
      <w:r>
        <w:rPr>
          <w:spacing w:val="-2"/>
        </w:rPr>
        <w:t xml:space="preserve"> </w:t>
      </w:r>
      <w:r>
        <w:t>phenotype, leading</w:t>
      </w:r>
      <w:r>
        <w:rPr>
          <w:spacing w:val="-2"/>
        </w:rPr>
        <w:t xml:space="preserve"> </w:t>
      </w:r>
      <w:r>
        <w:t>to</w:t>
      </w:r>
      <w:r>
        <w:rPr>
          <w:spacing w:val="-2"/>
        </w:rPr>
        <w:t xml:space="preserve"> </w:t>
      </w:r>
      <w:r>
        <w:t xml:space="preserve">states of insulin and amylin resistance in the obese phenotype, also consistent with especially common stigmata including visceral obesity in humans [7-9]. Parameters of energy expenditure have long been known to be heavily influenced </w:t>
      </w:r>
      <w:r>
        <w:rPr>
          <w:rFonts w:ascii="Arial"/>
          <w:i/>
          <w:sz w:val="20"/>
        </w:rPr>
        <w:t xml:space="preserve">via </w:t>
      </w:r>
      <w:r>
        <w:t>hormonal regulation, including measures</w:t>
      </w:r>
      <w:r>
        <w:rPr>
          <w:spacing w:val="40"/>
        </w:rPr>
        <w:t xml:space="preserve"> </w:t>
      </w:r>
      <w:r>
        <w:t>of sympathetic, thyroidal and Insulin actions.</w:t>
      </w:r>
      <w:r>
        <w:rPr>
          <w:spacing w:val="40"/>
        </w:rPr>
        <w:t xml:space="preserve"> </w:t>
      </w:r>
      <w:r>
        <w:t xml:space="preserve">Marette, </w:t>
      </w:r>
      <w:r w:rsidRPr="006951B8">
        <w:rPr>
          <w:highlight w:val="yellow"/>
        </w:rPr>
        <w:t>et a</w:t>
      </w:r>
      <w:r>
        <w:t>l, have reported that the expression of the insulin- dependent</w:t>
      </w:r>
      <w:r>
        <w:rPr>
          <w:spacing w:val="-4"/>
        </w:rPr>
        <w:t xml:space="preserve"> </w:t>
      </w:r>
      <w:r>
        <w:t>GLUT4</w:t>
      </w:r>
      <w:r>
        <w:rPr>
          <w:spacing w:val="-4"/>
        </w:rPr>
        <w:t xml:space="preserve"> </w:t>
      </w:r>
      <w:r>
        <w:t>glucose</w:t>
      </w:r>
      <w:r>
        <w:rPr>
          <w:spacing w:val="-4"/>
        </w:rPr>
        <w:t xml:space="preserve"> </w:t>
      </w:r>
      <w:r>
        <w:t>transporter</w:t>
      </w:r>
      <w:r>
        <w:rPr>
          <w:spacing w:val="-4"/>
        </w:rPr>
        <w:t xml:space="preserve"> </w:t>
      </w:r>
      <w:r>
        <w:t>was</w:t>
      </w:r>
      <w:r>
        <w:rPr>
          <w:spacing w:val="-5"/>
        </w:rPr>
        <w:t xml:space="preserve"> </w:t>
      </w:r>
      <w:r>
        <w:t>decreased</w:t>
      </w:r>
      <w:r>
        <w:rPr>
          <w:spacing w:val="-4"/>
        </w:rPr>
        <w:t xml:space="preserve"> </w:t>
      </w:r>
      <w:r>
        <w:t>by an average of 40% in skeletal muscle in obese corpulent rats, a major contribution to insulin resistance in the obese state [10,11].</w:t>
      </w:r>
    </w:p>
    <w:p w14:paraId="48AACE04" w14:textId="77777777" w:rsidR="006549F2" w:rsidRDefault="00157F65">
      <w:pPr>
        <w:pStyle w:val="BodyText"/>
        <w:spacing w:before="121" w:line="237" w:lineRule="auto"/>
        <w:ind w:left="441" w:right="42"/>
        <w:jc w:val="both"/>
      </w:pPr>
      <w:r>
        <w:t xml:space="preserve">The expression of </w:t>
      </w:r>
      <w:commentRangeStart w:id="5"/>
      <w:proofErr w:type="spellStart"/>
      <w:r w:rsidRPr="006951B8">
        <w:rPr>
          <w:highlight w:val="yellow"/>
        </w:rPr>
        <w:t>nonshivering</w:t>
      </w:r>
      <w:proofErr w:type="spellEnd"/>
      <w:r>
        <w:t xml:space="preserve"> </w:t>
      </w:r>
      <w:commentRangeEnd w:id="5"/>
      <w:r w:rsidR="0010525C">
        <w:rPr>
          <w:rStyle w:val="CommentReference"/>
        </w:rPr>
        <w:commentReference w:id="5"/>
      </w:r>
      <w:r>
        <w:t xml:space="preserve">thermogenesis in mammalian species occurs </w:t>
      </w:r>
      <w:proofErr w:type="gramStart"/>
      <w:r>
        <w:t>to a large extent</w:t>
      </w:r>
      <w:proofErr w:type="gramEnd"/>
      <w:r>
        <w:t xml:space="preserve"> in brown adipose tissue in addition to thermogenic activities in </w:t>
      </w:r>
      <w:r>
        <w:t>skeletal</w:t>
      </w:r>
      <w:r>
        <w:rPr>
          <w:spacing w:val="12"/>
        </w:rPr>
        <w:t xml:space="preserve"> </w:t>
      </w:r>
      <w:r>
        <w:t>muscle</w:t>
      </w:r>
      <w:r>
        <w:rPr>
          <w:spacing w:val="11"/>
        </w:rPr>
        <w:t xml:space="preserve"> </w:t>
      </w:r>
      <w:r>
        <w:t>and</w:t>
      </w:r>
      <w:r>
        <w:rPr>
          <w:spacing w:val="11"/>
        </w:rPr>
        <w:t xml:space="preserve"> </w:t>
      </w:r>
      <w:r>
        <w:t>liver</w:t>
      </w:r>
      <w:r>
        <w:rPr>
          <w:spacing w:val="12"/>
        </w:rPr>
        <w:t xml:space="preserve"> </w:t>
      </w:r>
      <w:r>
        <w:t>tissues.</w:t>
      </w:r>
      <w:r>
        <w:rPr>
          <w:spacing w:val="11"/>
        </w:rPr>
        <w:t xml:space="preserve"> </w:t>
      </w:r>
      <w:r>
        <w:t>In</w:t>
      </w:r>
      <w:r>
        <w:rPr>
          <w:spacing w:val="11"/>
        </w:rPr>
        <w:t xml:space="preserve"> </w:t>
      </w:r>
      <w:r>
        <w:t>rodents,</w:t>
      </w:r>
      <w:r>
        <w:rPr>
          <w:spacing w:val="11"/>
        </w:rPr>
        <w:t xml:space="preserve"> </w:t>
      </w:r>
      <w:r>
        <w:rPr>
          <w:spacing w:val="-2"/>
        </w:rPr>
        <w:t>dissections</w:t>
      </w:r>
    </w:p>
    <w:p w14:paraId="5BAE4BFD" w14:textId="77777777" w:rsidR="006549F2" w:rsidRDefault="00157F65">
      <w:pPr>
        <w:pStyle w:val="BodyText"/>
        <w:spacing w:before="89" w:line="235" w:lineRule="auto"/>
        <w:ind w:left="441" w:right="401"/>
        <w:jc w:val="both"/>
      </w:pPr>
      <w:r>
        <w:br w:type="column"/>
      </w:r>
      <w:r>
        <w:lastRenderedPageBreak/>
        <w:t xml:space="preserve">of the interscapular brown fat depot (IBAT), including determinations of IBAT mass and cellularity were consistently greater in the obese phenotype of several strains of genetically obese rats. The increases in IBAT mass and cellularity in the cited studies were disproportionate to the diminished </w:t>
      </w:r>
      <w:commentRangeStart w:id="6"/>
      <w:r w:rsidRPr="009823E4">
        <w:rPr>
          <w:highlight w:val="yellow"/>
        </w:rPr>
        <w:t>RMR</w:t>
      </w:r>
      <w:r>
        <w:t xml:space="preserve"> </w:t>
      </w:r>
      <w:commentRangeEnd w:id="6"/>
      <w:r w:rsidR="0010525C">
        <w:rPr>
          <w:rStyle w:val="CommentReference"/>
        </w:rPr>
        <w:commentReference w:id="6"/>
      </w:r>
      <w:r>
        <w:t xml:space="preserve">and thermic responses to adrenergic stimulation observed among the obese rat strains. It is noteworthy that early </w:t>
      </w:r>
      <w:r>
        <w:rPr>
          <w:sz w:val="20"/>
        </w:rPr>
        <w:t xml:space="preserve">overnutrition imposed </w:t>
      </w:r>
      <w:r>
        <w:rPr>
          <w:rFonts w:ascii="Arial"/>
          <w:i/>
          <w:sz w:val="21"/>
        </w:rPr>
        <w:t>via</w:t>
      </w:r>
      <w:r>
        <w:rPr>
          <w:rFonts w:ascii="Arial"/>
          <w:i/>
          <w:spacing w:val="-2"/>
          <w:sz w:val="21"/>
        </w:rPr>
        <w:t xml:space="preserve"> </w:t>
      </w:r>
      <w:r>
        <w:rPr>
          <w:sz w:val="20"/>
        </w:rPr>
        <w:t xml:space="preserve">a highly palatable cafeteria diet </w:t>
      </w:r>
      <w:r>
        <w:t>to normally lean rats during postweaning growth (21 to 42 days postweaning) resulted in significant elevations in IBAT mass and cellularity, resting and norepinephrine</w:t>
      </w:r>
      <w:r>
        <w:rPr>
          <w:spacing w:val="40"/>
        </w:rPr>
        <w:t xml:space="preserve"> </w:t>
      </w:r>
      <w:r>
        <w:t xml:space="preserve">stimulated thermogenesis and in </w:t>
      </w:r>
      <w:proofErr w:type="spellStart"/>
      <w:r>
        <w:t>Vanilmandelic</w:t>
      </w:r>
      <w:proofErr w:type="spellEnd"/>
      <w:r>
        <w:t xml:space="preserve"> Acid (VMA) and plasma T3 [12].</w:t>
      </w:r>
    </w:p>
    <w:p w14:paraId="48A60F43" w14:textId="77777777" w:rsidR="006549F2" w:rsidRDefault="00157F65">
      <w:pPr>
        <w:pStyle w:val="BodyText"/>
        <w:spacing w:before="105" w:line="237" w:lineRule="auto"/>
        <w:ind w:left="441" w:right="401"/>
        <w:jc w:val="both"/>
      </w:pPr>
      <w:r>
        <w:t xml:space="preserve">The commonly observed hyperinsulinemia among obese human and animal subjects is also long associated with varying magnitudes of insulin resistance, which negatively impacts on carbohydrate, lipid and protein energy metabolism. These excursions include aspects of glucose, lipid and amino acid homeostasis and modulation of the rate of insulin regulated protein turnover, the most biochemically and energetically expensive of the three macronutrient sources [13]. </w:t>
      </w:r>
      <w:commentRangeStart w:id="7"/>
      <w:r w:rsidRPr="009823E4">
        <w:rPr>
          <w:highlight w:val="yellow"/>
        </w:rPr>
        <w:t>Protein synthesis, at a metabolic cost of 4 high energy phosphate bonds per peptide bond formed represents an import energy cost of intermediary metabolism</w:t>
      </w:r>
      <w:commentRangeEnd w:id="7"/>
      <w:r w:rsidR="0010525C">
        <w:rPr>
          <w:rStyle w:val="CommentReference"/>
        </w:rPr>
        <w:commentReference w:id="7"/>
      </w:r>
      <w:r>
        <w:t>.</w:t>
      </w:r>
      <w:r>
        <w:rPr>
          <w:spacing w:val="40"/>
        </w:rPr>
        <w:t xml:space="preserve"> </w:t>
      </w:r>
      <w:r>
        <w:t>Thus, the dilemma leading to</w:t>
      </w:r>
      <w:r>
        <w:rPr>
          <w:spacing w:val="40"/>
        </w:rPr>
        <w:t xml:space="preserve"> </w:t>
      </w:r>
      <w:r>
        <w:t>the development of their obesity even in the presence of commonly recommended dietary changes applied to the obese phenotype remains suggestive of hormonally mediated dysregulation elements within the hypothalamic- thyroidal axis and in insulinogenic mediated parameters.</w:t>
      </w:r>
    </w:p>
    <w:p w14:paraId="25A45BD4" w14:textId="77777777" w:rsidR="006549F2" w:rsidRDefault="00157F65">
      <w:pPr>
        <w:pStyle w:val="BodyText"/>
        <w:spacing w:before="89" w:line="237" w:lineRule="auto"/>
        <w:ind w:left="441" w:right="400"/>
        <w:jc w:val="both"/>
      </w:pPr>
      <w:r>
        <w:t>The hypothalamic-thyroidal axis normally remains intact in lean littermates. However, when cell suspensions</w:t>
      </w:r>
      <w:r>
        <w:rPr>
          <w:spacing w:val="80"/>
        </w:rPr>
        <w:t xml:space="preserve"> </w:t>
      </w:r>
      <w:r>
        <w:t xml:space="preserve">obtained from 14 days-old gestational age rats that had been obtained from homozygous lean rats were implanted into the third ventricle of preadolescent obese Zucker rats, measures of resting metabolic rates and thyroidal, insulin and other markers of adiposity soon became substantially normalized while the early stage magnitude of obesity present at the time of the implants and used to confirm the identity of littermates found to be bearing the obese phenotype remained present in the hypothalamic- engrafted animals thereafter. </w:t>
      </w:r>
      <w:r w:rsidRPr="00830BBF">
        <w:t>Thus, these observations suggested that the hypothalamus also played a pivotal</w:t>
      </w:r>
      <w:r w:rsidRPr="00830BBF">
        <w:rPr>
          <w:spacing w:val="80"/>
        </w:rPr>
        <w:t xml:space="preserve"> </w:t>
      </w:r>
      <w:r w:rsidRPr="00830BBF">
        <w:t>role in the expression of the obese phenotype in the</w:t>
      </w:r>
      <w:r w:rsidRPr="00830BBF">
        <w:rPr>
          <w:spacing w:val="40"/>
        </w:rPr>
        <w:t xml:space="preserve"> </w:t>
      </w:r>
      <w:r w:rsidRPr="00830BBF">
        <w:t>Zucker fatty rat, similar to that which occurs in the obese phenotype of other strains</w:t>
      </w:r>
      <w:r>
        <w:t xml:space="preserve"> [14].</w:t>
      </w:r>
    </w:p>
    <w:p w14:paraId="2D63895E" w14:textId="77777777" w:rsidR="006549F2" w:rsidRDefault="006549F2">
      <w:pPr>
        <w:pStyle w:val="BodyText"/>
        <w:spacing w:before="87"/>
      </w:pPr>
    </w:p>
    <w:p w14:paraId="5E999B36" w14:textId="77777777" w:rsidR="006549F2" w:rsidRDefault="00157F65">
      <w:pPr>
        <w:pStyle w:val="Heading1"/>
      </w:pPr>
      <w:r>
        <w:rPr>
          <w:spacing w:val="-2"/>
        </w:rPr>
        <w:t>DISCUSSION</w:t>
      </w:r>
    </w:p>
    <w:p w14:paraId="45E44C12" w14:textId="77777777" w:rsidR="006549F2" w:rsidRDefault="006549F2">
      <w:pPr>
        <w:pStyle w:val="BodyText"/>
        <w:spacing w:before="98"/>
        <w:rPr>
          <w:rFonts w:ascii="Arial"/>
          <w:b/>
          <w:sz w:val="20"/>
        </w:rPr>
      </w:pPr>
    </w:p>
    <w:p w14:paraId="62472621" w14:textId="77777777" w:rsidR="006549F2" w:rsidRDefault="00157F65">
      <w:pPr>
        <w:pStyle w:val="BodyText"/>
        <w:spacing w:line="237" w:lineRule="auto"/>
        <w:ind w:left="441" w:right="401"/>
        <w:jc w:val="both"/>
      </w:pPr>
      <w:r>
        <w:t xml:space="preserve">Administration of </w:t>
      </w:r>
      <w:commentRangeStart w:id="8"/>
      <w:r w:rsidRPr="00830BBF">
        <w:rPr>
          <w:highlight w:val="yellow"/>
        </w:rPr>
        <w:t>I-131 T4 and I-131 T3</w:t>
      </w:r>
      <w:r>
        <w:t xml:space="preserve"> </w:t>
      </w:r>
      <w:commentRangeEnd w:id="8"/>
      <w:r w:rsidR="0010525C">
        <w:rPr>
          <w:rStyle w:val="CommentReference"/>
        </w:rPr>
        <w:commentReference w:id="8"/>
      </w:r>
      <w:r>
        <w:t xml:space="preserve">in the obese phenotype of corpulent rats resulted in similar clearance rates for T3, but T4 clearance was consistently prolonged by approximately 50% among the obese </w:t>
      </w:r>
      <w:proofErr w:type="gramStart"/>
      <w:r>
        <w:t>phenotype</w:t>
      </w:r>
      <w:proofErr w:type="gramEnd"/>
      <w:r>
        <w:t>. In addition, administration of T4 to postweaning corpulent</w:t>
      </w:r>
      <w:r>
        <w:rPr>
          <w:spacing w:val="40"/>
        </w:rPr>
        <w:t xml:space="preserve"> </w:t>
      </w:r>
      <w:r>
        <w:t xml:space="preserve">rats was ineffective in diminishing the development of the obese stigmata among obese animals, thereby suggestive of dysregulation at the level of T4-5’ deiodinase activity. Because the peripheral conversion of T4 to T3 </w:t>
      </w:r>
      <w:r>
        <w:t xml:space="preserve">normally provides a significant proportion of plasma T3 availability and in the mediation of thyroidal actions in mammalian species, this represents a possible explanation at least in part for the abnormalities in plasma T3 concentrations. Gavin, </w:t>
      </w:r>
      <w:r w:rsidRPr="00830BBF">
        <w:rPr>
          <w:highlight w:val="yellow"/>
        </w:rPr>
        <w:t>et al.</w:t>
      </w:r>
      <w:r>
        <w:t>, reported that T4 deiodination to T3 was impaired</w:t>
      </w:r>
      <w:r>
        <w:rPr>
          <w:spacing w:val="-1"/>
        </w:rPr>
        <w:t xml:space="preserve"> </w:t>
      </w:r>
      <w:r>
        <w:t>in adult-onset diabetes (NIDDM, T2DM or Type II diabetes) reflecting a link between insulin resistance and peripheral</w:t>
      </w:r>
      <w:r>
        <w:rPr>
          <w:spacing w:val="53"/>
        </w:rPr>
        <w:t xml:space="preserve"> </w:t>
      </w:r>
      <w:r>
        <w:t>T4</w:t>
      </w:r>
      <w:r>
        <w:rPr>
          <w:spacing w:val="52"/>
        </w:rPr>
        <w:t xml:space="preserve"> </w:t>
      </w:r>
      <w:r>
        <w:t>deiodination</w:t>
      </w:r>
      <w:r>
        <w:rPr>
          <w:spacing w:val="53"/>
        </w:rPr>
        <w:t xml:space="preserve"> </w:t>
      </w:r>
      <w:r>
        <w:t>and</w:t>
      </w:r>
      <w:r>
        <w:rPr>
          <w:spacing w:val="53"/>
        </w:rPr>
        <w:t xml:space="preserve"> </w:t>
      </w:r>
      <w:r>
        <w:t>which</w:t>
      </w:r>
      <w:r>
        <w:rPr>
          <w:spacing w:val="53"/>
        </w:rPr>
        <w:t xml:space="preserve"> </w:t>
      </w:r>
      <w:r>
        <w:t>finding</w:t>
      </w:r>
      <w:r>
        <w:rPr>
          <w:spacing w:val="53"/>
        </w:rPr>
        <w:t xml:space="preserve"> </w:t>
      </w:r>
      <w:r>
        <w:t>is</w:t>
      </w:r>
      <w:r>
        <w:rPr>
          <w:spacing w:val="52"/>
        </w:rPr>
        <w:t xml:space="preserve"> </w:t>
      </w:r>
      <w:r>
        <w:rPr>
          <w:spacing w:val="-2"/>
        </w:rPr>
        <w:t>further</w:t>
      </w:r>
    </w:p>
    <w:p w14:paraId="5E8EA6CA" w14:textId="77777777" w:rsidR="006549F2" w:rsidRDefault="006549F2">
      <w:pPr>
        <w:pStyle w:val="BodyText"/>
        <w:spacing w:line="237" w:lineRule="auto"/>
        <w:jc w:val="both"/>
        <w:sectPr w:rsidR="006549F2">
          <w:pgSz w:w="11910" w:h="16860"/>
          <w:pgMar w:top="1160" w:right="283" w:bottom="280" w:left="425" w:header="720" w:footer="720" w:gutter="0"/>
          <w:cols w:num="2" w:space="720" w:equalWidth="0">
            <w:col w:w="5312" w:space="110"/>
            <w:col w:w="5780"/>
          </w:cols>
        </w:sectPr>
      </w:pPr>
    </w:p>
    <w:p w14:paraId="21A17551" w14:textId="77777777" w:rsidR="006549F2" w:rsidRDefault="00157F65">
      <w:pPr>
        <w:pStyle w:val="BodyText"/>
        <w:spacing w:before="87" w:line="237" w:lineRule="auto"/>
        <w:ind w:left="441" w:right="38"/>
        <w:jc w:val="both"/>
      </w:pPr>
      <w:r>
        <w:lastRenderedPageBreak/>
        <w:t xml:space="preserve">supported by the findings of decreased expression of GLUT4 glucose transporters by Marette </w:t>
      </w:r>
      <w:r w:rsidRPr="00830BBF">
        <w:rPr>
          <w:highlight w:val="yellow"/>
        </w:rPr>
        <w:t>et al.,</w:t>
      </w:r>
      <w:r>
        <w:t xml:space="preserve"> [15,16]. </w:t>
      </w:r>
      <w:r w:rsidRPr="00830BBF">
        <w:rPr>
          <w:highlight w:val="yellow"/>
        </w:rPr>
        <w:t>The authors attributed</w:t>
      </w:r>
      <w:r>
        <w:t xml:space="preserve"> </w:t>
      </w:r>
      <w:commentRangeStart w:id="9"/>
      <w:r w:rsidRPr="00220571">
        <w:rPr>
          <w:strike/>
          <w:color w:val="000000" w:themeColor="text1"/>
          <w:highlight w:val="red"/>
        </w:rPr>
        <w:t>to</w:t>
      </w:r>
      <w:r w:rsidRPr="00830BBF">
        <w:rPr>
          <w:color w:val="000000" w:themeColor="text1"/>
        </w:rPr>
        <w:t xml:space="preserve"> </w:t>
      </w:r>
      <w:commentRangeEnd w:id="9"/>
      <w:r w:rsidR="0010525C">
        <w:rPr>
          <w:rStyle w:val="CommentReference"/>
        </w:rPr>
        <w:commentReference w:id="9"/>
      </w:r>
      <w:r>
        <w:t>the dysregulation to insulin resistance of NIDDM, thus implicating a pivotal role for insulin sensitivity in thyroid</w:t>
      </w:r>
      <w:r>
        <w:rPr>
          <w:spacing w:val="-1"/>
        </w:rPr>
        <w:t xml:space="preserve"> </w:t>
      </w:r>
      <w:r>
        <w:t>hormone actions in peripheral tissues. Insulin resistance along with increased glucocorticoid sensitivity impairs the normal intracellular translocation</w:t>
      </w:r>
      <w:r>
        <w:rPr>
          <w:spacing w:val="-2"/>
        </w:rPr>
        <w:t xml:space="preserve"> </w:t>
      </w:r>
      <w:r>
        <w:t>mechanism</w:t>
      </w:r>
      <w:r>
        <w:rPr>
          <w:spacing w:val="-2"/>
        </w:rPr>
        <w:t xml:space="preserve"> </w:t>
      </w:r>
      <w:r>
        <w:t>of</w:t>
      </w:r>
      <w:r>
        <w:rPr>
          <w:spacing w:val="-2"/>
        </w:rPr>
        <w:t xml:space="preserve"> </w:t>
      </w:r>
      <w:r>
        <w:t>GLUT4</w:t>
      </w:r>
      <w:r>
        <w:rPr>
          <w:spacing w:val="-3"/>
        </w:rPr>
        <w:t xml:space="preserve"> </w:t>
      </w:r>
      <w:r>
        <w:t>glucose transporters. [17-19]. The dysregulation of GLUT4 also appears to contribute to the development of peripheral insulin resistance in obesity and NIDDM and are also likely contributors to the dysregulation in thermogenesis, intermediary energy metabolism and in overall</w:t>
      </w:r>
      <w:r>
        <w:rPr>
          <w:spacing w:val="80"/>
        </w:rPr>
        <w:t xml:space="preserve"> </w:t>
      </w:r>
      <w:r>
        <w:t>disordered</w:t>
      </w:r>
      <w:r>
        <w:rPr>
          <w:spacing w:val="-1"/>
        </w:rPr>
        <w:t xml:space="preserve"> </w:t>
      </w:r>
      <w:r>
        <w:t>energy</w:t>
      </w:r>
      <w:r>
        <w:rPr>
          <w:spacing w:val="-1"/>
        </w:rPr>
        <w:t xml:space="preserve"> </w:t>
      </w:r>
      <w:r>
        <w:t>balance in</w:t>
      </w:r>
      <w:r>
        <w:rPr>
          <w:spacing w:val="-1"/>
        </w:rPr>
        <w:t xml:space="preserve"> </w:t>
      </w:r>
      <w:r>
        <w:t>the obese phenotype of</w:t>
      </w:r>
      <w:r>
        <w:rPr>
          <w:spacing w:val="-1"/>
        </w:rPr>
        <w:t xml:space="preserve"> </w:t>
      </w:r>
      <w:r>
        <w:t>the Corpulent rat and other genetically obese rodent strains.</w:t>
      </w:r>
    </w:p>
    <w:p w14:paraId="4A1E6769" w14:textId="77777777" w:rsidR="006549F2" w:rsidRDefault="00157F65">
      <w:pPr>
        <w:pStyle w:val="BodyText"/>
        <w:spacing w:before="91" w:line="237" w:lineRule="auto"/>
        <w:ind w:left="441" w:right="38"/>
        <w:jc w:val="both"/>
      </w:pPr>
      <w:r>
        <w:t xml:space="preserve">In recent studies, measures of thyroid hormone nuclear binding and T4-5- deiodinase activity were </w:t>
      </w:r>
      <w:commentRangeStart w:id="10"/>
      <w:r w:rsidRPr="00220571">
        <w:rPr>
          <w:highlight w:val="red"/>
        </w:rPr>
        <w:t>completed</w:t>
      </w:r>
      <w:r>
        <w:t xml:space="preserve"> </w:t>
      </w:r>
      <w:commentRangeEnd w:id="10"/>
      <w:r w:rsidR="0010525C">
        <w:rPr>
          <w:rStyle w:val="CommentReference"/>
        </w:rPr>
        <w:commentReference w:id="10"/>
      </w:r>
      <w:r>
        <w:t>in tissues from young, adolescent lean and obese non- NIDDM LA/</w:t>
      </w:r>
      <w:proofErr w:type="spellStart"/>
      <w:r>
        <w:t>Ntul</w:t>
      </w:r>
      <w:proofErr w:type="spellEnd"/>
      <w:r>
        <w:t>//-cp rats [20,21]. Not surprisingly, the T3- receptor binding sites, a presumed genetically predetermined attribute, were found to be similar in number in both the lean and obese phenotype. The T3 receptor binding affinity however was decreased in the liver of obese rats, while plasma and liver T3 concentrations and measures of T4-5’ deiodinase activity was modestly to moderately decreased when compared to lean controls in liver tissues obtained from the obese animals [22].</w:t>
      </w:r>
    </w:p>
    <w:p w14:paraId="0B720FD3" w14:textId="77777777" w:rsidR="006549F2" w:rsidRDefault="00157F65">
      <w:pPr>
        <w:pStyle w:val="BodyText"/>
        <w:spacing w:before="92" w:line="237" w:lineRule="auto"/>
        <w:ind w:left="441" w:right="38"/>
        <w:jc w:val="both"/>
      </w:pPr>
      <w:r>
        <w:t>The obese animals of those studies also demonstrated significant insulin resistance as supported by hyperinsulinemia and an increased Insulin to glucose ratio often typical of obesity and in the cited studies occurred in the absence of indicators of NIDDM. Since there are multiple molecular configurations of the thyroid hormone binding receptors and at least three isoforms of T4-5’deiodinase activity (D-1, D-2 and D-3) expressed in different tissues, the individual tissue-specific responses to nutritional and environmental stimuli may respond differently to the combination of deiodinase activity and receptor</w:t>
      </w:r>
      <w:r>
        <w:rPr>
          <w:spacing w:val="-2"/>
        </w:rPr>
        <w:t xml:space="preserve"> </w:t>
      </w:r>
      <w:r>
        <w:t>binding</w:t>
      </w:r>
      <w:r>
        <w:rPr>
          <w:spacing w:val="-2"/>
        </w:rPr>
        <w:t xml:space="preserve"> </w:t>
      </w:r>
      <w:r>
        <w:t>events.</w:t>
      </w:r>
      <w:r>
        <w:rPr>
          <w:spacing w:val="-2"/>
        </w:rPr>
        <w:t xml:space="preserve"> </w:t>
      </w:r>
      <w:r>
        <w:t>While both</w:t>
      </w:r>
      <w:r>
        <w:rPr>
          <w:spacing w:val="-2"/>
        </w:rPr>
        <w:t xml:space="preserve"> </w:t>
      </w:r>
      <w:r>
        <w:t>D-1</w:t>
      </w:r>
      <w:r>
        <w:rPr>
          <w:spacing w:val="-2"/>
        </w:rPr>
        <w:t xml:space="preserve"> </w:t>
      </w:r>
      <w:r>
        <w:t>and</w:t>
      </w:r>
      <w:r>
        <w:rPr>
          <w:spacing w:val="-2"/>
        </w:rPr>
        <w:t xml:space="preserve"> </w:t>
      </w:r>
      <w:r>
        <w:t>D2</w:t>
      </w:r>
      <w:r>
        <w:rPr>
          <w:spacing w:val="-2"/>
        </w:rPr>
        <w:t xml:space="preserve"> </w:t>
      </w:r>
      <w:r>
        <w:t>are</w:t>
      </w:r>
      <w:r>
        <w:rPr>
          <w:spacing w:val="-1"/>
        </w:rPr>
        <w:t xml:space="preserve"> </w:t>
      </w:r>
      <w:r>
        <w:t>outer ring deiodinases and generate the metabolically and hormonally active form of T3 found in plasma, D-3 represents an inner ring deiodinase and forms metabolically inactive ‘reverse’ or ‘rT3’ in response to decreased availability of nutritional stimuli. It remains unresolved if the different isoforms of the thyroid</w:t>
      </w:r>
      <w:r>
        <w:rPr>
          <w:spacing w:val="40"/>
        </w:rPr>
        <w:t xml:space="preserve"> </w:t>
      </w:r>
      <w:r>
        <w:t>hormone receptors or the tissue specific deiodinases</w:t>
      </w:r>
      <w:r>
        <w:rPr>
          <w:spacing w:val="40"/>
        </w:rPr>
        <w:t xml:space="preserve"> </w:t>
      </w:r>
      <w:r>
        <w:t>may respond differently in response to variations in nutritional and environmental stimuli other than caloric deprivation. In the studies of exogenous thyroid hormone administration, only T3 but not T4 resulted in weight loss in the obese phenotype of the corpulent rat, while both hormones were effective in the lean littermates [23-25].</w:t>
      </w:r>
    </w:p>
    <w:p w14:paraId="31D5BB9D" w14:textId="77777777" w:rsidR="006549F2" w:rsidRDefault="006549F2">
      <w:pPr>
        <w:pStyle w:val="BodyText"/>
      </w:pPr>
    </w:p>
    <w:p w14:paraId="6F8B4515" w14:textId="77777777" w:rsidR="006549F2" w:rsidRDefault="00157F65">
      <w:pPr>
        <w:pStyle w:val="Heading1"/>
        <w:spacing w:before="1"/>
        <w:ind w:left="398"/>
      </w:pPr>
      <w:r>
        <w:rPr>
          <w:spacing w:val="-2"/>
        </w:rPr>
        <w:t>CONCLUSION</w:t>
      </w:r>
    </w:p>
    <w:p w14:paraId="4CE628AB" w14:textId="77777777" w:rsidR="006549F2" w:rsidRDefault="006549F2">
      <w:pPr>
        <w:pStyle w:val="BodyText"/>
        <w:spacing w:before="1"/>
        <w:rPr>
          <w:rFonts w:ascii="Arial"/>
          <w:b/>
          <w:sz w:val="20"/>
        </w:rPr>
      </w:pPr>
    </w:p>
    <w:p w14:paraId="34B313A5" w14:textId="77777777" w:rsidR="006549F2" w:rsidRDefault="00157F65">
      <w:pPr>
        <w:pStyle w:val="BodyText"/>
        <w:ind w:left="395" w:right="47" w:hanging="5"/>
        <w:jc w:val="both"/>
      </w:pPr>
      <w:r>
        <w:t>Thus, there may be hope at the end of the hypothalamic- thyroidal-end organ axis tunnel, in seeking a resolution of the apparent hypothalamic stigmata sometimes</w:t>
      </w:r>
      <w:r>
        <w:rPr>
          <w:spacing w:val="40"/>
        </w:rPr>
        <w:t xml:space="preserve"> </w:t>
      </w:r>
      <w:r>
        <w:t xml:space="preserve">presented in obese syndromes. The typical laboratory findings often reflect the presence of normal plasma concentrations of the routinely measured thyroidal parameters including bound and free fractions of T4, T3 and of TSH, thus failing to meet the usual criterion for a diagnosis of a thyroidal disorder. Currently there aren’t any known reliable clinical assays to assess intracellular binding characteristics for thyroid hormones or to directly </w:t>
      </w:r>
      <w:r>
        <w:t>assess</w:t>
      </w:r>
      <w:r>
        <w:rPr>
          <w:spacing w:val="68"/>
        </w:rPr>
        <w:t xml:space="preserve"> </w:t>
      </w:r>
      <w:r>
        <w:t>deiodinase</w:t>
      </w:r>
      <w:r>
        <w:rPr>
          <w:spacing w:val="68"/>
        </w:rPr>
        <w:t xml:space="preserve"> </w:t>
      </w:r>
      <w:r>
        <w:t>activities</w:t>
      </w:r>
      <w:r>
        <w:rPr>
          <w:spacing w:val="68"/>
        </w:rPr>
        <w:t xml:space="preserve"> </w:t>
      </w:r>
      <w:r>
        <w:rPr>
          <w:rFonts w:ascii="Arial" w:hAnsi="Arial"/>
          <w:i/>
          <w:sz w:val="20"/>
        </w:rPr>
        <w:t>in</w:t>
      </w:r>
      <w:r>
        <w:rPr>
          <w:rFonts w:ascii="Arial" w:hAnsi="Arial"/>
          <w:i/>
          <w:spacing w:val="63"/>
          <w:sz w:val="20"/>
        </w:rPr>
        <w:t xml:space="preserve"> </w:t>
      </w:r>
      <w:r>
        <w:rPr>
          <w:rFonts w:ascii="Arial" w:hAnsi="Arial"/>
          <w:i/>
          <w:sz w:val="20"/>
        </w:rPr>
        <w:t>vivo</w:t>
      </w:r>
      <w:r>
        <w:rPr>
          <w:rFonts w:ascii="Arial" w:hAnsi="Arial"/>
          <w:i/>
          <w:spacing w:val="64"/>
          <w:sz w:val="20"/>
        </w:rPr>
        <w:t xml:space="preserve"> </w:t>
      </w:r>
      <w:r>
        <w:t>or</w:t>
      </w:r>
      <w:r>
        <w:rPr>
          <w:spacing w:val="68"/>
        </w:rPr>
        <w:t xml:space="preserve"> </w:t>
      </w:r>
      <w:r>
        <w:t>to</w:t>
      </w:r>
      <w:r>
        <w:rPr>
          <w:spacing w:val="68"/>
        </w:rPr>
        <w:t xml:space="preserve"> </w:t>
      </w:r>
      <w:r>
        <w:t>detect</w:t>
      </w:r>
      <w:r>
        <w:rPr>
          <w:spacing w:val="67"/>
        </w:rPr>
        <w:t xml:space="preserve"> </w:t>
      </w:r>
      <w:r>
        <w:rPr>
          <w:spacing w:val="-5"/>
        </w:rPr>
        <w:t>the</w:t>
      </w:r>
    </w:p>
    <w:p w14:paraId="55056D84" w14:textId="77777777" w:rsidR="006549F2" w:rsidRDefault="00157F65">
      <w:pPr>
        <w:pStyle w:val="BodyText"/>
        <w:spacing w:before="89"/>
        <w:ind w:left="399" w:right="411"/>
        <w:jc w:val="both"/>
      </w:pPr>
      <w:r>
        <w:br w:type="column"/>
      </w:r>
      <w:r>
        <w:lastRenderedPageBreak/>
        <w:t>metabolic actions of their intracellular activity</w:t>
      </w:r>
      <w:r>
        <w:rPr>
          <w:spacing w:val="40"/>
        </w:rPr>
        <w:t xml:space="preserve"> </w:t>
      </w:r>
      <w:r>
        <w:t>noninvasively.</w:t>
      </w:r>
      <w:r>
        <w:rPr>
          <w:spacing w:val="-1"/>
        </w:rPr>
        <w:t xml:space="preserve"> </w:t>
      </w:r>
      <w:commentRangeStart w:id="11"/>
      <w:r w:rsidRPr="00220571">
        <w:rPr>
          <w:highlight w:val="yellow"/>
        </w:rPr>
        <w:t>It has often been said, ‘we are what we eat’, but the results of our review suggest that in addition to our nutritional, environmental and lifestyle compliments, a genetic component influencing multiple hormonal actions including thyroidal, sympathetic and insulinogenic entities must be considered when considering symptomatic therapeutic measures. Truly, we are ‘who we are’, not entirely ‘what we consume’ or of our physiologic and environmental metabolic interactions in the biochemical manner in which we strive to fulfill our energy and nutritional needs.</w:t>
      </w:r>
      <w:r>
        <w:t xml:space="preserve"> </w:t>
      </w:r>
      <w:commentRangeEnd w:id="11"/>
      <w:r w:rsidR="0010525C">
        <w:rPr>
          <w:rStyle w:val="CommentReference"/>
        </w:rPr>
        <w:commentReference w:id="11"/>
      </w:r>
      <w:r>
        <w:t>The global burden of obesity and its common sequelae continue to increase in the populations world-wide and have been projected to impose a major</w:t>
      </w:r>
      <w:r>
        <w:rPr>
          <w:spacing w:val="80"/>
        </w:rPr>
        <w:t xml:space="preserve"> </w:t>
      </w:r>
      <w:r>
        <w:t xml:space="preserve">and possible crippling impact on the health care resources of many counties </w:t>
      </w:r>
      <w:proofErr w:type="gramStart"/>
      <w:r>
        <w:t>by year</w:t>
      </w:r>
      <w:proofErr w:type="gramEnd"/>
      <w:r>
        <w:t xml:space="preserve"> 2030. Current clinical recommendations pertaining to adjustments in diet, exercise</w:t>
      </w:r>
      <w:r>
        <w:rPr>
          <w:spacing w:val="-2"/>
        </w:rPr>
        <w:t xml:space="preserve"> </w:t>
      </w:r>
      <w:r>
        <w:t>and</w:t>
      </w:r>
      <w:r>
        <w:rPr>
          <w:spacing w:val="-2"/>
        </w:rPr>
        <w:t xml:space="preserve"> </w:t>
      </w:r>
      <w:r>
        <w:t>lifestyle</w:t>
      </w:r>
      <w:r>
        <w:rPr>
          <w:spacing w:val="-2"/>
        </w:rPr>
        <w:t xml:space="preserve"> </w:t>
      </w:r>
      <w:r>
        <w:t>practices</w:t>
      </w:r>
      <w:r>
        <w:rPr>
          <w:spacing w:val="-2"/>
        </w:rPr>
        <w:t xml:space="preserve"> </w:t>
      </w:r>
      <w:r>
        <w:t>will</w:t>
      </w:r>
      <w:r>
        <w:rPr>
          <w:spacing w:val="-2"/>
        </w:rPr>
        <w:t xml:space="preserve"> </w:t>
      </w:r>
      <w:r>
        <w:t>likely</w:t>
      </w:r>
      <w:r>
        <w:rPr>
          <w:spacing w:val="-3"/>
        </w:rPr>
        <w:t xml:space="preserve"> </w:t>
      </w:r>
      <w:r>
        <w:t>remain</w:t>
      </w:r>
      <w:r>
        <w:rPr>
          <w:spacing w:val="-2"/>
        </w:rPr>
        <w:t xml:space="preserve"> </w:t>
      </w:r>
      <w:r>
        <w:t>among</w:t>
      </w:r>
      <w:r>
        <w:rPr>
          <w:spacing w:val="-2"/>
        </w:rPr>
        <w:t xml:space="preserve"> </w:t>
      </w:r>
      <w:r>
        <w:t>the accepted clinical recommendations, but are not likely to resolve the dilemma in its entirety. Thus, the burgeoning incidence of obesity and its common sequelae of NIDDM, hypertension and other comorbidities indicate a serious need for additional research in his area.</w:t>
      </w:r>
      <w:r>
        <w:rPr>
          <w:spacing w:val="40"/>
        </w:rPr>
        <w:t xml:space="preserve"> </w:t>
      </w:r>
      <w:r>
        <w:t>The current</w:t>
      </w:r>
      <w:r>
        <w:rPr>
          <w:spacing w:val="80"/>
        </w:rPr>
        <w:t xml:space="preserve"> </w:t>
      </w:r>
      <w:r>
        <w:t xml:space="preserve">trends in the increasing prevalence of obese and overweight conditions will in all likelihood become a pressing global priority to identify and more fully characterize at the molecular, tissue and organ system levels of effective resolutions to the critical issues of overweight and obese conditions must be found, as an urgency is emerging that signals that of a metabolic and global healthcare epidemic tantamount to a tsunami if left </w:t>
      </w:r>
      <w:r>
        <w:rPr>
          <w:spacing w:val="-2"/>
        </w:rPr>
        <w:t>unattended.</w:t>
      </w:r>
    </w:p>
    <w:p w14:paraId="4C475338" w14:textId="77777777" w:rsidR="002035D6" w:rsidRDefault="002035D6">
      <w:pPr>
        <w:pStyle w:val="Heading1"/>
        <w:spacing w:before="211"/>
        <w:ind w:left="391"/>
        <w:rPr>
          <w:spacing w:val="-2"/>
        </w:rPr>
      </w:pPr>
    </w:p>
    <w:p w14:paraId="67506541" w14:textId="77777777" w:rsidR="006549F2" w:rsidRDefault="00157F65">
      <w:pPr>
        <w:pStyle w:val="Heading1"/>
        <w:spacing w:before="211"/>
        <w:ind w:left="391"/>
      </w:pPr>
      <w:r>
        <w:rPr>
          <w:spacing w:val="-2"/>
        </w:rPr>
        <w:t>REFERENCES</w:t>
      </w:r>
    </w:p>
    <w:p w14:paraId="12496D9F" w14:textId="77777777" w:rsidR="006549F2" w:rsidRDefault="006549F2">
      <w:pPr>
        <w:pStyle w:val="BodyText"/>
        <w:rPr>
          <w:rFonts w:ascii="Arial"/>
          <w:b/>
          <w:sz w:val="20"/>
        </w:rPr>
      </w:pPr>
    </w:p>
    <w:p w14:paraId="25FF1BAB" w14:textId="77777777" w:rsidR="006549F2" w:rsidRDefault="00157F65">
      <w:pPr>
        <w:pStyle w:val="BodyText"/>
        <w:spacing w:line="256" w:lineRule="auto"/>
        <w:ind w:left="728" w:right="402" w:hanging="284"/>
        <w:jc w:val="both"/>
      </w:pPr>
      <w:r>
        <w:t xml:space="preserve">Einstein GP, </w:t>
      </w:r>
      <w:proofErr w:type="spellStart"/>
      <w:r>
        <w:t>Obidi</w:t>
      </w:r>
      <w:proofErr w:type="spellEnd"/>
      <w:r>
        <w:t xml:space="preserve"> OF, Tulp OL, </w:t>
      </w:r>
      <w:proofErr w:type="spellStart"/>
      <w:r>
        <w:t>Oyesile</w:t>
      </w:r>
      <w:proofErr w:type="spellEnd"/>
      <w:r>
        <w:t xml:space="preserve"> TC (2016). The prevalence of adult obesity in Africa. FASEB J; </w:t>
      </w:r>
      <w:r>
        <w:rPr>
          <w:spacing w:val="-2"/>
        </w:rPr>
        <w:t>30(1):1152-1154.</w:t>
      </w:r>
    </w:p>
    <w:p w14:paraId="46D53DB9" w14:textId="77777777" w:rsidR="006549F2" w:rsidRDefault="00157F65">
      <w:pPr>
        <w:pStyle w:val="BodyText"/>
        <w:spacing w:line="256" w:lineRule="auto"/>
        <w:ind w:left="728" w:right="401" w:hanging="284"/>
        <w:jc w:val="both"/>
      </w:pPr>
      <w:r>
        <w:t xml:space="preserve">Laurberg P, Knudsen N, Andersen S, Carle A, Pedersen IB, Karmisholt J (2012). </w:t>
      </w:r>
      <w:hyperlink r:id="rId16">
        <w:r>
          <w:t>Thyroid function and obesity.</w:t>
        </w:r>
      </w:hyperlink>
      <w:r>
        <w:t xml:space="preserve"> Eur Thyroid J. 1(3):159-167.</w:t>
      </w:r>
    </w:p>
    <w:p w14:paraId="7DADAA6F" w14:textId="77777777" w:rsidR="006549F2" w:rsidRDefault="00157F65">
      <w:pPr>
        <w:pStyle w:val="BodyText"/>
        <w:spacing w:line="256" w:lineRule="auto"/>
        <w:ind w:left="728" w:right="403" w:hanging="284"/>
        <w:jc w:val="both"/>
      </w:pPr>
      <w:r>
        <w:t xml:space="preserve">Tulp OL, Sainvil F, </w:t>
      </w:r>
      <w:proofErr w:type="spellStart"/>
      <w:r>
        <w:t>Scrianka</w:t>
      </w:r>
      <w:proofErr w:type="spellEnd"/>
      <w:r>
        <w:t xml:space="preserve"> A (2022) Does clinical hypothyroidism occur in obesity? Here is what the lab rats may be telling us about hope on the horizon. Int J Fam Commun Med. 6(6):338-340.</w:t>
      </w:r>
    </w:p>
    <w:p w14:paraId="0A70686D" w14:textId="77777777" w:rsidR="006549F2" w:rsidRDefault="00157F65">
      <w:pPr>
        <w:pStyle w:val="BodyText"/>
        <w:spacing w:line="213" w:lineRule="exact"/>
        <w:ind w:left="445"/>
        <w:jc w:val="both"/>
      </w:pPr>
      <w:r>
        <w:t>Reaven</w:t>
      </w:r>
      <w:r>
        <w:rPr>
          <w:spacing w:val="-3"/>
        </w:rPr>
        <w:t xml:space="preserve"> </w:t>
      </w:r>
      <w:r>
        <w:t>GM</w:t>
      </w:r>
      <w:r>
        <w:rPr>
          <w:spacing w:val="-2"/>
        </w:rPr>
        <w:t xml:space="preserve"> </w:t>
      </w:r>
      <w:r>
        <w:t>(2001).</w:t>
      </w:r>
      <w:r>
        <w:rPr>
          <w:spacing w:val="-3"/>
        </w:rPr>
        <w:t xml:space="preserve"> </w:t>
      </w:r>
      <w:r>
        <w:t>Syndrome</w:t>
      </w:r>
      <w:r>
        <w:rPr>
          <w:spacing w:val="-3"/>
        </w:rPr>
        <w:t xml:space="preserve"> </w:t>
      </w:r>
      <w:r>
        <w:t>X:</w:t>
      </w:r>
      <w:r>
        <w:rPr>
          <w:spacing w:val="-2"/>
        </w:rPr>
        <w:t xml:space="preserve"> </w:t>
      </w:r>
      <w:r>
        <w:t>A</w:t>
      </w:r>
      <w:r>
        <w:rPr>
          <w:spacing w:val="1"/>
        </w:rPr>
        <w:t xml:space="preserve"> </w:t>
      </w:r>
      <w:r>
        <w:t>short</w:t>
      </w:r>
      <w:r>
        <w:rPr>
          <w:spacing w:val="-2"/>
        </w:rPr>
        <w:t xml:space="preserve"> </w:t>
      </w:r>
      <w:r>
        <w:t>history.</w:t>
      </w:r>
      <w:r>
        <w:rPr>
          <w:spacing w:val="-3"/>
        </w:rPr>
        <w:t xml:space="preserve"> </w:t>
      </w:r>
      <w:r>
        <w:rPr>
          <w:spacing w:val="-2"/>
        </w:rPr>
        <w:t>Ochsner</w:t>
      </w:r>
    </w:p>
    <w:p w14:paraId="1562DA11" w14:textId="77777777" w:rsidR="006549F2" w:rsidRDefault="00157F65">
      <w:pPr>
        <w:pStyle w:val="BodyText"/>
        <w:spacing w:before="10"/>
        <w:ind w:left="728"/>
        <w:jc w:val="both"/>
      </w:pPr>
      <w:r>
        <w:t>J.</w:t>
      </w:r>
      <w:r>
        <w:rPr>
          <w:spacing w:val="-12"/>
        </w:rPr>
        <w:t xml:space="preserve"> </w:t>
      </w:r>
      <w:r>
        <w:t>3(3):124-</w:t>
      </w:r>
      <w:r>
        <w:rPr>
          <w:spacing w:val="-4"/>
        </w:rPr>
        <w:t>125.</w:t>
      </w:r>
    </w:p>
    <w:p w14:paraId="0C54880F" w14:textId="77777777" w:rsidR="006549F2" w:rsidRDefault="00157F65">
      <w:pPr>
        <w:pStyle w:val="BodyText"/>
        <w:spacing w:before="14" w:line="256" w:lineRule="auto"/>
        <w:ind w:left="728" w:right="402" w:hanging="284"/>
        <w:jc w:val="both"/>
      </w:pPr>
      <w:r>
        <w:t xml:space="preserve">Marette A, </w:t>
      </w:r>
      <w:proofErr w:type="spellStart"/>
      <w:r>
        <w:t>Atgie</w:t>
      </w:r>
      <w:proofErr w:type="spellEnd"/>
      <w:r>
        <w:t xml:space="preserve"> C, Liu Z, Bukowiecki LJ, Klip A (1993). </w:t>
      </w:r>
      <w:hyperlink r:id="rId17">
        <w:r>
          <w:t>Differential regulation of GLUT1 and GLUT4 glucose</w:t>
        </w:r>
      </w:hyperlink>
      <w:r>
        <w:t xml:space="preserve"> </w:t>
      </w:r>
      <w:hyperlink r:id="rId18">
        <w:r>
          <w:t>transporters</w:t>
        </w:r>
        <w:r>
          <w:rPr>
            <w:spacing w:val="8"/>
          </w:rPr>
          <w:t xml:space="preserve"> </w:t>
        </w:r>
        <w:r>
          <w:t>in</w:t>
        </w:r>
        <w:r>
          <w:rPr>
            <w:spacing w:val="8"/>
          </w:rPr>
          <w:t xml:space="preserve"> </w:t>
        </w:r>
        <w:r>
          <w:t>skeletal</w:t>
        </w:r>
        <w:r>
          <w:rPr>
            <w:spacing w:val="10"/>
          </w:rPr>
          <w:t xml:space="preserve"> </w:t>
        </w:r>
        <w:r>
          <w:t>muscle</w:t>
        </w:r>
        <w:r>
          <w:rPr>
            <w:spacing w:val="9"/>
          </w:rPr>
          <w:t xml:space="preserve"> </w:t>
        </w:r>
        <w:r>
          <w:t>of</w:t>
        </w:r>
        <w:r>
          <w:rPr>
            <w:spacing w:val="9"/>
          </w:rPr>
          <w:t xml:space="preserve"> </w:t>
        </w:r>
        <w:r>
          <w:t>a</w:t>
        </w:r>
        <w:r>
          <w:rPr>
            <w:spacing w:val="11"/>
          </w:rPr>
          <w:t xml:space="preserve"> </w:t>
        </w:r>
        <w:r>
          <w:t>new</w:t>
        </w:r>
        <w:r>
          <w:rPr>
            <w:spacing w:val="8"/>
          </w:rPr>
          <w:t xml:space="preserve"> </w:t>
        </w:r>
        <w:r>
          <w:t>model</w:t>
        </w:r>
        <w:r>
          <w:rPr>
            <w:spacing w:val="10"/>
          </w:rPr>
          <w:t xml:space="preserve"> </w:t>
        </w:r>
        <w:r>
          <w:t>of</w:t>
        </w:r>
        <w:r>
          <w:rPr>
            <w:spacing w:val="8"/>
          </w:rPr>
          <w:t xml:space="preserve"> </w:t>
        </w:r>
        <w:r>
          <w:rPr>
            <w:spacing w:val="-4"/>
          </w:rPr>
          <w:t>type</w:t>
        </w:r>
      </w:hyperlink>
    </w:p>
    <w:p w14:paraId="21F45EAC" w14:textId="77777777" w:rsidR="006549F2" w:rsidRDefault="00157F65">
      <w:pPr>
        <w:pStyle w:val="BodyText"/>
        <w:spacing w:line="256" w:lineRule="auto"/>
        <w:ind w:left="728" w:right="401"/>
        <w:jc w:val="both"/>
      </w:pPr>
      <w:hyperlink r:id="rId19">
        <w:r>
          <w:t>II diabetes: The obese SHR/N-cp rat.</w:t>
        </w:r>
      </w:hyperlink>
      <w:r>
        <w:t xml:space="preserve"> Diabetes. </w:t>
      </w:r>
      <w:r>
        <w:rPr>
          <w:spacing w:val="-2"/>
        </w:rPr>
        <w:t>42(8):1195-1201.</w:t>
      </w:r>
    </w:p>
    <w:p w14:paraId="36E0C14E" w14:textId="77777777" w:rsidR="006549F2" w:rsidRDefault="00157F65">
      <w:pPr>
        <w:pStyle w:val="BodyText"/>
        <w:spacing w:line="256" w:lineRule="auto"/>
        <w:ind w:left="728" w:right="403" w:hanging="284"/>
        <w:jc w:val="both"/>
      </w:pPr>
      <w:r>
        <w:t xml:space="preserve">Tulp OL (1990). </w:t>
      </w:r>
      <w:hyperlink r:id="rId20">
        <w:r>
          <w:t>Characteristics of thermogenesis, obesity</w:t>
        </w:r>
      </w:hyperlink>
      <w:r>
        <w:t xml:space="preserve"> </w:t>
      </w:r>
      <w:hyperlink r:id="rId21">
        <w:r>
          <w:t>and longevity in the LA/N-cp rat.</w:t>
        </w:r>
      </w:hyperlink>
      <w:r>
        <w:t xml:space="preserve"> ILAR J. 32(3):32-38.</w:t>
      </w:r>
    </w:p>
    <w:p w14:paraId="6764987D" w14:textId="77777777" w:rsidR="006549F2" w:rsidRDefault="00157F65">
      <w:pPr>
        <w:pStyle w:val="BodyText"/>
        <w:tabs>
          <w:tab w:val="left" w:pos="1901"/>
          <w:tab w:val="left" w:pos="2694"/>
          <w:tab w:val="left" w:pos="3847"/>
        </w:tabs>
        <w:spacing w:line="256" w:lineRule="auto"/>
        <w:ind w:left="728" w:right="401" w:hanging="284"/>
        <w:jc w:val="both"/>
      </w:pPr>
      <w:r>
        <w:t xml:space="preserve">Huang HJ, Young AA, Koda JE, Tulp OL, Johnson MJ, </w:t>
      </w:r>
      <w:r>
        <w:rPr>
          <w:spacing w:val="-2"/>
        </w:rPr>
        <w:t>Cooper</w:t>
      </w:r>
      <w:r>
        <w:tab/>
      </w:r>
      <w:r>
        <w:rPr>
          <w:spacing w:val="-6"/>
        </w:rPr>
        <w:t>GJ</w:t>
      </w:r>
      <w:r>
        <w:tab/>
      </w:r>
      <w:r>
        <w:rPr>
          <w:spacing w:val="-2"/>
        </w:rPr>
        <w:t>(1992).</w:t>
      </w:r>
      <w:r>
        <w:tab/>
      </w:r>
      <w:hyperlink r:id="rId22">
        <w:proofErr w:type="spellStart"/>
        <w:r>
          <w:rPr>
            <w:spacing w:val="-2"/>
          </w:rPr>
          <w:t>Hyperamylinemia</w:t>
        </w:r>
        <w:proofErr w:type="spellEnd"/>
        <w:r>
          <w:rPr>
            <w:spacing w:val="-2"/>
          </w:rPr>
          <w:t>,</w:t>
        </w:r>
      </w:hyperlink>
      <w:r>
        <w:rPr>
          <w:spacing w:val="-2"/>
        </w:rPr>
        <w:t xml:space="preserve"> </w:t>
      </w:r>
      <w:hyperlink r:id="rId23">
        <w:proofErr w:type="spellStart"/>
        <w:r>
          <w:t>hyperinsulimnemia</w:t>
        </w:r>
        <w:proofErr w:type="spellEnd"/>
        <w:r>
          <w:rPr>
            <w:spacing w:val="-1"/>
          </w:rPr>
          <w:t xml:space="preserve"> </w:t>
        </w:r>
        <w:r>
          <w:t>and insulin</w:t>
        </w:r>
        <w:r>
          <w:rPr>
            <w:spacing w:val="-1"/>
          </w:rPr>
          <w:t xml:space="preserve"> </w:t>
        </w:r>
        <w:r>
          <w:t>resistance</w:t>
        </w:r>
        <w:r>
          <w:rPr>
            <w:spacing w:val="-2"/>
          </w:rPr>
          <w:t xml:space="preserve"> </w:t>
        </w:r>
        <w:r>
          <w:t>in</w:t>
        </w:r>
        <w:r>
          <w:rPr>
            <w:spacing w:val="-1"/>
          </w:rPr>
          <w:t xml:space="preserve"> </w:t>
        </w:r>
        <w:r>
          <w:t>genetically</w:t>
        </w:r>
      </w:hyperlink>
      <w:r>
        <w:t xml:space="preserve"> </w:t>
      </w:r>
      <w:hyperlink r:id="rId24">
        <w:r>
          <w:t>obese LSA/N-cp rats.</w:t>
        </w:r>
      </w:hyperlink>
      <w:r>
        <w:t xml:space="preserve"> Hypertension. </w:t>
      </w:r>
      <w:r>
        <w:t>19(1):101-109.</w:t>
      </w:r>
    </w:p>
    <w:p w14:paraId="193AD45F" w14:textId="77777777" w:rsidR="006549F2" w:rsidRDefault="00157F65">
      <w:pPr>
        <w:pStyle w:val="BodyText"/>
        <w:spacing w:line="256" w:lineRule="auto"/>
        <w:ind w:left="728" w:right="405" w:hanging="284"/>
        <w:jc w:val="both"/>
      </w:pPr>
      <w:r>
        <w:t>Tulp OL (1990). Effects of aging, phenotype and carbohydrate feeding on caloric efficiency and</w:t>
      </w:r>
      <w:r>
        <w:rPr>
          <w:spacing w:val="40"/>
        </w:rPr>
        <w:t xml:space="preserve"> </w:t>
      </w:r>
      <w:r>
        <w:t>adiposity in the LA/</w:t>
      </w:r>
      <w:proofErr w:type="spellStart"/>
      <w:r>
        <w:t>Ntul</w:t>
      </w:r>
      <w:proofErr w:type="spellEnd"/>
      <w:r>
        <w:t>. ILAR News. 32(3):32-39.</w:t>
      </w:r>
    </w:p>
    <w:p w14:paraId="00F1F5A4" w14:textId="77777777" w:rsidR="006549F2" w:rsidRDefault="006549F2">
      <w:pPr>
        <w:pStyle w:val="BodyText"/>
        <w:spacing w:line="256" w:lineRule="auto"/>
        <w:jc w:val="both"/>
        <w:sectPr w:rsidR="006549F2">
          <w:pgSz w:w="11910" w:h="16860"/>
          <w:pgMar w:top="1160" w:right="283" w:bottom="280" w:left="425" w:header="720" w:footer="720" w:gutter="0"/>
          <w:cols w:num="2" w:space="720" w:equalWidth="0">
            <w:col w:w="5312" w:space="107"/>
            <w:col w:w="5783"/>
          </w:cols>
        </w:sectPr>
      </w:pPr>
    </w:p>
    <w:p w14:paraId="5D693FBC" w14:textId="77777777" w:rsidR="006549F2" w:rsidRDefault="00157F65">
      <w:pPr>
        <w:pStyle w:val="BodyText"/>
        <w:spacing w:before="69" w:line="256" w:lineRule="auto"/>
        <w:ind w:left="724" w:right="38" w:hanging="284"/>
        <w:jc w:val="both"/>
      </w:pPr>
      <w:r>
        <w:lastRenderedPageBreak/>
        <w:t xml:space="preserve">Tulp OL, Jones CT (1987). </w:t>
      </w:r>
      <w:hyperlink r:id="rId25">
        <w:r>
          <w:t>Effects of increased energy</w:t>
        </w:r>
      </w:hyperlink>
      <w:r>
        <w:t xml:space="preserve"> </w:t>
      </w:r>
      <w:hyperlink r:id="rId26">
        <w:r>
          <w:t>expenditure on weight gain and adiposity in the LA-</w:t>
        </w:r>
      </w:hyperlink>
      <w:r>
        <w:t xml:space="preserve"> </w:t>
      </w:r>
      <w:hyperlink r:id="rId27">
        <w:r>
          <w:t>corpulent rat.</w:t>
        </w:r>
      </w:hyperlink>
      <w:r>
        <w:t xml:space="preserve"> Comparative Comp </w:t>
      </w:r>
      <w:proofErr w:type="spellStart"/>
      <w:r>
        <w:t>Biochem</w:t>
      </w:r>
      <w:proofErr w:type="spellEnd"/>
      <w:r>
        <w:t xml:space="preserve"> Physiol. </w:t>
      </w:r>
      <w:r>
        <w:rPr>
          <w:spacing w:val="-2"/>
        </w:rPr>
        <w:t>86(1):67-72.</w:t>
      </w:r>
    </w:p>
    <w:p w14:paraId="29BF011E" w14:textId="77777777" w:rsidR="006549F2" w:rsidRDefault="00157F65">
      <w:pPr>
        <w:pStyle w:val="BodyText"/>
        <w:spacing w:line="256" w:lineRule="auto"/>
        <w:ind w:left="724" w:right="38" w:hanging="284"/>
        <w:jc w:val="both"/>
      </w:pPr>
      <w:r>
        <w:t xml:space="preserve">Tulp OL, Einstein GP. Treatment with α- </w:t>
      </w:r>
      <w:proofErr w:type="spellStart"/>
      <w:r>
        <w:t>methylparatyrosine</w:t>
      </w:r>
      <w:proofErr w:type="spellEnd"/>
      <w:r>
        <w:t xml:space="preserve"> inhibits sympathetic but not thyroidal responses to diet-induced thermogenesis in lean cafeteria-overfed rats. Curr Trends Toxi Pharma Res. </w:t>
      </w:r>
      <w:proofErr w:type="gramStart"/>
      <w:r>
        <w:t>2022;2:1</w:t>
      </w:r>
      <w:proofErr w:type="gramEnd"/>
      <w:r>
        <w:t>-6.</w:t>
      </w:r>
    </w:p>
    <w:p w14:paraId="1F9A9778" w14:textId="77777777" w:rsidR="006549F2" w:rsidRDefault="00157F65">
      <w:pPr>
        <w:pStyle w:val="BodyText"/>
        <w:spacing w:line="256" w:lineRule="auto"/>
        <w:ind w:left="724" w:right="39" w:hanging="284"/>
        <w:jc w:val="both"/>
      </w:pPr>
      <w:r>
        <w:t xml:space="preserve">Cannon B, Nedergaard JA (2004). </w:t>
      </w:r>
      <w:hyperlink r:id="rId28">
        <w:r>
          <w:t>Brown adipose tissue:</w:t>
        </w:r>
      </w:hyperlink>
      <w:r>
        <w:t xml:space="preserve"> </w:t>
      </w:r>
      <w:hyperlink r:id="rId29">
        <w:r>
          <w:t>Function and physiological significance.</w:t>
        </w:r>
      </w:hyperlink>
      <w:r>
        <w:t xml:space="preserve"> </w:t>
      </w:r>
      <w:proofErr w:type="spellStart"/>
      <w:r>
        <w:t>Physiol</w:t>
      </w:r>
      <w:proofErr w:type="spellEnd"/>
      <w:r>
        <w:t xml:space="preserve"> Rev.</w:t>
      </w:r>
    </w:p>
    <w:p w14:paraId="08B19995" w14:textId="77777777" w:rsidR="006549F2" w:rsidRDefault="00157F65">
      <w:pPr>
        <w:pStyle w:val="BodyText"/>
        <w:spacing w:line="256" w:lineRule="auto"/>
        <w:ind w:left="724" w:right="39" w:hanging="284"/>
        <w:jc w:val="both"/>
      </w:pPr>
      <w:r>
        <w:t xml:space="preserve">Danforth Jr E (1981). </w:t>
      </w:r>
      <w:hyperlink r:id="rId30">
        <w:r>
          <w:t>Dietary-induced thermogenesis:</w:t>
        </w:r>
      </w:hyperlink>
      <w:r>
        <w:t xml:space="preserve"> </w:t>
      </w:r>
      <w:hyperlink r:id="rId31">
        <w:r>
          <w:t>Control of energy expenditure.</w:t>
        </w:r>
      </w:hyperlink>
      <w:r>
        <w:t xml:space="preserve"> Life Sci. 28(15- </w:t>
      </w:r>
      <w:r>
        <w:rPr>
          <w:spacing w:val="-2"/>
        </w:rPr>
        <w:t>16):1821-1827.</w:t>
      </w:r>
    </w:p>
    <w:p w14:paraId="205DAB71" w14:textId="77777777" w:rsidR="006549F2" w:rsidRDefault="00157F65">
      <w:pPr>
        <w:pStyle w:val="BodyText"/>
        <w:spacing w:line="256" w:lineRule="auto"/>
        <w:ind w:left="724" w:right="38" w:hanging="284"/>
        <w:jc w:val="both"/>
      </w:pPr>
      <w:r>
        <w:t>Tulp OL, Frink R, Danforth E (1981). Effect of overfeeding-induced hyperplasia of brown adipose- tissue on the development of white adipose-tissue</w:t>
      </w:r>
      <w:r>
        <w:rPr>
          <w:spacing w:val="40"/>
        </w:rPr>
        <w:t xml:space="preserve"> </w:t>
      </w:r>
      <w:r>
        <w:t xml:space="preserve">and body-composition in post-weaning rats. </w:t>
      </w:r>
      <w:proofErr w:type="spellStart"/>
      <w:r>
        <w:t>Inclinical</w:t>
      </w:r>
      <w:proofErr w:type="spellEnd"/>
      <w:r>
        <w:t xml:space="preserve"> </w:t>
      </w:r>
      <w:r>
        <w:rPr>
          <w:spacing w:val="-2"/>
        </w:rPr>
        <w:t>Res.29(2):631-638.</w:t>
      </w:r>
    </w:p>
    <w:p w14:paraId="4486DE60" w14:textId="77777777" w:rsidR="006549F2" w:rsidRDefault="00157F65">
      <w:pPr>
        <w:pStyle w:val="BodyText"/>
        <w:spacing w:line="256" w:lineRule="auto"/>
        <w:ind w:left="724" w:right="39" w:hanging="284"/>
        <w:jc w:val="both"/>
      </w:pPr>
      <w:r>
        <w:t xml:space="preserve">Tulp OL, Chen Q, Tso P (1995). ICV implant of lean hypothalamic tissue normalized energy expenditure prior to weight change in </w:t>
      </w:r>
      <w:proofErr w:type="spellStart"/>
      <w:r>
        <w:t>obse</w:t>
      </w:r>
      <w:proofErr w:type="spellEnd"/>
      <w:r>
        <w:t xml:space="preserve"> Zucker rats. InProc, Western Bran ACS fall meet. 234.</w:t>
      </w:r>
    </w:p>
    <w:p w14:paraId="050DD7EE" w14:textId="77777777" w:rsidR="006549F2" w:rsidRDefault="00157F65">
      <w:pPr>
        <w:pStyle w:val="BodyText"/>
        <w:spacing w:line="256" w:lineRule="auto"/>
        <w:ind w:left="724" w:right="39" w:hanging="284"/>
        <w:jc w:val="both"/>
      </w:pPr>
      <w:r>
        <w:t>Tulp OL, Sainvil F, Branly R, Anderson M, Einstein GP (2023). Metabolic Contributions to subclinical hypothyroidism: Does dysregulation of thyroid hormone receptor affinity play a role? J Complement Int Med. 4(1):152-156.</w:t>
      </w:r>
    </w:p>
    <w:p w14:paraId="7F216AC6" w14:textId="77777777" w:rsidR="006549F2" w:rsidRDefault="00157F65">
      <w:pPr>
        <w:pStyle w:val="BodyText"/>
        <w:spacing w:line="256" w:lineRule="auto"/>
        <w:ind w:left="724" w:right="40" w:hanging="284"/>
        <w:jc w:val="both"/>
      </w:pPr>
      <w:r>
        <w:t xml:space="preserve">Hyde DL, Kelly LJ, Tulp OL (1983). The effect of exogenous thyroid hormone administration on body weight loss in </w:t>
      </w:r>
      <w:proofErr w:type="spellStart"/>
      <w:proofErr w:type="gramStart"/>
      <w:r>
        <w:t>th.e</w:t>
      </w:r>
      <w:proofErr w:type="spellEnd"/>
      <w:proofErr w:type="gramEnd"/>
      <w:r>
        <w:t xml:space="preserve"> corpulent rat. Proc J Mar Biol Assoc. 43.</w:t>
      </w:r>
    </w:p>
    <w:p w14:paraId="400A194D" w14:textId="77777777" w:rsidR="006549F2" w:rsidRDefault="00157F65">
      <w:pPr>
        <w:pStyle w:val="BodyText"/>
        <w:spacing w:before="69" w:line="256" w:lineRule="auto"/>
        <w:ind w:left="724" w:right="400" w:hanging="284"/>
        <w:jc w:val="both"/>
      </w:pPr>
      <w:r>
        <w:br w:type="column"/>
      </w:r>
      <w:r>
        <w:t xml:space="preserve">Gavin LA, McMahon FA, Moeller M (1981). </w:t>
      </w:r>
      <w:hyperlink r:id="rId32">
        <w:r>
          <w:t>The</w:t>
        </w:r>
      </w:hyperlink>
      <w:r>
        <w:t xml:space="preserve"> </w:t>
      </w:r>
      <w:hyperlink r:id="rId33">
        <w:r>
          <w:t>mechanism of impaired T3 production from T4 in</w:t>
        </w:r>
      </w:hyperlink>
      <w:r>
        <w:t xml:space="preserve"> </w:t>
      </w:r>
      <w:hyperlink r:id="rId34">
        <w:r>
          <w:t>diabetes.</w:t>
        </w:r>
      </w:hyperlink>
      <w:r>
        <w:t xml:space="preserve"> Diabetes. 30(8):694-99.</w:t>
      </w:r>
    </w:p>
    <w:p w14:paraId="5E79840D" w14:textId="77777777" w:rsidR="006549F2" w:rsidRDefault="00157F65">
      <w:pPr>
        <w:pStyle w:val="BodyText"/>
        <w:spacing w:line="256" w:lineRule="auto"/>
        <w:ind w:left="724" w:right="402" w:hanging="284"/>
        <w:jc w:val="both"/>
      </w:pPr>
      <w:r>
        <w:t xml:space="preserve">Carter-Su C, Okamoto K (1987). </w:t>
      </w:r>
      <w:hyperlink r:id="rId35">
        <w:r>
          <w:t>Effect of insulin and</w:t>
        </w:r>
      </w:hyperlink>
      <w:r>
        <w:t xml:space="preserve"> </w:t>
      </w:r>
      <w:hyperlink r:id="rId36">
        <w:r>
          <w:t>glucocorticoids on glucose transporters in rat</w:t>
        </w:r>
      </w:hyperlink>
      <w:r>
        <w:t xml:space="preserve"> </w:t>
      </w:r>
      <w:hyperlink r:id="rId37">
        <w:r>
          <w:t>adipocytes.</w:t>
        </w:r>
      </w:hyperlink>
      <w:r>
        <w:t xml:space="preserve"> Am J </w:t>
      </w:r>
      <w:proofErr w:type="spellStart"/>
      <w:r>
        <w:t>Physiol</w:t>
      </w:r>
      <w:proofErr w:type="spellEnd"/>
      <w:r>
        <w:t xml:space="preserve"> Cell Physiol. 252(41):441- </w:t>
      </w:r>
      <w:r>
        <w:rPr>
          <w:spacing w:val="-4"/>
        </w:rPr>
        <w:t>453.</w:t>
      </w:r>
    </w:p>
    <w:p w14:paraId="76CBC1D5" w14:textId="77777777" w:rsidR="006549F2" w:rsidRDefault="00157F65">
      <w:pPr>
        <w:pStyle w:val="BodyText"/>
        <w:spacing w:line="256" w:lineRule="auto"/>
        <w:ind w:left="724" w:right="402" w:hanging="284"/>
        <w:jc w:val="both"/>
      </w:pPr>
      <w:r>
        <w:t xml:space="preserve">Kahn SE, Hull RL, </w:t>
      </w:r>
      <w:proofErr w:type="spellStart"/>
      <w:r>
        <w:t>Utzschneider</w:t>
      </w:r>
      <w:proofErr w:type="spellEnd"/>
      <w:r>
        <w:t xml:space="preserve"> KM (2006). </w:t>
      </w:r>
      <w:hyperlink r:id="rId38">
        <w:r>
          <w:t>Mechanisms</w:t>
        </w:r>
      </w:hyperlink>
      <w:r>
        <w:t xml:space="preserve"> </w:t>
      </w:r>
      <w:hyperlink r:id="rId39">
        <w:r>
          <w:t>linking obesity to insulin resistance and type 2</w:t>
        </w:r>
      </w:hyperlink>
      <w:r>
        <w:rPr>
          <w:spacing w:val="40"/>
        </w:rPr>
        <w:t xml:space="preserve"> </w:t>
      </w:r>
      <w:hyperlink r:id="rId40">
        <w:r>
          <w:t>diabetes.</w:t>
        </w:r>
      </w:hyperlink>
      <w:r>
        <w:t xml:space="preserve"> Nature. 444(7121):840-846.</w:t>
      </w:r>
    </w:p>
    <w:p w14:paraId="01D803CA" w14:textId="77777777" w:rsidR="006549F2" w:rsidRDefault="00157F65">
      <w:pPr>
        <w:pStyle w:val="BodyText"/>
        <w:spacing w:line="256" w:lineRule="auto"/>
        <w:ind w:left="724" w:right="400" w:hanging="284"/>
        <w:jc w:val="both"/>
      </w:pPr>
      <w:r>
        <w:t xml:space="preserve">James DE, Brown R, Navarro J, Pilch PF (1988). </w:t>
      </w:r>
      <w:hyperlink r:id="rId41">
        <w:r>
          <w:t>Insulin-</w:t>
        </w:r>
      </w:hyperlink>
      <w:r>
        <w:t xml:space="preserve"> </w:t>
      </w:r>
      <w:hyperlink r:id="rId42">
        <w:r>
          <w:t>regulatable tissues express a unique insulin-sensitive</w:t>
        </w:r>
      </w:hyperlink>
      <w:r>
        <w:t xml:space="preserve"> </w:t>
      </w:r>
      <w:hyperlink r:id="rId43">
        <w:r>
          <w:t>glucose transport protein.</w:t>
        </w:r>
      </w:hyperlink>
      <w:r>
        <w:t xml:space="preserve"> Nature. 333(6169):183-185.</w:t>
      </w:r>
    </w:p>
    <w:p w14:paraId="57161627" w14:textId="77777777" w:rsidR="006549F2" w:rsidRDefault="00157F65">
      <w:pPr>
        <w:pStyle w:val="BodyText"/>
        <w:spacing w:line="256" w:lineRule="auto"/>
        <w:ind w:left="724" w:right="402" w:hanging="284"/>
        <w:jc w:val="both"/>
      </w:pPr>
      <w:r>
        <w:t xml:space="preserve">Young NL (1991). Adaptive thermogenesis and thyroid hormone function in the LA/N-corpulent rat. Drexel </w:t>
      </w:r>
      <w:r>
        <w:rPr>
          <w:spacing w:val="-2"/>
        </w:rPr>
        <w:t>University.</w:t>
      </w:r>
    </w:p>
    <w:p w14:paraId="055CB1BD" w14:textId="77777777" w:rsidR="006549F2" w:rsidRDefault="00157F65">
      <w:pPr>
        <w:pStyle w:val="BodyText"/>
        <w:spacing w:line="256" w:lineRule="auto"/>
        <w:ind w:left="724" w:right="401" w:hanging="284"/>
        <w:jc w:val="both"/>
      </w:pPr>
      <w:proofErr w:type="spellStart"/>
      <w:r>
        <w:t>Anyetei</w:t>
      </w:r>
      <w:proofErr w:type="spellEnd"/>
      <w:r>
        <w:t>-Anum CS, Roggero VR, Allison LA (2018).</w:t>
      </w:r>
      <w:r>
        <w:rPr>
          <w:spacing w:val="40"/>
        </w:rPr>
        <w:t xml:space="preserve"> </w:t>
      </w:r>
      <w:hyperlink r:id="rId44">
        <w:r>
          <w:t>Thyroid hormone receptor localization in target tissues.</w:t>
        </w:r>
      </w:hyperlink>
      <w:r>
        <w:t xml:space="preserve"> J Endocrinol. 237(1):19-34.</w:t>
      </w:r>
    </w:p>
    <w:p w14:paraId="501B426D" w14:textId="77777777" w:rsidR="006549F2" w:rsidRDefault="00157F65">
      <w:pPr>
        <w:pStyle w:val="BodyText"/>
        <w:spacing w:line="256" w:lineRule="auto"/>
        <w:ind w:left="724" w:right="402" w:hanging="284"/>
        <w:jc w:val="both"/>
      </w:pPr>
      <w:r>
        <w:t xml:space="preserve">Sabatino L, </w:t>
      </w:r>
      <w:proofErr w:type="spellStart"/>
      <w:r>
        <w:t>Vassalle</w:t>
      </w:r>
      <w:proofErr w:type="spellEnd"/>
      <w:r>
        <w:t xml:space="preserve"> C, Del </w:t>
      </w:r>
      <w:proofErr w:type="spellStart"/>
      <w:r>
        <w:t>Seppia</w:t>
      </w:r>
      <w:proofErr w:type="spellEnd"/>
      <w:r>
        <w:t xml:space="preserve"> C, </w:t>
      </w:r>
      <w:proofErr w:type="spellStart"/>
      <w:r>
        <w:t>Lervasi</w:t>
      </w:r>
      <w:proofErr w:type="spellEnd"/>
      <w:r>
        <w:t xml:space="preserve"> G (2021). </w:t>
      </w:r>
      <w:hyperlink r:id="rId45">
        <w:r>
          <w:t>Deiodinases and the three types of thyroid hormone</w:t>
        </w:r>
      </w:hyperlink>
      <w:r>
        <w:t xml:space="preserve"> </w:t>
      </w:r>
      <w:hyperlink r:id="rId46">
        <w:r>
          <w:t>deiodination reactions.</w:t>
        </w:r>
      </w:hyperlink>
      <w:r>
        <w:t xml:space="preserve"> Endocrinol </w:t>
      </w:r>
      <w:proofErr w:type="spellStart"/>
      <w:r>
        <w:t>Metab</w:t>
      </w:r>
      <w:proofErr w:type="spellEnd"/>
      <w:r>
        <w:t xml:space="preserve">. 36(5):952- </w:t>
      </w:r>
      <w:r>
        <w:rPr>
          <w:spacing w:val="-4"/>
        </w:rPr>
        <w:t>964.</w:t>
      </w:r>
    </w:p>
    <w:p w14:paraId="40D0343A" w14:textId="77777777" w:rsidR="006549F2" w:rsidRDefault="00157F65">
      <w:pPr>
        <w:pStyle w:val="BodyText"/>
        <w:spacing w:line="256" w:lineRule="auto"/>
        <w:ind w:left="724" w:right="404" w:hanging="284"/>
        <w:jc w:val="both"/>
      </w:pPr>
      <w:r>
        <w:t xml:space="preserve">Kelly T, Yang W, Chen CS, Reynolds K, He J (2008). </w:t>
      </w:r>
      <w:hyperlink r:id="rId47">
        <w:r>
          <w:t>Global burden of obesity in 2005 and projections to</w:t>
        </w:r>
      </w:hyperlink>
      <w:r>
        <w:t xml:space="preserve"> </w:t>
      </w:r>
      <w:hyperlink r:id="rId48">
        <w:r>
          <w:t>2030.</w:t>
        </w:r>
      </w:hyperlink>
      <w:r>
        <w:t xml:space="preserve"> Int J </w:t>
      </w:r>
      <w:proofErr w:type="spellStart"/>
      <w:r>
        <w:t>Obes</w:t>
      </w:r>
      <w:proofErr w:type="spellEnd"/>
      <w:r>
        <w:t>. 32(9):1431-1437.</w:t>
      </w:r>
    </w:p>
    <w:p w14:paraId="0E706CBD" w14:textId="77777777" w:rsidR="006549F2" w:rsidRDefault="00157F65">
      <w:pPr>
        <w:pStyle w:val="BodyText"/>
        <w:spacing w:line="256" w:lineRule="auto"/>
        <w:ind w:left="724" w:right="402" w:hanging="284"/>
        <w:jc w:val="both"/>
      </w:pPr>
      <w:r>
        <w:t>Tulp OL, Sainvil F, Branly R, Anderson M, Einstein GP (2003). Metabolic contributions to subclinical hypothyroidism:</w:t>
      </w:r>
      <w:r>
        <w:rPr>
          <w:spacing w:val="-5"/>
        </w:rPr>
        <w:t xml:space="preserve"> </w:t>
      </w:r>
      <w:r>
        <w:t>Does</w:t>
      </w:r>
      <w:r>
        <w:rPr>
          <w:spacing w:val="-6"/>
        </w:rPr>
        <w:t xml:space="preserve"> </w:t>
      </w:r>
      <w:r>
        <w:t>dysregulation</w:t>
      </w:r>
      <w:r>
        <w:rPr>
          <w:spacing w:val="-6"/>
        </w:rPr>
        <w:t xml:space="preserve"> </w:t>
      </w:r>
      <w:r>
        <w:t>of</w:t>
      </w:r>
      <w:r>
        <w:rPr>
          <w:spacing w:val="-5"/>
        </w:rPr>
        <w:t xml:space="preserve"> </w:t>
      </w:r>
      <w:r>
        <w:t>thyroid</w:t>
      </w:r>
      <w:r>
        <w:rPr>
          <w:spacing w:val="-6"/>
        </w:rPr>
        <w:t xml:space="preserve"> </w:t>
      </w:r>
      <w:r>
        <w:t xml:space="preserve">hormone receptor affinity play a role? J Complement Inter Med. </w:t>
      </w:r>
      <w:r>
        <w:rPr>
          <w:spacing w:val="-2"/>
        </w:rPr>
        <w:t>4(1):152-156.</w:t>
      </w:r>
    </w:p>
    <w:p w14:paraId="0A085612" w14:textId="77777777" w:rsidR="006549F2" w:rsidRDefault="006549F2">
      <w:pPr>
        <w:pStyle w:val="BodyText"/>
        <w:spacing w:line="256" w:lineRule="auto"/>
        <w:jc w:val="both"/>
        <w:sectPr w:rsidR="006549F2">
          <w:pgSz w:w="11910" w:h="16860"/>
          <w:pgMar w:top="1180" w:right="283" w:bottom="280" w:left="425" w:header="720" w:footer="720" w:gutter="0"/>
          <w:cols w:num="2" w:space="720" w:equalWidth="0">
            <w:col w:w="5312" w:space="110"/>
            <w:col w:w="5780"/>
          </w:cols>
        </w:sectPr>
      </w:pPr>
    </w:p>
    <w:p w14:paraId="7CDAA7FC" w14:textId="77777777" w:rsidR="006549F2" w:rsidRDefault="006549F2">
      <w:pPr>
        <w:pStyle w:val="BodyText"/>
        <w:rPr>
          <w:sz w:val="16"/>
        </w:rPr>
      </w:pPr>
    </w:p>
    <w:p w14:paraId="6B6B5845" w14:textId="77777777" w:rsidR="006549F2" w:rsidRDefault="006549F2">
      <w:pPr>
        <w:pStyle w:val="BodyText"/>
        <w:rPr>
          <w:sz w:val="16"/>
        </w:rPr>
      </w:pPr>
    </w:p>
    <w:p w14:paraId="1026344C" w14:textId="77777777" w:rsidR="006549F2" w:rsidRDefault="006549F2">
      <w:pPr>
        <w:pStyle w:val="BodyText"/>
        <w:rPr>
          <w:sz w:val="16"/>
        </w:rPr>
      </w:pPr>
    </w:p>
    <w:p w14:paraId="24B10A5F" w14:textId="77777777" w:rsidR="006549F2" w:rsidRDefault="006549F2">
      <w:pPr>
        <w:pStyle w:val="BodyText"/>
        <w:rPr>
          <w:sz w:val="16"/>
        </w:rPr>
      </w:pPr>
    </w:p>
    <w:p w14:paraId="36E7B248" w14:textId="77777777" w:rsidR="006549F2" w:rsidRDefault="006549F2">
      <w:pPr>
        <w:pStyle w:val="BodyText"/>
        <w:rPr>
          <w:sz w:val="16"/>
        </w:rPr>
      </w:pPr>
    </w:p>
    <w:p w14:paraId="71AF50D7" w14:textId="77777777" w:rsidR="006549F2" w:rsidRDefault="006549F2">
      <w:pPr>
        <w:pStyle w:val="BodyText"/>
        <w:rPr>
          <w:sz w:val="16"/>
        </w:rPr>
      </w:pPr>
    </w:p>
    <w:p w14:paraId="6DBD3C64" w14:textId="77777777" w:rsidR="006549F2" w:rsidRDefault="006549F2">
      <w:pPr>
        <w:pStyle w:val="BodyText"/>
        <w:rPr>
          <w:sz w:val="16"/>
        </w:rPr>
      </w:pPr>
    </w:p>
    <w:p w14:paraId="0FC2C4F0" w14:textId="77777777" w:rsidR="006549F2" w:rsidRDefault="006549F2">
      <w:pPr>
        <w:pStyle w:val="BodyText"/>
        <w:rPr>
          <w:sz w:val="16"/>
        </w:rPr>
      </w:pPr>
    </w:p>
    <w:p w14:paraId="3E09E15C" w14:textId="77777777" w:rsidR="006549F2" w:rsidRDefault="006549F2">
      <w:pPr>
        <w:pStyle w:val="BodyText"/>
        <w:rPr>
          <w:sz w:val="16"/>
        </w:rPr>
      </w:pPr>
    </w:p>
    <w:p w14:paraId="1C176CC7" w14:textId="77777777" w:rsidR="006549F2" w:rsidRDefault="006549F2">
      <w:pPr>
        <w:pStyle w:val="BodyText"/>
        <w:rPr>
          <w:sz w:val="16"/>
        </w:rPr>
      </w:pPr>
    </w:p>
    <w:p w14:paraId="49B4C66A" w14:textId="77777777" w:rsidR="006549F2" w:rsidRDefault="006549F2">
      <w:pPr>
        <w:pStyle w:val="BodyText"/>
        <w:rPr>
          <w:sz w:val="16"/>
        </w:rPr>
      </w:pPr>
    </w:p>
    <w:p w14:paraId="372CAC39" w14:textId="77777777" w:rsidR="006549F2" w:rsidRDefault="006549F2">
      <w:pPr>
        <w:pStyle w:val="BodyText"/>
        <w:rPr>
          <w:sz w:val="16"/>
        </w:rPr>
      </w:pPr>
    </w:p>
    <w:p w14:paraId="47D7C6C5" w14:textId="77777777" w:rsidR="006549F2" w:rsidRDefault="006549F2">
      <w:pPr>
        <w:pStyle w:val="BodyText"/>
        <w:rPr>
          <w:sz w:val="16"/>
        </w:rPr>
      </w:pPr>
    </w:p>
    <w:p w14:paraId="3BF15905" w14:textId="77777777" w:rsidR="006549F2" w:rsidRDefault="006549F2">
      <w:pPr>
        <w:pStyle w:val="BodyText"/>
        <w:rPr>
          <w:sz w:val="16"/>
        </w:rPr>
      </w:pPr>
    </w:p>
    <w:p w14:paraId="34F0EC69" w14:textId="77777777" w:rsidR="006549F2" w:rsidRDefault="006549F2">
      <w:pPr>
        <w:pStyle w:val="BodyText"/>
        <w:rPr>
          <w:sz w:val="16"/>
        </w:rPr>
      </w:pPr>
    </w:p>
    <w:p w14:paraId="19AA3896" w14:textId="77777777" w:rsidR="006549F2" w:rsidRDefault="006549F2">
      <w:pPr>
        <w:pStyle w:val="BodyText"/>
        <w:rPr>
          <w:sz w:val="16"/>
        </w:rPr>
      </w:pPr>
    </w:p>
    <w:p w14:paraId="32498E10" w14:textId="77777777" w:rsidR="006549F2" w:rsidRDefault="006549F2">
      <w:pPr>
        <w:pStyle w:val="BodyText"/>
        <w:rPr>
          <w:sz w:val="16"/>
        </w:rPr>
      </w:pPr>
    </w:p>
    <w:p w14:paraId="4ADBBECC" w14:textId="77777777" w:rsidR="006549F2" w:rsidRDefault="006549F2">
      <w:pPr>
        <w:pStyle w:val="BodyText"/>
        <w:rPr>
          <w:sz w:val="16"/>
        </w:rPr>
      </w:pPr>
    </w:p>
    <w:p w14:paraId="6B3380C8" w14:textId="77777777" w:rsidR="006549F2" w:rsidRDefault="006549F2">
      <w:pPr>
        <w:pStyle w:val="BodyText"/>
        <w:rPr>
          <w:sz w:val="16"/>
        </w:rPr>
      </w:pPr>
    </w:p>
    <w:p w14:paraId="31E06F58" w14:textId="77777777" w:rsidR="006549F2" w:rsidRDefault="006549F2">
      <w:pPr>
        <w:pStyle w:val="BodyText"/>
        <w:rPr>
          <w:sz w:val="16"/>
        </w:rPr>
      </w:pPr>
    </w:p>
    <w:p w14:paraId="0A1C5206" w14:textId="77777777" w:rsidR="006549F2" w:rsidRDefault="006549F2">
      <w:pPr>
        <w:pStyle w:val="BodyText"/>
        <w:rPr>
          <w:sz w:val="16"/>
        </w:rPr>
      </w:pPr>
    </w:p>
    <w:p w14:paraId="7B83557E" w14:textId="77777777" w:rsidR="006549F2" w:rsidRDefault="006549F2">
      <w:pPr>
        <w:pStyle w:val="BodyText"/>
        <w:rPr>
          <w:sz w:val="16"/>
        </w:rPr>
      </w:pPr>
    </w:p>
    <w:p w14:paraId="7873AE24" w14:textId="77777777" w:rsidR="006549F2" w:rsidRDefault="006549F2">
      <w:pPr>
        <w:pStyle w:val="BodyText"/>
        <w:rPr>
          <w:sz w:val="16"/>
        </w:rPr>
      </w:pPr>
    </w:p>
    <w:p w14:paraId="08ECA686" w14:textId="77777777" w:rsidR="006549F2" w:rsidRDefault="006549F2">
      <w:pPr>
        <w:pStyle w:val="BodyText"/>
        <w:rPr>
          <w:sz w:val="16"/>
        </w:rPr>
      </w:pPr>
    </w:p>
    <w:p w14:paraId="79BD1780" w14:textId="77777777" w:rsidR="006549F2" w:rsidRDefault="006549F2">
      <w:pPr>
        <w:pStyle w:val="BodyText"/>
        <w:rPr>
          <w:sz w:val="16"/>
        </w:rPr>
      </w:pPr>
    </w:p>
    <w:p w14:paraId="663B8BE0" w14:textId="77777777" w:rsidR="006549F2" w:rsidRDefault="006549F2">
      <w:pPr>
        <w:pStyle w:val="BodyText"/>
        <w:rPr>
          <w:sz w:val="16"/>
        </w:rPr>
      </w:pPr>
    </w:p>
    <w:p w14:paraId="1571EC51" w14:textId="77777777" w:rsidR="006549F2" w:rsidRDefault="006549F2">
      <w:pPr>
        <w:pStyle w:val="BodyText"/>
        <w:rPr>
          <w:sz w:val="16"/>
        </w:rPr>
      </w:pPr>
    </w:p>
    <w:p w14:paraId="4E838E08" w14:textId="77777777" w:rsidR="006549F2" w:rsidRDefault="006549F2">
      <w:pPr>
        <w:pStyle w:val="BodyText"/>
        <w:rPr>
          <w:sz w:val="16"/>
        </w:rPr>
      </w:pPr>
    </w:p>
    <w:p w14:paraId="27ECA1FF" w14:textId="77777777" w:rsidR="006549F2" w:rsidRDefault="006549F2">
      <w:pPr>
        <w:pStyle w:val="BodyText"/>
        <w:rPr>
          <w:sz w:val="16"/>
        </w:rPr>
      </w:pPr>
    </w:p>
    <w:p w14:paraId="3C0F8C5A" w14:textId="77777777" w:rsidR="006549F2" w:rsidRDefault="006549F2">
      <w:pPr>
        <w:pStyle w:val="BodyText"/>
        <w:rPr>
          <w:sz w:val="16"/>
        </w:rPr>
      </w:pPr>
    </w:p>
    <w:p w14:paraId="3B8834EF" w14:textId="77777777" w:rsidR="006549F2" w:rsidRDefault="006549F2">
      <w:pPr>
        <w:pStyle w:val="BodyText"/>
        <w:rPr>
          <w:sz w:val="16"/>
        </w:rPr>
      </w:pPr>
    </w:p>
    <w:p w14:paraId="73637F4D" w14:textId="77777777" w:rsidR="006549F2" w:rsidRDefault="006549F2">
      <w:pPr>
        <w:pStyle w:val="BodyText"/>
        <w:rPr>
          <w:sz w:val="16"/>
        </w:rPr>
      </w:pPr>
    </w:p>
    <w:p w14:paraId="4B179BF1" w14:textId="77777777" w:rsidR="006549F2" w:rsidRDefault="006549F2">
      <w:pPr>
        <w:pStyle w:val="BodyText"/>
        <w:rPr>
          <w:sz w:val="16"/>
        </w:rPr>
      </w:pPr>
    </w:p>
    <w:p w14:paraId="63C646D6" w14:textId="77777777" w:rsidR="006549F2" w:rsidRDefault="006549F2">
      <w:pPr>
        <w:pStyle w:val="BodyText"/>
        <w:rPr>
          <w:sz w:val="16"/>
        </w:rPr>
      </w:pPr>
    </w:p>
    <w:p w14:paraId="48987B39" w14:textId="77777777" w:rsidR="006549F2" w:rsidRDefault="006549F2">
      <w:pPr>
        <w:pStyle w:val="BodyText"/>
        <w:rPr>
          <w:sz w:val="16"/>
        </w:rPr>
      </w:pPr>
    </w:p>
    <w:p w14:paraId="1CBC20BC" w14:textId="77777777" w:rsidR="006549F2" w:rsidRDefault="006549F2">
      <w:pPr>
        <w:pStyle w:val="BodyText"/>
        <w:rPr>
          <w:sz w:val="16"/>
        </w:rPr>
      </w:pPr>
    </w:p>
    <w:p w14:paraId="78409CC4" w14:textId="77777777" w:rsidR="006549F2" w:rsidRDefault="006549F2">
      <w:pPr>
        <w:pStyle w:val="BodyText"/>
        <w:rPr>
          <w:sz w:val="16"/>
        </w:rPr>
      </w:pPr>
    </w:p>
    <w:p w14:paraId="61CB0E8D" w14:textId="77777777" w:rsidR="006549F2" w:rsidRDefault="006549F2">
      <w:pPr>
        <w:pStyle w:val="BodyText"/>
        <w:rPr>
          <w:sz w:val="16"/>
        </w:rPr>
      </w:pPr>
    </w:p>
    <w:p w14:paraId="45FA2119" w14:textId="77777777" w:rsidR="006549F2" w:rsidRDefault="006549F2">
      <w:pPr>
        <w:pStyle w:val="BodyText"/>
        <w:spacing w:before="84"/>
        <w:rPr>
          <w:sz w:val="16"/>
        </w:rPr>
      </w:pPr>
    </w:p>
    <w:sectPr w:rsidR="006549F2">
      <w:type w:val="continuous"/>
      <w:pgSz w:w="11910" w:h="16860"/>
      <w:pgMar w:top="1220" w:right="283" w:bottom="280" w:left="42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ta Ann Johnson" w:date="2025-04-08T15:10:00Z" w:initials="NA">
    <w:p w14:paraId="3E21F485" w14:textId="77777777" w:rsidR="00FB783E" w:rsidRDefault="00FB783E" w:rsidP="00FB783E">
      <w:pPr>
        <w:pStyle w:val="CommentText"/>
      </w:pPr>
      <w:r>
        <w:rPr>
          <w:rStyle w:val="CommentReference"/>
        </w:rPr>
        <w:annotationRef/>
      </w:r>
      <w:r>
        <w:rPr>
          <w:lang w:val="en-IN"/>
        </w:rPr>
        <w:t>Scientific name needs to be mentioned at least once and abbreviations can be followed through.</w:t>
      </w:r>
    </w:p>
  </w:comment>
  <w:comment w:id="1" w:author="Nita Ann Johnson" w:date="2025-04-08T15:12:00Z" w:initials="NA">
    <w:p w14:paraId="4C743B52" w14:textId="77777777" w:rsidR="0010525C" w:rsidRDefault="0010525C" w:rsidP="0010525C">
      <w:pPr>
        <w:pStyle w:val="CommentText"/>
      </w:pPr>
      <w:r>
        <w:rPr>
          <w:rStyle w:val="CommentReference"/>
        </w:rPr>
        <w:annotationRef/>
      </w:r>
      <w:r>
        <w:rPr>
          <w:lang w:val="en-IN"/>
        </w:rPr>
        <w:t>Check spelling</w:t>
      </w:r>
    </w:p>
  </w:comment>
  <w:comment w:id="2" w:author="Nita Ann Johnson" w:date="2025-04-08T15:12:00Z" w:initials="NA">
    <w:p w14:paraId="607C1339" w14:textId="77777777" w:rsidR="0010525C" w:rsidRDefault="0010525C" w:rsidP="0010525C">
      <w:pPr>
        <w:pStyle w:val="CommentText"/>
      </w:pPr>
      <w:r>
        <w:rPr>
          <w:rStyle w:val="CommentReference"/>
        </w:rPr>
        <w:annotationRef/>
      </w:r>
      <w:r>
        <w:rPr>
          <w:lang w:val="en-IN"/>
        </w:rPr>
        <w:t>Replace with Molecular biology</w:t>
      </w:r>
    </w:p>
  </w:comment>
  <w:comment w:id="3" w:author="Nita Ann Johnson" w:date="2025-04-08T15:12:00Z" w:initials="NA">
    <w:p w14:paraId="12FC8B5D" w14:textId="77777777" w:rsidR="0010525C" w:rsidRDefault="0010525C" w:rsidP="0010525C">
      <w:pPr>
        <w:pStyle w:val="CommentText"/>
      </w:pPr>
      <w:r>
        <w:rPr>
          <w:rStyle w:val="CommentReference"/>
        </w:rPr>
        <w:annotationRef/>
      </w:r>
      <w:r>
        <w:rPr>
          <w:lang w:val="en-IN"/>
        </w:rPr>
        <w:t>Replace with thyroid function tests</w:t>
      </w:r>
    </w:p>
  </w:comment>
  <w:comment w:id="4" w:author="Nita Ann Johnson" w:date="2025-04-08T15:14:00Z" w:initials="NA">
    <w:p w14:paraId="3596A37C" w14:textId="77777777" w:rsidR="0010525C" w:rsidRDefault="0010525C" w:rsidP="0010525C">
      <w:pPr>
        <w:pStyle w:val="CommentText"/>
      </w:pPr>
      <w:r>
        <w:rPr>
          <w:rStyle w:val="CommentReference"/>
        </w:rPr>
        <w:annotationRef/>
      </w:r>
      <w:r>
        <w:rPr>
          <w:lang w:val="en-IN"/>
        </w:rPr>
        <w:t>May need to be removed or added as a citation.</w:t>
      </w:r>
    </w:p>
  </w:comment>
  <w:comment w:id="5" w:author="Nita Ann Johnson" w:date="2025-04-08T15:14:00Z" w:initials="NA">
    <w:p w14:paraId="0F20ACA6" w14:textId="77777777" w:rsidR="0010525C" w:rsidRDefault="0010525C" w:rsidP="0010525C">
      <w:pPr>
        <w:pStyle w:val="CommentText"/>
      </w:pPr>
      <w:r>
        <w:rPr>
          <w:rStyle w:val="CommentReference"/>
        </w:rPr>
        <w:annotationRef/>
      </w:r>
      <w:r>
        <w:rPr>
          <w:lang w:val="en-IN"/>
        </w:rPr>
        <w:t>Check grammar</w:t>
      </w:r>
    </w:p>
  </w:comment>
  <w:comment w:id="6" w:author="Nita Ann Johnson" w:date="2025-04-08T15:14:00Z" w:initials="NA">
    <w:p w14:paraId="1034713B" w14:textId="77777777" w:rsidR="0010525C" w:rsidRDefault="0010525C" w:rsidP="0010525C">
      <w:pPr>
        <w:pStyle w:val="CommentText"/>
      </w:pPr>
      <w:r>
        <w:rPr>
          <w:rStyle w:val="CommentReference"/>
        </w:rPr>
        <w:annotationRef/>
      </w:r>
      <w:r>
        <w:rPr>
          <w:lang w:val="en-IN"/>
        </w:rPr>
        <w:t>May need to be expanded.</w:t>
      </w:r>
    </w:p>
  </w:comment>
  <w:comment w:id="7" w:author="Nita Ann Johnson" w:date="2025-04-08T15:14:00Z" w:initials="NA">
    <w:p w14:paraId="22CA7E94" w14:textId="77777777" w:rsidR="0010525C" w:rsidRDefault="0010525C" w:rsidP="0010525C">
      <w:pPr>
        <w:pStyle w:val="CommentText"/>
      </w:pPr>
      <w:r>
        <w:rPr>
          <w:rStyle w:val="CommentReference"/>
        </w:rPr>
        <w:annotationRef/>
      </w:r>
      <w:r>
        <w:rPr>
          <w:lang w:val="en-IN"/>
        </w:rPr>
        <w:t>May need to be rephrased as the current version in unclear.</w:t>
      </w:r>
    </w:p>
  </w:comment>
  <w:comment w:id="8" w:author="Nita Ann Johnson" w:date="2025-04-08T15:15:00Z" w:initials="NA">
    <w:p w14:paraId="7137C962" w14:textId="77777777" w:rsidR="0010525C" w:rsidRDefault="0010525C" w:rsidP="0010525C">
      <w:pPr>
        <w:pStyle w:val="CommentText"/>
      </w:pPr>
      <w:r>
        <w:rPr>
          <w:rStyle w:val="CommentReference"/>
        </w:rPr>
        <w:annotationRef/>
      </w:r>
      <w:r>
        <w:rPr>
          <w:lang w:val="en-IN"/>
        </w:rPr>
        <w:t>May need explanation.</w:t>
      </w:r>
    </w:p>
  </w:comment>
  <w:comment w:id="9" w:author="Nita Ann Johnson" w:date="2025-04-08T15:15:00Z" w:initials="NA">
    <w:p w14:paraId="0E03F9A5" w14:textId="77777777" w:rsidR="0010525C" w:rsidRDefault="0010525C" w:rsidP="0010525C">
      <w:pPr>
        <w:pStyle w:val="CommentText"/>
      </w:pPr>
      <w:r>
        <w:rPr>
          <w:rStyle w:val="CommentReference"/>
        </w:rPr>
        <w:annotationRef/>
      </w:r>
      <w:r>
        <w:rPr>
          <w:lang w:val="en-IN"/>
        </w:rPr>
        <w:t>Remove “to”.</w:t>
      </w:r>
    </w:p>
  </w:comment>
  <w:comment w:id="10" w:author="Nita Ann Johnson" w:date="2025-04-08T15:16:00Z" w:initials="NA">
    <w:p w14:paraId="4371B7DB" w14:textId="77777777" w:rsidR="0010525C" w:rsidRDefault="0010525C" w:rsidP="0010525C">
      <w:pPr>
        <w:pStyle w:val="CommentText"/>
      </w:pPr>
      <w:r>
        <w:rPr>
          <w:rStyle w:val="CommentReference"/>
        </w:rPr>
        <w:annotationRef/>
      </w:r>
      <w:r>
        <w:rPr>
          <w:lang w:val="en-IN"/>
        </w:rPr>
        <w:t>“completed” does not seem to be the suitable word here.</w:t>
      </w:r>
    </w:p>
  </w:comment>
  <w:comment w:id="11" w:author="Nita Ann Johnson" w:date="2025-04-08T15:16:00Z" w:initials="NA">
    <w:p w14:paraId="103DD023" w14:textId="77777777" w:rsidR="0010525C" w:rsidRDefault="0010525C" w:rsidP="0010525C">
      <w:pPr>
        <w:pStyle w:val="CommentText"/>
      </w:pPr>
      <w:r>
        <w:rPr>
          <w:rStyle w:val="CommentReference"/>
        </w:rPr>
        <w:annotationRef/>
      </w:r>
      <w:r>
        <w:rPr>
          <w:lang w:val="en-IN"/>
        </w:rPr>
        <w:t>These sentences may have to be rewritten in scientific or formal tone.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21F485" w15:done="0"/>
  <w15:commentEx w15:paraId="4C743B52" w15:done="0"/>
  <w15:commentEx w15:paraId="607C1339" w15:done="0"/>
  <w15:commentEx w15:paraId="12FC8B5D" w15:done="0"/>
  <w15:commentEx w15:paraId="3596A37C" w15:done="0"/>
  <w15:commentEx w15:paraId="0F20ACA6" w15:done="0"/>
  <w15:commentEx w15:paraId="1034713B" w15:done="0"/>
  <w15:commentEx w15:paraId="22CA7E94" w15:done="0"/>
  <w15:commentEx w15:paraId="7137C962" w15:done="0"/>
  <w15:commentEx w15:paraId="0E03F9A5" w15:done="0"/>
  <w15:commentEx w15:paraId="4371B7DB" w15:done="0"/>
  <w15:commentEx w15:paraId="103DD0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0DCDA0" w16cex:dateUtc="2025-04-08T09:40:00Z"/>
  <w16cex:commentExtensible w16cex:durableId="38972071" w16cex:dateUtc="2025-04-08T09:42:00Z"/>
  <w16cex:commentExtensible w16cex:durableId="2C7BE179" w16cex:dateUtc="2025-04-08T09:42:00Z"/>
  <w16cex:commentExtensible w16cex:durableId="1F0645C8" w16cex:dateUtc="2025-04-08T09:42:00Z"/>
  <w16cex:commentExtensible w16cex:durableId="46DE0A3F" w16cex:dateUtc="2025-04-08T09:44:00Z"/>
  <w16cex:commentExtensible w16cex:durableId="39C37903" w16cex:dateUtc="2025-04-08T09:44:00Z"/>
  <w16cex:commentExtensible w16cex:durableId="63D50D82" w16cex:dateUtc="2025-04-08T09:44:00Z"/>
  <w16cex:commentExtensible w16cex:durableId="46EEA440" w16cex:dateUtc="2025-04-08T09:44:00Z"/>
  <w16cex:commentExtensible w16cex:durableId="0BB263B6" w16cex:dateUtc="2025-04-08T09:45:00Z"/>
  <w16cex:commentExtensible w16cex:durableId="4A8E3DB2" w16cex:dateUtc="2025-04-08T09:45:00Z"/>
  <w16cex:commentExtensible w16cex:durableId="66EAB8A4" w16cex:dateUtc="2025-04-08T09:46:00Z"/>
  <w16cex:commentExtensible w16cex:durableId="429AEA6D" w16cex:dateUtc="2025-04-08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21F485" w16cid:durableId="3E0DCDA0"/>
  <w16cid:commentId w16cid:paraId="4C743B52" w16cid:durableId="38972071"/>
  <w16cid:commentId w16cid:paraId="607C1339" w16cid:durableId="2C7BE179"/>
  <w16cid:commentId w16cid:paraId="12FC8B5D" w16cid:durableId="1F0645C8"/>
  <w16cid:commentId w16cid:paraId="3596A37C" w16cid:durableId="46DE0A3F"/>
  <w16cid:commentId w16cid:paraId="0F20ACA6" w16cid:durableId="39C37903"/>
  <w16cid:commentId w16cid:paraId="1034713B" w16cid:durableId="63D50D82"/>
  <w16cid:commentId w16cid:paraId="22CA7E94" w16cid:durableId="46EEA440"/>
  <w16cid:commentId w16cid:paraId="7137C962" w16cid:durableId="0BB263B6"/>
  <w16cid:commentId w16cid:paraId="0E03F9A5" w16cid:durableId="4A8E3DB2"/>
  <w16cid:commentId w16cid:paraId="4371B7DB" w16cid:durableId="66EAB8A4"/>
  <w16cid:commentId w16cid:paraId="103DD023" w16cid:durableId="429AEA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6A05" w14:textId="77777777" w:rsidR="00583AA5" w:rsidRDefault="00583AA5" w:rsidP="002035D6">
      <w:r>
        <w:separator/>
      </w:r>
    </w:p>
  </w:endnote>
  <w:endnote w:type="continuationSeparator" w:id="0">
    <w:p w14:paraId="629CA858" w14:textId="77777777" w:rsidR="00583AA5" w:rsidRDefault="00583AA5" w:rsidP="0020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303C" w14:textId="77777777" w:rsidR="002035D6" w:rsidRDefault="00203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D1E9" w14:textId="77777777" w:rsidR="002035D6" w:rsidRDefault="00203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C299" w14:textId="77777777" w:rsidR="002035D6" w:rsidRDefault="00203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89DE" w14:textId="77777777" w:rsidR="00583AA5" w:rsidRDefault="00583AA5" w:rsidP="002035D6">
      <w:r>
        <w:separator/>
      </w:r>
    </w:p>
  </w:footnote>
  <w:footnote w:type="continuationSeparator" w:id="0">
    <w:p w14:paraId="1D2173EF" w14:textId="77777777" w:rsidR="00583AA5" w:rsidRDefault="00583AA5" w:rsidP="00203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2ED8" w14:textId="77777777" w:rsidR="002035D6" w:rsidRDefault="00000000">
    <w:pPr>
      <w:pStyle w:val="Header"/>
    </w:pPr>
    <w:r>
      <w:rPr>
        <w:noProof/>
      </w:rPr>
      <w:pict w14:anchorId="793EA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95938" o:spid="_x0000_s1026" type="#_x0000_t136" style="position:absolute;margin-left:0;margin-top:0;width:710.6pt;height:78.9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10ED" w14:textId="77777777" w:rsidR="002035D6" w:rsidRDefault="00000000">
    <w:pPr>
      <w:pStyle w:val="Header"/>
    </w:pPr>
    <w:r>
      <w:rPr>
        <w:noProof/>
      </w:rPr>
      <w:pict w14:anchorId="73B24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95939" o:spid="_x0000_s1027" type="#_x0000_t136" style="position:absolute;margin-left:0;margin-top:0;width:710.6pt;height:78.9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D924" w14:textId="77777777" w:rsidR="002035D6" w:rsidRDefault="00000000">
    <w:pPr>
      <w:pStyle w:val="Header"/>
    </w:pPr>
    <w:r>
      <w:rPr>
        <w:noProof/>
      </w:rPr>
      <w:pict w14:anchorId="198C6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95937" o:spid="_x0000_s1025" type="#_x0000_t136" style="position:absolute;margin-left:0;margin-top:0;width:710.6pt;height:78.9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ta Ann Johnson">
    <w15:presenceInfo w15:providerId="Windows Live" w15:userId="9b4ef9ce9d184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49F2"/>
    <w:rsid w:val="0002747B"/>
    <w:rsid w:val="0010525C"/>
    <w:rsid w:val="00157F65"/>
    <w:rsid w:val="002035D6"/>
    <w:rsid w:val="00220571"/>
    <w:rsid w:val="00583AA5"/>
    <w:rsid w:val="006549F2"/>
    <w:rsid w:val="006951B8"/>
    <w:rsid w:val="00830BBF"/>
    <w:rsid w:val="009823E4"/>
    <w:rsid w:val="009F1DD2"/>
    <w:rsid w:val="00EC6CD8"/>
    <w:rsid w:val="00FB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832E8"/>
  <w15:docId w15:val="{D14000DD-B3D0-479E-906C-48841BC8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415"/>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spacing w:before="221"/>
      <w:ind w:left="49" w:right="30" w:hanging="1"/>
      <w:jc w:val="center"/>
    </w:pPr>
    <w:rPr>
      <w:rFonts w:ascii="Arial" w:eastAsia="Arial" w:hAnsi="Arial" w:cs="Arial"/>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2035D6"/>
    <w:pPr>
      <w:tabs>
        <w:tab w:val="center" w:pos="4680"/>
        <w:tab w:val="right" w:pos="9360"/>
      </w:tabs>
    </w:pPr>
  </w:style>
  <w:style w:type="character" w:customStyle="1" w:styleId="HeaderChar">
    <w:name w:val="Header Char"/>
    <w:basedOn w:val="DefaultParagraphFont"/>
    <w:link w:val="Header"/>
    <w:uiPriority w:val="99"/>
    <w:rsid w:val="002035D6"/>
    <w:rPr>
      <w:rFonts w:ascii="Microsoft Sans Serif" w:eastAsia="Microsoft Sans Serif" w:hAnsi="Microsoft Sans Serif" w:cs="Microsoft Sans Serif"/>
    </w:rPr>
  </w:style>
  <w:style w:type="paragraph" w:styleId="Footer">
    <w:name w:val="footer"/>
    <w:basedOn w:val="Normal"/>
    <w:link w:val="FooterChar"/>
    <w:uiPriority w:val="99"/>
    <w:unhideWhenUsed/>
    <w:rsid w:val="002035D6"/>
    <w:pPr>
      <w:tabs>
        <w:tab w:val="center" w:pos="4680"/>
        <w:tab w:val="right" w:pos="9360"/>
      </w:tabs>
    </w:pPr>
  </w:style>
  <w:style w:type="character" w:customStyle="1" w:styleId="FooterChar">
    <w:name w:val="Footer Char"/>
    <w:basedOn w:val="DefaultParagraphFont"/>
    <w:link w:val="Footer"/>
    <w:uiPriority w:val="99"/>
    <w:rsid w:val="002035D6"/>
    <w:rPr>
      <w:rFonts w:ascii="Microsoft Sans Serif" w:eastAsia="Microsoft Sans Serif" w:hAnsi="Microsoft Sans Serif" w:cs="Microsoft Sans Serif"/>
    </w:rPr>
  </w:style>
  <w:style w:type="character" w:styleId="CommentReference">
    <w:name w:val="annotation reference"/>
    <w:basedOn w:val="DefaultParagraphFont"/>
    <w:uiPriority w:val="99"/>
    <w:semiHidden/>
    <w:unhideWhenUsed/>
    <w:rsid w:val="00FB783E"/>
    <w:rPr>
      <w:sz w:val="16"/>
      <w:szCs w:val="16"/>
    </w:rPr>
  </w:style>
  <w:style w:type="paragraph" w:styleId="CommentText">
    <w:name w:val="annotation text"/>
    <w:basedOn w:val="Normal"/>
    <w:link w:val="CommentTextChar"/>
    <w:uiPriority w:val="99"/>
    <w:unhideWhenUsed/>
    <w:rsid w:val="00FB783E"/>
    <w:rPr>
      <w:sz w:val="20"/>
      <w:szCs w:val="20"/>
    </w:rPr>
  </w:style>
  <w:style w:type="character" w:customStyle="1" w:styleId="CommentTextChar">
    <w:name w:val="Comment Text Char"/>
    <w:basedOn w:val="DefaultParagraphFont"/>
    <w:link w:val="CommentText"/>
    <w:uiPriority w:val="99"/>
    <w:rsid w:val="00FB783E"/>
    <w:rPr>
      <w:rFonts w:ascii="Microsoft Sans Serif" w:eastAsia="Microsoft Sans Serif" w:hAnsi="Microsoft Sans Serif" w:cs="Microsoft Sans Serif"/>
      <w:sz w:val="20"/>
      <w:szCs w:val="20"/>
    </w:rPr>
  </w:style>
  <w:style w:type="paragraph" w:styleId="CommentSubject">
    <w:name w:val="annotation subject"/>
    <w:basedOn w:val="CommentText"/>
    <w:next w:val="CommentText"/>
    <w:link w:val="CommentSubjectChar"/>
    <w:uiPriority w:val="99"/>
    <w:semiHidden/>
    <w:unhideWhenUsed/>
    <w:rsid w:val="00FB783E"/>
    <w:rPr>
      <w:b/>
      <w:bCs/>
    </w:rPr>
  </w:style>
  <w:style w:type="character" w:customStyle="1" w:styleId="CommentSubjectChar">
    <w:name w:val="Comment Subject Char"/>
    <w:basedOn w:val="CommentTextChar"/>
    <w:link w:val="CommentSubject"/>
    <w:uiPriority w:val="99"/>
    <w:semiHidden/>
    <w:rsid w:val="00FB783E"/>
    <w:rPr>
      <w:rFonts w:ascii="Microsoft Sans Serif" w:eastAsia="Microsoft Sans Serif" w:hAnsi="Microsoft Sans Serif" w:cs="Microsoft Sans Serif"/>
      <w:b/>
      <w:bCs/>
      <w:sz w:val="20"/>
      <w:szCs w:val="20"/>
    </w:rPr>
  </w:style>
  <w:style w:type="paragraph" w:styleId="Revision">
    <w:name w:val="Revision"/>
    <w:hidden/>
    <w:uiPriority w:val="99"/>
    <w:semiHidden/>
    <w:rsid w:val="0010525C"/>
    <w:pPr>
      <w:widowControl/>
      <w:autoSpaceDE/>
      <w:autoSpaceDN/>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iabetesjournals.org/diabetes/article/42/8/1195/8208/Differential-Regulation-of-GLUT1-and-GLUT4-Glucose" TargetMode="External"/><Relationship Id="rId26" Type="http://schemas.openxmlformats.org/officeDocument/2006/relationships/hyperlink" Target="https://www.sciencedirect.com/science/article/abs/pii/0300962987902787" TargetMode="External"/><Relationship Id="rId39" Type="http://schemas.openxmlformats.org/officeDocument/2006/relationships/hyperlink" Target="https://www.nature.com/articles/nature05482" TargetMode="External"/><Relationship Id="rId21" Type="http://schemas.openxmlformats.org/officeDocument/2006/relationships/hyperlink" Target="https://academic.oup.com/ilarjournal/article/32/3/32/682480" TargetMode="External"/><Relationship Id="rId34" Type="http://schemas.openxmlformats.org/officeDocument/2006/relationships/hyperlink" Target="https://diabetesjournals.org/diabetes/article/30/8/694/5142/The-Mechanism-of-Impaired-T3-Production-from-T4-in" TargetMode="External"/><Relationship Id="rId42" Type="http://schemas.openxmlformats.org/officeDocument/2006/relationships/hyperlink" Target="https://www.nature.com/articles/333183a0" TargetMode="External"/><Relationship Id="rId47" Type="http://schemas.openxmlformats.org/officeDocument/2006/relationships/hyperlink" Target="https://www.nature.com/articles/ijo2008102" TargetMode="External"/><Relationship Id="rId50" Type="http://schemas.microsoft.com/office/2011/relationships/people" Target="people.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etj.bioscientifica.com/view/journals/etj/1/3/ETJ342994.xml" TargetMode="External"/><Relationship Id="rId29" Type="http://schemas.openxmlformats.org/officeDocument/2006/relationships/hyperlink" Target="https://journals.physiology.org/doi/full/10.1152/physrev.00015.2003" TargetMode="External"/><Relationship Id="rId11" Type="http://schemas.openxmlformats.org/officeDocument/2006/relationships/header" Target="header2.xml"/><Relationship Id="rId24" Type="http://schemas.openxmlformats.org/officeDocument/2006/relationships/hyperlink" Target="https://doi.org/10.1161/01.hyp.19.1_suppl.i101" TargetMode="External"/><Relationship Id="rId32" Type="http://schemas.openxmlformats.org/officeDocument/2006/relationships/hyperlink" Target="https://diabetesjournals.org/diabetes/article/30/8/694/5142/The-Mechanism-of-Impaired-T3-Production-from-T4-in" TargetMode="External"/><Relationship Id="rId37" Type="http://schemas.openxmlformats.org/officeDocument/2006/relationships/hyperlink" Target="https://journals.physiology.org/doi/abs/10.1152/ajpendo.1987.252.4.E441" TargetMode="External"/><Relationship Id="rId40" Type="http://schemas.openxmlformats.org/officeDocument/2006/relationships/hyperlink" Target="https://www.nature.com/articles/nature05482" TargetMode="External"/><Relationship Id="rId45" Type="http://schemas.openxmlformats.org/officeDocument/2006/relationships/hyperlink" Target="https://e-enm.org/journal/view.php?doi=10.3803/EnM.2021.1198" TargetMode="Externa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doi.org/10.1161/01.hyp.19.1_suppl.i101" TargetMode="External"/><Relationship Id="rId28" Type="http://schemas.openxmlformats.org/officeDocument/2006/relationships/hyperlink" Target="https://journals.physiology.org/doi/full/10.1152/physrev.00015.2003" TargetMode="External"/><Relationship Id="rId36" Type="http://schemas.openxmlformats.org/officeDocument/2006/relationships/hyperlink" Target="https://journals.physiology.org/doi/abs/10.1152/ajpendo.1987.252.4.E441"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iabetesjournals.org/diabetes/article/42/8/1195/8208/Differential-Regulation-of-GLUT1-and-GLUT4-Glucose" TargetMode="External"/><Relationship Id="rId31" Type="http://schemas.openxmlformats.org/officeDocument/2006/relationships/hyperlink" Target="https://linkinghub.elsevier.com/retrieve/pii/0024320581903532" TargetMode="External"/><Relationship Id="rId44" Type="http://schemas.openxmlformats.org/officeDocument/2006/relationships/hyperlink" Target="https://joe.bioscientifica.com/view/journals/joe/237/1/JOE-17-0708.xml"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 Id="rId22" Type="http://schemas.openxmlformats.org/officeDocument/2006/relationships/hyperlink" Target="https://doi.org/10.1161/01.hyp.19.1_suppl.i101" TargetMode="External"/><Relationship Id="rId27" Type="http://schemas.openxmlformats.org/officeDocument/2006/relationships/hyperlink" Target="https://www.sciencedirect.com/science/article/abs/pii/0300962987902787" TargetMode="External"/><Relationship Id="rId30" Type="http://schemas.openxmlformats.org/officeDocument/2006/relationships/hyperlink" Target="https://linkinghub.elsevier.com/retrieve/pii/0024320581903532" TargetMode="External"/><Relationship Id="rId35" Type="http://schemas.openxmlformats.org/officeDocument/2006/relationships/hyperlink" Target="https://journals.physiology.org/doi/abs/10.1152/ajpendo.1987.252.4.E441" TargetMode="External"/><Relationship Id="rId43" Type="http://schemas.openxmlformats.org/officeDocument/2006/relationships/hyperlink" Target="https://www.nature.com/articles/333183a0" TargetMode="External"/><Relationship Id="rId48" Type="http://schemas.openxmlformats.org/officeDocument/2006/relationships/hyperlink" Target="https://www.nature.com/articles/ijo2008102" TargetMode="External"/><Relationship Id="rId8" Type="http://schemas.microsoft.com/office/2016/09/relationships/commentsIds" Target="commentsIds.xm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iabetesjournals.org/diabetes/article/42/8/1195/8208/Differential-Regulation-of-GLUT1-and-GLUT4-Glucose" TargetMode="External"/><Relationship Id="rId25" Type="http://schemas.openxmlformats.org/officeDocument/2006/relationships/hyperlink" Target="https://www.sciencedirect.com/science/article/abs/pii/0300962987902787" TargetMode="External"/><Relationship Id="rId33" Type="http://schemas.openxmlformats.org/officeDocument/2006/relationships/hyperlink" Target="https://diabetesjournals.org/diabetes/article/30/8/694/5142/The-Mechanism-of-Impaired-T3-Production-from-T4-in" TargetMode="External"/><Relationship Id="rId38" Type="http://schemas.openxmlformats.org/officeDocument/2006/relationships/hyperlink" Target="https://www.nature.com/articles/nature05482" TargetMode="External"/><Relationship Id="rId46" Type="http://schemas.openxmlformats.org/officeDocument/2006/relationships/hyperlink" Target="https://e-enm.org/journal/view.php?doi=10.3803/EnM.2021.1198" TargetMode="External"/><Relationship Id="rId20" Type="http://schemas.openxmlformats.org/officeDocument/2006/relationships/hyperlink" Target="https://academic.oup.com/ilarjournal/article/32/3/32/682480" TargetMode="External"/><Relationship Id="rId41" Type="http://schemas.openxmlformats.org/officeDocument/2006/relationships/hyperlink" Target="https://www.nature.com/articles/333183a0" TargetMode="External"/><Relationship Id="rId1" Type="http://schemas.openxmlformats.org/officeDocument/2006/relationships/styles" Target="styles.xml"/><Relationship Id="rId6"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6</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omics</dc:creator>
  <cp:lastModifiedBy>Nita Ann Johnson</cp:lastModifiedBy>
  <cp:revision>5</cp:revision>
  <dcterms:created xsi:type="dcterms:W3CDTF">2025-04-03T07:03:00Z</dcterms:created>
  <dcterms:modified xsi:type="dcterms:W3CDTF">2025-04-08T09:46:00Z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2010</vt:lpwstr>
  </property>
  <property fmtid="{D5CDD505-2E9C-101B-9397-08002B2CF9AE}" pid="4" name="LastSaved">
    <vt:filetime>2025-04-03T00:00:00Z</vt:filetime>
  </property>
  <property fmtid="{D5CDD505-2E9C-101B-9397-08002B2CF9AE}" pid="5" name="Producer">
    <vt:lpwstr>Microsoft® Word 2010</vt:lpwstr>
  </property>
</Properties>
</file>