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38" w:type="pct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8"/>
        <w:gridCol w:w="16074"/>
      </w:tblGrid>
      <w:tr w:rsidR="00602F7D" w:rsidRPr="004F4A69" w14:paraId="1643A4CA" w14:textId="77777777" w:rsidTr="004F4A69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4A6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F4A69" w14:paraId="127EAD7E" w14:textId="77777777" w:rsidTr="004F4A69">
        <w:trPr>
          <w:trHeight w:val="413"/>
        </w:trPr>
        <w:tc>
          <w:tcPr>
            <w:tcW w:w="1264" w:type="pct"/>
          </w:tcPr>
          <w:p w14:paraId="3C159AA5" w14:textId="77777777" w:rsidR="0000007A" w:rsidRPr="004F4A6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A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F4A6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F4AD675" w:rsidR="0000007A" w:rsidRPr="004F4A69" w:rsidRDefault="005D0A8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F4A6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4F4A69" w14:paraId="73C90375" w14:textId="77777777" w:rsidTr="004F4A69">
        <w:trPr>
          <w:trHeight w:val="290"/>
        </w:trPr>
        <w:tc>
          <w:tcPr>
            <w:tcW w:w="1264" w:type="pct"/>
          </w:tcPr>
          <w:p w14:paraId="20D28135" w14:textId="77777777" w:rsidR="0000007A" w:rsidRPr="004F4A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A6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30BA0C2" w:rsidR="0000007A" w:rsidRPr="004F4A6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F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F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F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C4512" w:rsidRPr="004F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5876</w:t>
            </w:r>
          </w:p>
        </w:tc>
      </w:tr>
      <w:tr w:rsidR="0000007A" w:rsidRPr="004F4A69" w14:paraId="05B60576" w14:textId="77777777" w:rsidTr="004F4A69">
        <w:trPr>
          <w:trHeight w:val="331"/>
        </w:trPr>
        <w:tc>
          <w:tcPr>
            <w:tcW w:w="1264" w:type="pct"/>
          </w:tcPr>
          <w:p w14:paraId="0196A627" w14:textId="77777777" w:rsidR="0000007A" w:rsidRPr="004F4A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A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0796A40" w:rsidR="0000007A" w:rsidRPr="004F4A69" w:rsidRDefault="00777D9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F4A69">
              <w:rPr>
                <w:rFonts w:ascii="Arial" w:hAnsi="Arial" w:cs="Arial"/>
                <w:b/>
                <w:sz w:val="20"/>
                <w:szCs w:val="20"/>
                <w:lang w:val="en-GB"/>
              </w:rPr>
              <w:t>Can the gastric cancer adipocytes be beneficial in predicting of disease outcome?</w:t>
            </w:r>
          </w:p>
        </w:tc>
      </w:tr>
      <w:tr w:rsidR="00CF0BBB" w:rsidRPr="004F4A69" w14:paraId="6D508B1C" w14:textId="77777777" w:rsidTr="004F4A69">
        <w:trPr>
          <w:trHeight w:val="332"/>
        </w:trPr>
        <w:tc>
          <w:tcPr>
            <w:tcW w:w="1264" w:type="pct"/>
          </w:tcPr>
          <w:p w14:paraId="32FC28F7" w14:textId="77777777" w:rsidR="00CF0BBB" w:rsidRPr="004F4A6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A6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E1164C5" w:rsidR="00CF0BBB" w:rsidRPr="004F4A69" w:rsidRDefault="00BC451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A6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F4A6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4F4A69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F4A6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4F4A6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4F4A69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F4A6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2EB8B385" w:rsidR="00640538" w:rsidRPr="004F4A69" w:rsidRDefault="00013B16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F4A69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5F1B2073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5647E89F" w:rsidR="00E03C32" w:rsidRDefault="00BD4257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BD425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Experimental Oncology, 45(1), 88–98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2023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1ED06698" w:rsidR="00E03C32" w:rsidRPr="007B54A4" w:rsidRDefault="00BD4257" w:rsidP="00BD425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BD425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DOI: </w:t>
                            </w:r>
                            <w:hyperlink r:id="rId8" w:history="1">
                              <w:r w:rsidRPr="001162EE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https://doi.org/10.15407/exp-oncology.2023.01.088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5647E89F" w:rsidR="00E03C32" w:rsidRDefault="00BD4257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BD425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Experimental Oncology, 45(1), 88–98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2023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1ED06698" w:rsidR="00E03C32" w:rsidRPr="007B54A4" w:rsidRDefault="00BD4257" w:rsidP="00BD425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BD425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DOI: </w:t>
                      </w:r>
                      <w:hyperlink r:id="rId9" w:history="1">
                        <w:r w:rsidRPr="001162EE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https://doi.org/10.15407/exp-oncology.2023.01.088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4F4A6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F4A6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4F4A6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4F4A6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F4A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4A6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F4A6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F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F4A6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F4A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F4A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4A6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F4A6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A6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F4A6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F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F4A69">
              <w:rPr>
                <w:rFonts w:ascii="Arial" w:hAnsi="Arial" w:cs="Arial"/>
                <w:lang w:val="en-GB"/>
              </w:rPr>
              <w:t>Author’s Feedback</w:t>
            </w:r>
            <w:r w:rsidRPr="004F4A6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F4A6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F4A6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F4A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F4A6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A786CB1" w:rsidR="00F1171E" w:rsidRPr="004F4A69" w:rsidRDefault="00EB6B8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A69">
              <w:rPr>
                <w:rFonts w:ascii="Arial" w:hAnsi="Arial" w:cs="Arial"/>
                <w:sz w:val="20"/>
                <w:szCs w:val="20"/>
              </w:rPr>
              <w:t>By providing robust evidence that adipocyte density modifies the prognostic power of NLR, this study fills an important knowledge gap and underscores the complex interplay between systemic inflammation and the tumor-associated adipose tissue.</w:t>
            </w:r>
          </w:p>
        </w:tc>
        <w:tc>
          <w:tcPr>
            <w:tcW w:w="1523" w:type="pct"/>
          </w:tcPr>
          <w:p w14:paraId="462A339C" w14:textId="77777777" w:rsidR="00F1171E" w:rsidRPr="004F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F4A6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F4A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F4A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F4A6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E415DBF" w14:textId="77777777" w:rsidR="00F1171E" w:rsidRPr="004F4A69" w:rsidRDefault="00EB6B8F" w:rsidP="007222C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F4A69">
              <w:rPr>
                <w:rFonts w:ascii="Arial" w:hAnsi="Arial" w:cs="Arial"/>
                <w:sz w:val="20"/>
                <w:szCs w:val="20"/>
              </w:rPr>
              <w:t>Could be clearer and more concise.</w:t>
            </w:r>
          </w:p>
          <w:p w14:paraId="794AA9A7" w14:textId="3048E785" w:rsidR="00EB6B8F" w:rsidRPr="004F4A69" w:rsidRDefault="00EB6B8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A69">
              <w:rPr>
                <w:rFonts w:ascii="Arial" w:hAnsi="Arial" w:cs="Arial"/>
                <w:sz w:val="20"/>
                <w:szCs w:val="20"/>
              </w:rPr>
              <w:t>“Prognostic Value of Adipocytes in Gastric Cancer: Can They Predict Disease Outcome?”</w:t>
            </w:r>
          </w:p>
        </w:tc>
        <w:tc>
          <w:tcPr>
            <w:tcW w:w="1523" w:type="pct"/>
          </w:tcPr>
          <w:p w14:paraId="405B6701" w14:textId="77777777" w:rsidR="00F1171E" w:rsidRPr="004F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F4A6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F4A6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F4A6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F4A6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F2EA1E4" w:rsidR="00F1171E" w:rsidRPr="004F4A69" w:rsidRDefault="00EB6B8F" w:rsidP="007222C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4F4A6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 it</w:t>
            </w:r>
            <w:proofErr w:type="gramEnd"/>
            <w:r w:rsidRPr="004F4A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comprehensive</w:t>
            </w:r>
          </w:p>
        </w:tc>
        <w:tc>
          <w:tcPr>
            <w:tcW w:w="1523" w:type="pct"/>
          </w:tcPr>
          <w:p w14:paraId="1D54B730" w14:textId="77777777" w:rsidR="00F1171E" w:rsidRPr="004F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F4A6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F4A6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F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366D369" w:rsidR="00F1171E" w:rsidRPr="004F4A69" w:rsidRDefault="00EB6B8F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A6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4F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F4A6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F4A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F4A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F4A6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96A0E43" w:rsidR="00F1171E" w:rsidRPr="004F4A69" w:rsidRDefault="00EB6B8F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A69">
              <w:rPr>
                <w:rFonts w:ascii="Arial" w:hAnsi="Arial" w:cs="Arial"/>
                <w:bCs/>
                <w:sz w:val="20"/>
                <w:szCs w:val="20"/>
                <w:lang w:val="en-GB"/>
              </w:rPr>
              <w:t>Few more references should have been quoted</w:t>
            </w:r>
          </w:p>
        </w:tc>
        <w:tc>
          <w:tcPr>
            <w:tcW w:w="1523" w:type="pct"/>
          </w:tcPr>
          <w:p w14:paraId="40220055" w14:textId="77777777" w:rsidR="00F1171E" w:rsidRPr="004F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F4A6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F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F4A6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F4A6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F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F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B6B2D62" w:rsidR="00F1171E" w:rsidRPr="004F4A69" w:rsidRDefault="00EB6B8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A6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4F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F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F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F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F4A6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F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F4A6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F4A6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F4A6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F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F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4F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4F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F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F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F4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F4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F4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F4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4F4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4F4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4F4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4F4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4F4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4F4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73AD86" w14:textId="77777777" w:rsidR="004F4A69" w:rsidRPr="004F4A69" w:rsidRDefault="004F4A6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F4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F4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4F4A6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F4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F4A6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F4A6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F4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F4A6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F4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F4A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4A6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F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F4A69">
              <w:rPr>
                <w:rFonts w:ascii="Arial" w:hAnsi="Arial" w:cs="Arial"/>
                <w:lang w:val="en-GB"/>
              </w:rPr>
              <w:t>Author’s comment</w:t>
            </w:r>
            <w:r w:rsidRPr="004F4A6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F4A6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F4A6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F4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A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F4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F4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F4A6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F4A6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F4A6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044A9072" w:rsidR="00F1171E" w:rsidRPr="004F4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F4A6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F4A6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F4A6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F4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B78703B" w14:textId="77777777" w:rsidR="004F4A69" w:rsidRPr="00EB4366" w:rsidRDefault="004F4A69" w:rsidP="004F4A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4366">
        <w:rPr>
          <w:rFonts w:ascii="Arial" w:hAnsi="Arial" w:cs="Arial"/>
          <w:b/>
          <w:u w:val="single"/>
        </w:rPr>
        <w:t>Reviewer details:</w:t>
      </w:r>
    </w:p>
    <w:p w14:paraId="66766E62" w14:textId="77777777" w:rsidR="004F4A69" w:rsidRPr="00EB4366" w:rsidRDefault="004F4A69" w:rsidP="004F4A6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B4366">
        <w:rPr>
          <w:rFonts w:ascii="Arial" w:hAnsi="Arial" w:cs="Arial"/>
          <w:b/>
          <w:color w:val="000000"/>
        </w:rPr>
        <w:t xml:space="preserve">Lata </w:t>
      </w:r>
      <w:proofErr w:type="spellStart"/>
      <w:r w:rsidRPr="00EB4366">
        <w:rPr>
          <w:rFonts w:ascii="Arial" w:hAnsi="Arial" w:cs="Arial"/>
          <w:b/>
          <w:color w:val="000000"/>
        </w:rPr>
        <w:t>Mullur</w:t>
      </w:r>
      <w:proofErr w:type="spellEnd"/>
      <w:r w:rsidRPr="00EB4366">
        <w:rPr>
          <w:rFonts w:ascii="Arial" w:hAnsi="Arial" w:cs="Arial"/>
          <w:b/>
          <w:color w:val="000000"/>
        </w:rPr>
        <w:t>, India</w:t>
      </w:r>
    </w:p>
    <w:p w14:paraId="4B0E09F4" w14:textId="77777777" w:rsidR="004F4A69" w:rsidRPr="004F4A69" w:rsidRDefault="004F4A69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F4A69" w:rsidRPr="004F4A69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E946" w14:textId="77777777" w:rsidR="001F521F" w:rsidRPr="0000007A" w:rsidRDefault="001F521F" w:rsidP="0099583E">
      <w:r>
        <w:separator/>
      </w:r>
    </w:p>
  </w:endnote>
  <w:endnote w:type="continuationSeparator" w:id="0">
    <w:p w14:paraId="0D05D4ED" w14:textId="77777777" w:rsidR="001F521F" w:rsidRPr="0000007A" w:rsidRDefault="001F521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863FC" w14:textId="77777777" w:rsidR="001F521F" w:rsidRPr="0000007A" w:rsidRDefault="001F521F" w:rsidP="0099583E">
      <w:r>
        <w:separator/>
      </w:r>
    </w:p>
  </w:footnote>
  <w:footnote w:type="continuationSeparator" w:id="0">
    <w:p w14:paraId="3E8D4A6B" w14:textId="77777777" w:rsidR="001F521F" w:rsidRPr="0000007A" w:rsidRDefault="001F521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1162385">
    <w:abstractNumId w:val="3"/>
  </w:num>
  <w:num w:numId="2" w16cid:durableId="1291278888">
    <w:abstractNumId w:val="6"/>
  </w:num>
  <w:num w:numId="3" w16cid:durableId="360861960">
    <w:abstractNumId w:val="5"/>
  </w:num>
  <w:num w:numId="4" w16cid:durableId="1456369038">
    <w:abstractNumId w:val="7"/>
  </w:num>
  <w:num w:numId="5" w16cid:durableId="667560787">
    <w:abstractNumId w:val="4"/>
  </w:num>
  <w:num w:numId="6" w16cid:durableId="1457522828">
    <w:abstractNumId w:val="0"/>
  </w:num>
  <w:num w:numId="7" w16cid:durableId="1997416936">
    <w:abstractNumId w:val="1"/>
  </w:num>
  <w:num w:numId="8" w16cid:durableId="1982802817">
    <w:abstractNumId w:val="9"/>
  </w:num>
  <w:num w:numId="9" w16cid:durableId="1115833363">
    <w:abstractNumId w:val="8"/>
  </w:num>
  <w:num w:numId="10" w16cid:durableId="521166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3B16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521F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08F3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1200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2566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4A69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2DDC"/>
    <w:rsid w:val="005735A5"/>
    <w:rsid w:val="005757CF"/>
    <w:rsid w:val="00581FF9"/>
    <w:rsid w:val="005A4F17"/>
    <w:rsid w:val="005B3509"/>
    <w:rsid w:val="005C25A0"/>
    <w:rsid w:val="005D0A83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49C5"/>
    <w:rsid w:val="00766889"/>
    <w:rsid w:val="00766A0D"/>
    <w:rsid w:val="00767F8C"/>
    <w:rsid w:val="00777D93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1D0C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93E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37F4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15C"/>
    <w:rsid w:val="00B62F41"/>
    <w:rsid w:val="00B63782"/>
    <w:rsid w:val="00B66599"/>
    <w:rsid w:val="00B73A02"/>
    <w:rsid w:val="00B760E1"/>
    <w:rsid w:val="00B82FFC"/>
    <w:rsid w:val="00BA1AB3"/>
    <w:rsid w:val="00BA55B7"/>
    <w:rsid w:val="00BA6421"/>
    <w:rsid w:val="00BB21AB"/>
    <w:rsid w:val="00BB4FEC"/>
    <w:rsid w:val="00BC402F"/>
    <w:rsid w:val="00BC4512"/>
    <w:rsid w:val="00BD0DF5"/>
    <w:rsid w:val="00BD4257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1B4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553A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29F9"/>
    <w:rsid w:val="00DB7E1B"/>
    <w:rsid w:val="00DC1D81"/>
    <w:rsid w:val="00DC6FED"/>
    <w:rsid w:val="00DD0C4A"/>
    <w:rsid w:val="00DD274C"/>
    <w:rsid w:val="00DE7D30"/>
    <w:rsid w:val="00DF04E3"/>
    <w:rsid w:val="00E03C32"/>
    <w:rsid w:val="00E16060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B8F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29F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F4A6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407/exp-oncology.2023.01.0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5407/exp-oncology.2023.01.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2025-06-26T11:17:00Z</dcterms:created>
  <dcterms:modified xsi:type="dcterms:W3CDTF">2025-06-30T11:26:00Z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