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544B76" w:rsidRPr="002311BA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544B76" w:rsidRPr="002311BA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544B76" w:rsidRPr="002311BA" w:rsidRDefault="00E675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544B76" w:rsidRPr="002311BA" w:rsidRDefault="00E6751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Non-Cardiac Causes of ECG Abnormalities</w:t>
            </w:r>
          </w:p>
        </w:tc>
      </w:tr>
      <w:tr w:rsidR="00544B76" w:rsidRPr="002311BA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544B76" w:rsidRPr="002311BA" w:rsidRDefault="00E675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544B76" w:rsidRPr="002311BA" w:rsidRDefault="00E67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Ms_BPR_5881</w:t>
            </w:r>
          </w:p>
        </w:tc>
      </w:tr>
      <w:tr w:rsidR="00544B76" w:rsidRPr="002311BA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544B76" w:rsidRPr="002311BA" w:rsidRDefault="00E675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544B76" w:rsidRPr="002311BA" w:rsidRDefault="00E67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311BA">
              <w:rPr>
                <w:rFonts w:ascii="Arial" w:hAnsi="Arial" w:cs="Arial"/>
                <w:b/>
                <w:sz w:val="20"/>
                <w:szCs w:val="20"/>
                <w:lang w:val="en-GB"/>
              </w:rPr>
              <w:t>Non-Cardiac Causes of ECG Abnormalities</w:t>
            </w:r>
          </w:p>
        </w:tc>
      </w:tr>
      <w:tr w:rsidR="00544B76" w:rsidRPr="002311BA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544B76" w:rsidRPr="002311BA" w:rsidRDefault="00E675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544B76" w:rsidRPr="002311BA" w:rsidRDefault="00E67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7AABD6E1" w14:textId="77777777" w:rsidR="00544B76" w:rsidRPr="002311BA" w:rsidRDefault="00544B76" w:rsidP="002311B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EE6B6C8" w14:textId="77777777" w:rsidR="00544B76" w:rsidRPr="002311BA" w:rsidRDefault="00544B7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7D598DE" w14:textId="77777777" w:rsidR="00544B76" w:rsidRPr="002311BA" w:rsidRDefault="00544B7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544B76" w:rsidRPr="002311BA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544B76" w:rsidRPr="002311BA" w:rsidRDefault="00E675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11B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311B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4B76" w:rsidRPr="002311BA" w14:paraId="5EA12279" w14:textId="77777777">
        <w:tc>
          <w:tcPr>
            <w:tcW w:w="1265" w:type="pct"/>
            <w:noWrap/>
          </w:tcPr>
          <w:p w14:paraId="7AE9682F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544B76" w:rsidRPr="002311BA" w:rsidRDefault="00E675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11B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544B76" w:rsidRPr="002311BA" w:rsidRDefault="00E675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544B76" w:rsidRPr="002311BA" w:rsidRDefault="00E675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11BA">
              <w:rPr>
                <w:rFonts w:ascii="Arial" w:hAnsi="Arial" w:cs="Arial"/>
                <w:lang w:val="en-GB"/>
              </w:rPr>
              <w:t>Author’s Feedback</w:t>
            </w:r>
            <w:r w:rsidRPr="002311B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11B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544B76" w:rsidRPr="002311BA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544B76" w:rsidRPr="002311BA" w:rsidRDefault="00544B7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544B76" w:rsidRPr="002311BA" w:rsidRDefault="00E6751D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1BA">
              <w:rPr>
                <w:rFonts w:ascii="Arial" w:hAnsi="Arial" w:cs="Arial"/>
                <w:sz w:val="20"/>
                <w:szCs w:val="20"/>
              </w:rPr>
              <w:t xml:space="preserve">Various non-cardiac causes such as pharmacological, neurological, pulmonary, metabolic, environmental and toxicological are also responsible for ECG abnormalities in patients. A proper understanding of the pathogenic </w:t>
            </w:r>
            <w:proofErr w:type="gramStart"/>
            <w:r w:rsidRPr="002311BA">
              <w:rPr>
                <w:rFonts w:ascii="Arial" w:hAnsi="Arial" w:cs="Arial"/>
                <w:sz w:val="20"/>
                <w:szCs w:val="20"/>
              </w:rPr>
              <w:t>changes  reported</w:t>
            </w:r>
            <w:proofErr w:type="gramEnd"/>
            <w:r w:rsidRPr="002311BA">
              <w:rPr>
                <w:rFonts w:ascii="Arial" w:hAnsi="Arial" w:cs="Arial"/>
                <w:sz w:val="20"/>
                <w:szCs w:val="20"/>
              </w:rPr>
              <w:t xml:space="preserve"> in patients which raises the risk of ECG abnormalities is quite important for appropriate management.  This manuscript </w:t>
            </w:r>
            <w:proofErr w:type="gramStart"/>
            <w:r w:rsidRPr="002311BA">
              <w:rPr>
                <w:rFonts w:ascii="Arial" w:hAnsi="Arial" w:cs="Arial"/>
                <w:sz w:val="20"/>
                <w:szCs w:val="20"/>
              </w:rPr>
              <w:t>signify</w:t>
            </w:r>
            <w:proofErr w:type="gramEnd"/>
            <w:r w:rsidRPr="002311BA">
              <w:rPr>
                <w:rFonts w:ascii="Arial" w:hAnsi="Arial" w:cs="Arial"/>
                <w:sz w:val="20"/>
                <w:szCs w:val="20"/>
              </w:rPr>
              <w:t xml:space="preserve"> the non-cardiac causes of ECG abnormalities which are often undiagnosed. </w:t>
            </w:r>
          </w:p>
        </w:tc>
        <w:tc>
          <w:tcPr>
            <w:tcW w:w="1523" w:type="pct"/>
          </w:tcPr>
          <w:p w14:paraId="462A339C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544B76" w:rsidRPr="002311BA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ECG abnormalities in patients due to </w:t>
            </w:r>
            <w:proofErr w:type="spellStart"/>
            <w:r w:rsidRPr="002311BA">
              <w:rPr>
                <w:rFonts w:ascii="Arial" w:hAnsi="Arial" w:cs="Arial"/>
                <w:b/>
                <w:bCs/>
                <w:sz w:val="20"/>
                <w:szCs w:val="20"/>
              </w:rPr>
              <w:t>non cardiac</w:t>
            </w:r>
            <w:proofErr w:type="spellEnd"/>
            <w:r w:rsidRPr="002311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causes </w:t>
            </w:r>
          </w:p>
        </w:tc>
        <w:tc>
          <w:tcPr>
            <w:tcW w:w="1523" w:type="pct"/>
          </w:tcPr>
          <w:p w14:paraId="405B6701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4B76" w:rsidRPr="002311BA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544B76" w:rsidRPr="002311BA" w:rsidRDefault="00E6751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311B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D54B730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4B76" w:rsidRPr="002311BA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544B76" w:rsidRPr="002311BA" w:rsidRDefault="00E675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4B76" w:rsidRPr="002311BA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544B76" w:rsidRPr="002311BA" w:rsidRDefault="00E675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544B76" w:rsidRPr="002311BA" w:rsidRDefault="00E675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1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More references regarding the epidemiology and incidence of non-cardiac ECG abnormalities in patients can be added   </w:t>
            </w:r>
          </w:p>
        </w:tc>
        <w:tc>
          <w:tcPr>
            <w:tcW w:w="1523" w:type="pct"/>
          </w:tcPr>
          <w:p w14:paraId="40220055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4B76" w:rsidRPr="002311BA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544B76" w:rsidRPr="002311BA" w:rsidRDefault="00E6751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311B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544B76" w:rsidRPr="002311BA" w:rsidRDefault="00E6751D">
            <w:pPr>
              <w:rPr>
                <w:rFonts w:ascii="Arial" w:hAnsi="Arial" w:cs="Arial"/>
                <w:sz w:val="20"/>
                <w:szCs w:val="20"/>
              </w:rPr>
            </w:pPr>
            <w:r w:rsidRPr="002311BA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1E28118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A6CEF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4B76" w:rsidRPr="002311BA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544B76" w:rsidRPr="002311BA" w:rsidRDefault="00E6751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311B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311B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311B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544B76" w:rsidRPr="002311BA" w:rsidRDefault="00544B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B39A9F" w14:textId="77777777" w:rsidR="00EE4F96" w:rsidRPr="002311BA" w:rsidRDefault="00EE4F96" w:rsidP="00EE4F96">
            <w:pPr>
              <w:pStyle w:val="Author"/>
              <w:spacing w:after="200" w:line="480" w:lineRule="auto"/>
              <w:jc w:val="center"/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lang w:val="en-US"/>
              </w:rPr>
              <w:t>REVIEWER COMMENTS</w:t>
            </w:r>
          </w:p>
          <w:p w14:paraId="273F86BA" w14:textId="77777777" w:rsidR="00EE4F96" w:rsidRPr="002311BA" w:rsidRDefault="00EE4F96" w:rsidP="00EE4F96">
            <w:pPr>
              <w:pStyle w:val="Author"/>
              <w:spacing w:after="200" w:line="36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It was interesting to read the book, “</w:t>
            </w:r>
            <w:r w:rsidRPr="002311BA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lang w:val="en-US"/>
              </w:rPr>
              <w:t>Non-Cardiac Causes of ECG Abnormalities</w:t>
            </w: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”. A comprehensive and structured demonstration of electrocardiographic (ECG) abnormalities arising in patients due to various non-cardiac causes has been provided in the manuscript. This manuscript is organized into various system-specific chapters- toxicological, pharmacological, environmental, pulmonary, metabolic, pharmacological, neurological and technical points- each suggested by pathophysiological mechanisms, clinical relativity. A clear depth and broad clinical relevance </w:t>
            </w:r>
            <w:proofErr w:type="gram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has</w:t>
            </w:r>
            <w:proofErr w:type="gram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been demonstrated in this manuscript.</w:t>
            </w:r>
          </w:p>
          <w:p w14:paraId="4B20538E" w14:textId="77777777" w:rsidR="00EE4F96" w:rsidRPr="002311BA" w:rsidRDefault="00EE4F96" w:rsidP="00EE4F96">
            <w:pPr>
              <w:pStyle w:val="Author"/>
              <w:spacing w:after="200" w:line="480" w:lineRule="auto"/>
              <w:jc w:val="both"/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lang w:val="en-IN"/>
              </w:rPr>
            </w:pPr>
            <w:r w:rsidRPr="002311BA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lang w:val="en-IN"/>
              </w:rPr>
              <w:t xml:space="preserve">MAJOR RECOMMENDATIONS </w:t>
            </w:r>
          </w:p>
          <w:p w14:paraId="32323B17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Addition of clinical flowcharts or algorithms guiding ECG interpretation in non-cardiac causes would potentiate the clarity of the manuscript. Considering this, diagnostic flowcharts that help to differentiate between non-cardiac or cardiac causes should be added in the paper.  </w:t>
            </w:r>
          </w:p>
          <w:p w14:paraId="4C11A64A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Management strategies of electrolyte imbalances or </w:t>
            </w:r>
            <w:proofErr w:type="spell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dyskalemias</w:t>
            </w:r>
            <w:proofErr w:type="spell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is well explained in the study, however, practical thresholds for therapeutic interventions or ECG-based triage decisions are not well-demonstrated in the study. Clinical therapeutic options linking ECG patterns to treatment urgency should be added in the manuscript. </w:t>
            </w:r>
          </w:p>
          <w:p w14:paraId="5C2542EB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In pediatric patients present with non-cardiac conditions (</w:t>
            </w:r>
            <w:proofErr w:type="spell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e.g</w:t>
            </w:r>
            <w:proofErr w:type="spell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congenital disorders, febrile seizures), ECG manifestations are not well demonstrated in the study. A paragraph or short section regarding pediatric patients should be added in the manuscript. </w:t>
            </w:r>
          </w:p>
          <w:p w14:paraId="1C8509A4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The depth of section regarding miscellaneous causes like temperature and diet is </w:t>
            </w:r>
            <w:proofErr w:type="spell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is</w:t>
            </w:r>
            <w:proofErr w:type="spell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quite less in comparison to other sections. More case-based illustrations (</w:t>
            </w:r>
            <w:proofErr w:type="spell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e.g</w:t>
            </w:r>
            <w:proofErr w:type="spell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citrus-induced arrhythmias, mad honey poisoning) should be added in this section to expand it in </w:t>
            </w:r>
            <w:proofErr w:type="gram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a more better</w:t>
            </w:r>
            <w:proofErr w:type="gram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way. </w:t>
            </w:r>
          </w:p>
          <w:p w14:paraId="36CF8B01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Discussion regarding how non-cardiac ECG pathological changes mimic cardiac pathogenesis, leading to potential misdiagnoses (</w:t>
            </w:r>
            <w:proofErr w:type="spell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e.g</w:t>
            </w:r>
            <w:proofErr w:type="spell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Brugada syndrome vs Brugada-like patterns in </w:t>
            </w: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lastRenderedPageBreak/>
              <w:t xml:space="preserve">hypercalcemia) is missing in the manuscript.  A section regarding comparison of ECG characteristics between true cardiac pathology and non-cardiac mimics should be added in the manuscript. </w:t>
            </w:r>
          </w:p>
          <w:p w14:paraId="53148891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Meta-analysis studies summary or quantitative synthesis (</w:t>
            </w:r>
            <w:proofErr w:type="spellStart"/>
            <w:proofErr w:type="gramStart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e,g</w:t>
            </w:r>
            <w:proofErr w:type="spellEnd"/>
            <w:proofErr w:type="gramEnd"/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 ECG variations for specific conditions) is missing in the manuscript. With the objective to potentiate clinical decision-making, summary tables or pooled data should be added in the manuscript. </w:t>
            </w:r>
          </w:p>
          <w:p w14:paraId="55C80F65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 xml:space="preserve">A section regarding incidence of non-cardiac and management strategies to manage non-cardiac causes of ECG abnormalities should be added in the manuscript. </w:t>
            </w:r>
          </w:p>
          <w:p w14:paraId="77038508" w14:textId="77777777" w:rsidR="00EE4F96" w:rsidRPr="002311BA" w:rsidRDefault="00EE4F96" w:rsidP="00EE4F96">
            <w:pPr>
              <w:pStyle w:val="Author"/>
              <w:numPr>
                <w:ilvl w:val="0"/>
                <w:numId w:val="1"/>
              </w:numPr>
              <w:tabs>
                <w:tab w:val="left" w:pos="420"/>
              </w:tabs>
              <w:spacing w:after="200" w:line="480" w:lineRule="auto"/>
              <w:jc w:val="both"/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</w:pPr>
            <w:r w:rsidRPr="002311BA">
              <w:rPr>
                <w:rFonts w:ascii="Arial" w:eastAsia="Times New Roman" w:hAnsi="Arial" w:cs="Arial"/>
                <w:b w:val="0"/>
                <w:iCs/>
                <w:kern w:val="28"/>
                <w:sz w:val="20"/>
                <w:szCs w:val="20"/>
                <w:lang w:val="en-US"/>
              </w:rPr>
              <w:t>Certain legends added in the manuscript could be explained in a more explanatory way and also include wave-specific annotations or ECG lead names in paper.</w:t>
            </w:r>
          </w:p>
          <w:p w14:paraId="5E946A0E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544B76" w:rsidRPr="002311BA" w:rsidRDefault="00544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544B76" w:rsidRPr="002311BA" w:rsidRDefault="00544B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544B76" w:rsidRPr="002311BA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544B76" w:rsidRPr="002311BA" w:rsidRDefault="00E67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311B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311B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544B76" w:rsidRPr="002311BA" w:rsidRDefault="00544B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4B76" w:rsidRPr="002311BA" w14:paraId="5356501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544B76" w:rsidRPr="002311BA" w:rsidRDefault="00544B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544B76" w:rsidRPr="002311BA" w:rsidRDefault="00E675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11B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544B76" w:rsidRPr="002311BA" w:rsidRDefault="00E675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11BA">
              <w:rPr>
                <w:rFonts w:ascii="Arial" w:hAnsi="Arial" w:cs="Arial"/>
                <w:lang w:val="en-GB"/>
              </w:rPr>
              <w:t>Author’s comment</w:t>
            </w:r>
            <w:r w:rsidRPr="002311B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11B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544B76" w:rsidRPr="002311BA" w14:paraId="3944C8A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544B76" w:rsidRPr="002311BA" w:rsidRDefault="00E67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11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544B76" w:rsidRPr="002311BA" w:rsidRDefault="00544B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544B76" w:rsidRPr="002311BA" w:rsidRDefault="00E67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11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11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11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544B76" w:rsidRPr="002311BA" w:rsidRDefault="00544B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544B76" w:rsidRPr="002311BA" w:rsidRDefault="00544B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544B76" w:rsidRPr="002311BA" w:rsidRDefault="00544B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544B76" w:rsidRPr="002311BA" w:rsidRDefault="00544B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544B76" w:rsidRPr="002311BA" w:rsidRDefault="00544B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544B76" w:rsidRPr="002311BA" w:rsidRDefault="00544B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544B76" w:rsidRDefault="00544B76">
      <w:pPr>
        <w:rPr>
          <w:rFonts w:ascii="Arial" w:hAnsi="Arial" w:cs="Arial"/>
          <w:b/>
          <w:sz w:val="20"/>
          <w:szCs w:val="20"/>
          <w:lang w:val="en-GB"/>
        </w:rPr>
      </w:pPr>
    </w:p>
    <w:p w14:paraId="65EB612E" w14:textId="77777777" w:rsidR="002311BA" w:rsidRPr="008669C0" w:rsidRDefault="002311BA" w:rsidP="002311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669C0">
        <w:rPr>
          <w:rFonts w:ascii="Arial" w:hAnsi="Arial" w:cs="Arial"/>
          <w:b/>
          <w:u w:val="single"/>
        </w:rPr>
        <w:t>Reviewer details:</w:t>
      </w:r>
    </w:p>
    <w:p w14:paraId="11FC0957" w14:textId="77777777" w:rsidR="002311BA" w:rsidRPr="008669C0" w:rsidRDefault="002311BA" w:rsidP="002311B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669C0">
        <w:rPr>
          <w:rFonts w:ascii="Arial" w:hAnsi="Arial" w:cs="Arial"/>
          <w:b/>
          <w:color w:val="000000"/>
        </w:rPr>
        <w:t>Rohit Mody MD, India</w:t>
      </w:r>
    </w:p>
    <w:p w14:paraId="68A53080" w14:textId="77777777" w:rsidR="002311BA" w:rsidRPr="002311BA" w:rsidRDefault="002311BA">
      <w:pPr>
        <w:rPr>
          <w:rFonts w:ascii="Arial" w:hAnsi="Arial" w:cs="Arial"/>
          <w:b/>
          <w:sz w:val="20"/>
          <w:szCs w:val="20"/>
        </w:rPr>
      </w:pPr>
    </w:p>
    <w:sectPr w:rsidR="002311BA" w:rsidRPr="002311B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FA48" w14:textId="77777777" w:rsidR="00343CB4" w:rsidRDefault="00343CB4">
      <w:r>
        <w:separator/>
      </w:r>
    </w:p>
  </w:endnote>
  <w:endnote w:type="continuationSeparator" w:id="0">
    <w:p w14:paraId="59D4D22A" w14:textId="77777777" w:rsidR="00343CB4" w:rsidRDefault="0034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544B76" w:rsidRDefault="00E6751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4D21" w14:textId="77777777" w:rsidR="00343CB4" w:rsidRDefault="00343CB4">
      <w:r>
        <w:separator/>
      </w:r>
    </w:p>
  </w:footnote>
  <w:footnote w:type="continuationSeparator" w:id="0">
    <w:p w14:paraId="7E9B59A1" w14:textId="77777777" w:rsidR="00343CB4" w:rsidRDefault="0034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544B76" w:rsidRDefault="00544B7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4B76" w:rsidRDefault="00544B7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544B76" w:rsidRDefault="00E6751D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067BD"/>
    <w:multiLevelType w:val="hybridMultilevel"/>
    <w:tmpl w:val="24342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8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68F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11BA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06D6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6B1E"/>
    <w:rsid w:val="003204B8"/>
    <w:rsid w:val="00326D7D"/>
    <w:rsid w:val="0033018A"/>
    <w:rsid w:val="0033692F"/>
    <w:rsid w:val="00343CB4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65F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4B7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5E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699A"/>
    <w:rsid w:val="00780B67"/>
    <w:rsid w:val="00781D07"/>
    <w:rsid w:val="007A62F8"/>
    <w:rsid w:val="007B1099"/>
    <w:rsid w:val="007B2408"/>
    <w:rsid w:val="007B54A4"/>
    <w:rsid w:val="007C6CDF"/>
    <w:rsid w:val="007D0246"/>
    <w:rsid w:val="007D29B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2D82"/>
    <w:rsid w:val="00893E75"/>
    <w:rsid w:val="00895D0A"/>
    <w:rsid w:val="008B265C"/>
    <w:rsid w:val="008C1D44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916"/>
    <w:rsid w:val="00A8290F"/>
    <w:rsid w:val="00A95D7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15B"/>
    <w:rsid w:val="00AD6C51"/>
    <w:rsid w:val="00AE0E9B"/>
    <w:rsid w:val="00AE54CD"/>
    <w:rsid w:val="00AF3016"/>
    <w:rsid w:val="00B03A45"/>
    <w:rsid w:val="00B1307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078"/>
    <w:rsid w:val="00E3111A"/>
    <w:rsid w:val="00E451EA"/>
    <w:rsid w:val="00E57F4B"/>
    <w:rsid w:val="00E63889"/>
    <w:rsid w:val="00E63A98"/>
    <w:rsid w:val="00E645E9"/>
    <w:rsid w:val="00E65596"/>
    <w:rsid w:val="00E66385"/>
    <w:rsid w:val="00E6751D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4F96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3FE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1EE559BD"/>
    <w:rsid w:val="218C120C"/>
    <w:rsid w:val="6E6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4622D"/>
  <w15:docId w15:val="{883E6DED-0C1F-443E-AB1A-C873ADDA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basedOn w:val="Normal"/>
    <w:qFormat/>
    <w:rsid w:val="00EE4F96"/>
    <w:pPr>
      <w:spacing w:line="280" w:lineRule="exact"/>
      <w:jc w:val="right"/>
    </w:pPr>
    <w:rPr>
      <w:rFonts w:asciiTheme="minorHAnsi" w:eastAsiaTheme="minorHAnsi" w:hAnsiTheme="minorHAnsi" w:cstheme="minorBidi"/>
      <w:b/>
      <w:lang w:val="zh-CN"/>
    </w:rPr>
  </w:style>
  <w:style w:type="paragraph" w:customStyle="1" w:styleId="Affiliation">
    <w:name w:val="Affiliation"/>
    <w:basedOn w:val="Normal"/>
    <w:rsid w:val="002311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1033-12.2.0.21179</vt:lpwstr>
  </property>
  <property fmtid="{D5CDD505-2E9C-101B-9397-08002B2CF9AE}" pid="4" name="ICV">
    <vt:lpwstr>B8A3EC2897504652853CDD37647F8451_13</vt:lpwstr>
  </property>
</Properties>
</file>