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D31CC" w14:paraId="11487526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67B3FBA" w14:textId="77777777" w:rsidR="00602F7D" w:rsidRPr="001D31C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D31CC" w14:paraId="7D212766" w14:textId="77777777" w:rsidTr="00F33C84">
        <w:trPr>
          <w:trHeight w:val="413"/>
        </w:trPr>
        <w:tc>
          <w:tcPr>
            <w:tcW w:w="1234" w:type="pct"/>
          </w:tcPr>
          <w:p w14:paraId="23C2FD96" w14:textId="77777777" w:rsidR="0000007A" w:rsidRPr="001D31C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D31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219D" w14:textId="77777777" w:rsidR="0000007A" w:rsidRPr="001D31CC" w:rsidRDefault="00E24F8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D31C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1D31CC" w14:paraId="5B162D82" w14:textId="77777777" w:rsidTr="002E7787">
        <w:trPr>
          <w:trHeight w:val="290"/>
        </w:trPr>
        <w:tc>
          <w:tcPr>
            <w:tcW w:w="1234" w:type="pct"/>
          </w:tcPr>
          <w:p w14:paraId="7BF16A10" w14:textId="77777777" w:rsidR="0000007A" w:rsidRPr="001D31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EB4F" w14:textId="77777777" w:rsidR="0000007A" w:rsidRPr="001D31C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F7E73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5882</w:t>
            </w:r>
          </w:p>
        </w:tc>
      </w:tr>
      <w:tr w:rsidR="0000007A" w:rsidRPr="001D31CC" w14:paraId="3601144B" w14:textId="77777777" w:rsidTr="002109D6">
        <w:trPr>
          <w:trHeight w:val="331"/>
        </w:trPr>
        <w:tc>
          <w:tcPr>
            <w:tcW w:w="1234" w:type="pct"/>
          </w:tcPr>
          <w:p w14:paraId="7CDCBF25" w14:textId="77777777" w:rsidR="0000007A" w:rsidRPr="001D31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F65D" w14:textId="77777777" w:rsidR="0000007A" w:rsidRPr="001D31CC" w:rsidRDefault="005C53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tradition to modern science: A comprehensive review of </w:t>
            </w:r>
            <w:proofErr w:type="spellStart"/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>Nardostachys</w:t>
            </w:r>
            <w:proofErr w:type="spellEnd"/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>jatamansi's</w:t>
            </w:r>
            <w:proofErr w:type="spellEnd"/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therapeutic benefits and pharmacological activities</w:t>
            </w:r>
          </w:p>
        </w:tc>
      </w:tr>
      <w:tr w:rsidR="00CF0BBB" w:rsidRPr="001D31CC" w14:paraId="211F2D6A" w14:textId="77777777" w:rsidTr="002E7787">
        <w:trPr>
          <w:trHeight w:val="332"/>
        </w:trPr>
        <w:tc>
          <w:tcPr>
            <w:tcW w:w="1234" w:type="pct"/>
          </w:tcPr>
          <w:p w14:paraId="62745829" w14:textId="77777777" w:rsidR="00CF0BBB" w:rsidRPr="001D31C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11B6" w14:textId="77777777" w:rsidR="00CF0BBB" w:rsidRPr="001D31CC" w:rsidRDefault="00AF7E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41DFB1F" w14:textId="77777777" w:rsidR="00037D52" w:rsidRPr="001D31C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476D6A" w14:textId="77777777" w:rsidR="0086369B" w:rsidRPr="001D31C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53D4E14" w14:textId="77777777" w:rsidR="00626025" w:rsidRPr="001D31C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D31C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BE9358D" w14:textId="77777777" w:rsidR="007B54A4" w:rsidRPr="001D31C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CB8255C" w14:textId="77777777" w:rsidR="007B54A4" w:rsidRPr="001D31C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D31C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F7E0AAC" w14:textId="77777777" w:rsidR="00640538" w:rsidRPr="001D31CC" w:rsidRDefault="006C0E1C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D31C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E245B" wp14:editId="69457FA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104093317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861C0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19AAE31C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BD77347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236E36EC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63DC430" w14:textId="77777777" w:rsidR="00E03C32" w:rsidRDefault="00977F5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77F5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Pharmacognosy and Phytochemistry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977F5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14(2): 590-596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F34D0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1A9C5815" w14:textId="77777777" w:rsidR="00E03C32" w:rsidRPr="00F34D07" w:rsidRDefault="00F34D07" w:rsidP="00F34D0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F34D0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116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https://www.doi.org/10.22271/phyto.2025.v14.i2g.15337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245B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405861C0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19AAE31C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4BD77347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236E36EC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63DC430" w14:textId="77777777" w:rsidR="00E03C32" w:rsidRDefault="00977F5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77F5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Pharmacognosy and Phytochemistry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977F5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14(2): 590-596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F34D0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1A9C5815" w14:textId="77777777" w:rsidR="00E03C32" w:rsidRPr="00F34D07" w:rsidRDefault="00F34D07" w:rsidP="00F34D0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F34D0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1162EE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https://www.doi.org/10.22271/phyto.2025.v14.i2g.15337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16C3092" w14:textId="77777777" w:rsidR="00D9392F" w:rsidRPr="001D31C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D31C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7E8FFA79" w14:textId="77777777" w:rsidR="00D27A79" w:rsidRPr="001D31C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D31CC" w14:paraId="015E7716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88DEF4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1C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D31C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1DE1F2A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D31CC" w14:paraId="1D37EDA7" w14:textId="77777777" w:rsidTr="007222C8">
        <w:tc>
          <w:tcPr>
            <w:tcW w:w="1265" w:type="pct"/>
            <w:noWrap/>
          </w:tcPr>
          <w:p w14:paraId="200B3EE4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A7877A2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1CC">
              <w:rPr>
                <w:rFonts w:ascii="Arial" w:hAnsi="Arial" w:cs="Arial"/>
                <w:lang w:val="en-GB"/>
              </w:rPr>
              <w:t>Reviewer’s comment</w:t>
            </w:r>
          </w:p>
          <w:p w14:paraId="2A928025" w14:textId="77777777" w:rsidR="00421DBF" w:rsidRPr="001D31C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14AD818" w14:textId="77777777" w:rsidR="00421DBF" w:rsidRPr="001D31C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50E397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31CC">
              <w:rPr>
                <w:rFonts w:ascii="Arial" w:hAnsi="Arial" w:cs="Arial"/>
                <w:lang w:val="en-GB"/>
              </w:rPr>
              <w:t>Author’s Feedback</w:t>
            </w:r>
            <w:r w:rsidRPr="001D31C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D31C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D31CC" w14:paraId="330F51EC" w14:textId="77777777" w:rsidTr="007222C8">
        <w:trPr>
          <w:trHeight w:val="1264"/>
        </w:trPr>
        <w:tc>
          <w:tcPr>
            <w:tcW w:w="1265" w:type="pct"/>
            <w:noWrap/>
          </w:tcPr>
          <w:p w14:paraId="05A4D253" w14:textId="77777777" w:rsidR="00F1171E" w:rsidRPr="001D31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F25658A" w14:textId="77777777" w:rsidR="00F1171E" w:rsidRPr="001D31C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B51920" w14:textId="115415D3" w:rsidR="00F1171E" w:rsidRPr="001D31CC" w:rsidRDefault="0050132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The chapter titled "From tradition to modern science: A comprehensive review of </w:t>
            </w:r>
            <w:proofErr w:type="spell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Nardostachys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jatamansi's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therapeutic benefits and pharmacological activities" holds immense importance for the scientific community as it gathered </w:t>
            </w:r>
            <w:r w:rsidR="00DE5F0E"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i</w:t>
            </w:r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nformation from Ayurvedic texts, modern scientific literature, and electronic databases with aims to consolidate existing knowledge on </w:t>
            </w:r>
            <w:proofErr w:type="spellStart"/>
            <w:r w:rsidRPr="001D31C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bn-BD"/>
              </w:rPr>
              <w:t>Nardostachys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31C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bn-BD"/>
              </w:rPr>
              <w:t>jatamansi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(Indian spikenard), exploring its historical significance, botanical characteristics, chemical composition, and pharmacological activities. With those insights this manuscript </w:t>
            </w:r>
            <w:proofErr w:type="gram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provide</w:t>
            </w:r>
            <w:proofErr w:type="gram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a comprehensive resource for researchers and clinicians. The chapter mentioned the </w:t>
            </w:r>
            <w:r w:rsidR="00356C18"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t</w:t>
            </w:r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raditional uses </w:t>
            </w:r>
            <w:proofErr w:type="gram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of  </w:t>
            </w:r>
            <w:proofErr w:type="spellStart"/>
            <w:r w:rsidRPr="001D31C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bn-BD"/>
              </w:rPr>
              <w:t>Nardostachys</w:t>
            </w:r>
            <w:proofErr w:type="spellEnd"/>
            <w:proofErr w:type="gram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31C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bn-BD"/>
              </w:rPr>
              <w:t>jatamansi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in Ayurveda including treatments for neurological, cardiovascular, and dermatological conditions. Additionally, this chapter has gone through modern pharmacological studies which support its antifungal, antibacterial, hepatoprotective, cardioprotective, hypolipidemic, antidepressant, antioxidant, neuroprotective, </w:t>
            </w:r>
            <w:proofErr w:type="spell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antiparkinson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, anticonvulsant, anti-hyperglycemic, and anticancer activities. By exceptionally highlighting the </w:t>
            </w:r>
            <w:r w:rsidR="004A163D"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ke</w:t>
            </w:r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y molecules of great relevance in these health advantages including </w:t>
            </w:r>
            <w:proofErr w:type="spell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jatamansone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and </w:t>
            </w:r>
            <w:proofErr w:type="spell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nardostachone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, this manuscript has highlighted the plant's varied and strong chemical profile. At </w:t>
            </w:r>
            <w:proofErr w:type="gramStart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last</w:t>
            </w:r>
            <w:proofErr w:type="gram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the chapter has mentioned that </w:t>
            </w:r>
            <w:r w:rsidR="004A163D"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a</w:t>
            </w:r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lthough the data supporting its therapeutic worth is compelling, more study-especially clinical trials-is required to understand how </w:t>
            </w:r>
            <w:proofErr w:type="spellStart"/>
            <w:r w:rsidRPr="001D31C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bn-BD"/>
              </w:rPr>
              <w:t>Nardostachys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31C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bn-BD"/>
              </w:rPr>
              <w:t>jatamansi</w:t>
            </w:r>
            <w:proofErr w:type="spellEnd"/>
            <w:r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functions in the body completely and to validate its safety and efficacy in human treatments.</w:t>
            </w:r>
          </w:p>
        </w:tc>
        <w:tc>
          <w:tcPr>
            <w:tcW w:w="1523" w:type="pct"/>
          </w:tcPr>
          <w:p w14:paraId="5691D117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31CC" w14:paraId="30178B11" w14:textId="77777777" w:rsidTr="007222C8">
        <w:trPr>
          <w:trHeight w:val="1262"/>
        </w:trPr>
        <w:tc>
          <w:tcPr>
            <w:tcW w:w="1265" w:type="pct"/>
            <w:noWrap/>
          </w:tcPr>
          <w:p w14:paraId="6DC69A28" w14:textId="77777777" w:rsidR="00F1171E" w:rsidRPr="001D31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14DF0C" w14:textId="77777777" w:rsidR="00F1171E" w:rsidRPr="001D31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6BDCC90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A5D9E3B" w14:textId="53C3F1FC" w:rsidR="00F1171E" w:rsidRPr="001D31CC" w:rsidRDefault="0050132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</w:t>
            </w:r>
            <w:r w:rsidR="00D72DCD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is appropriately representing the broader context and key highlighted </w:t>
            </w:r>
            <w:r w:rsidR="00A318DA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portions. </w:t>
            </w:r>
          </w:p>
        </w:tc>
        <w:tc>
          <w:tcPr>
            <w:tcW w:w="1523" w:type="pct"/>
          </w:tcPr>
          <w:p w14:paraId="248C2942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31CC" w14:paraId="533C5326" w14:textId="77777777" w:rsidTr="007222C8">
        <w:trPr>
          <w:trHeight w:val="1262"/>
        </w:trPr>
        <w:tc>
          <w:tcPr>
            <w:tcW w:w="1265" w:type="pct"/>
            <w:noWrap/>
          </w:tcPr>
          <w:p w14:paraId="123EC699" w14:textId="77777777" w:rsidR="00F1171E" w:rsidRPr="001D31C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D31C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D5590A2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9A6168" w14:textId="5CE04CA8" w:rsidR="00F1171E" w:rsidRPr="001D31CC" w:rsidRDefault="0006790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</w:t>
            </w:r>
            <w:r w:rsidR="003A580B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well as well structured, </w:t>
            </w:r>
            <w:r w:rsidR="00D554A2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mentioning </w:t>
            </w:r>
            <w:r w:rsidR="00D554A2" w:rsidRPr="001D31C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Objectives, data sources, review methods, results and conclusions.</w:t>
            </w:r>
          </w:p>
        </w:tc>
        <w:tc>
          <w:tcPr>
            <w:tcW w:w="1523" w:type="pct"/>
          </w:tcPr>
          <w:p w14:paraId="0B97A25C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31CC" w14:paraId="6FE3BA05" w14:textId="77777777" w:rsidTr="007222C8">
        <w:trPr>
          <w:trHeight w:val="859"/>
        </w:trPr>
        <w:tc>
          <w:tcPr>
            <w:tcW w:w="1265" w:type="pct"/>
            <w:noWrap/>
          </w:tcPr>
          <w:p w14:paraId="4C4ECDB1" w14:textId="77777777" w:rsidR="00F1171E" w:rsidRPr="001D31C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635E6EE" w14:textId="70D6B5FA" w:rsidR="00F1171E" w:rsidRPr="001D31CC" w:rsidRDefault="00D90EF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is scientifically correct with </w:t>
            </w:r>
            <w:r w:rsidR="00AE79B0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appropriate usage of English language, acceptable for the </w:t>
            </w:r>
            <w:r w:rsidR="00E31571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journal, maintaining scientific integrity and quality of </w:t>
            </w:r>
            <w:r w:rsidR="003B5230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reputed journal. </w:t>
            </w:r>
          </w:p>
        </w:tc>
        <w:tc>
          <w:tcPr>
            <w:tcW w:w="1523" w:type="pct"/>
          </w:tcPr>
          <w:p w14:paraId="5CE8F3F4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31CC" w14:paraId="43A16349" w14:textId="77777777" w:rsidTr="007222C8">
        <w:trPr>
          <w:trHeight w:val="703"/>
        </w:trPr>
        <w:tc>
          <w:tcPr>
            <w:tcW w:w="1265" w:type="pct"/>
            <w:noWrap/>
          </w:tcPr>
          <w:p w14:paraId="0E643E9E" w14:textId="77777777" w:rsidR="00F1171E" w:rsidRPr="001D31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6C2DCFC" w14:textId="77777777" w:rsidR="00F1171E" w:rsidRPr="001D31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CA4821E" w14:textId="270F5B47" w:rsidR="00A67504" w:rsidRPr="001D31CC" w:rsidRDefault="002E3D23" w:rsidP="007E5528">
            <w:pPr>
              <w:widowControl w:val="0"/>
              <w:tabs>
                <w:tab w:val="left" w:pos="372"/>
              </w:tabs>
              <w:autoSpaceDE w:val="0"/>
              <w:autoSpaceDN w:val="0"/>
              <w:ind w:left="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sufficient and almost recent. Some references which are before 2010 can be considered </w:t>
            </w:r>
            <w:r w:rsidR="00B610CD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they satisfy the </w:t>
            </w:r>
            <w:r w:rsidR="00A67504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historical contexts and prior works. However, the author may replace the </w:t>
            </w:r>
            <w:r w:rsidR="0066650E" w:rsidRPr="001D31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citation “</w:t>
            </w:r>
            <w:r w:rsidR="0066650E" w:rsidRPr="001D31CC">
              <w:rPr>
                <w:rFonts w:ascii="Arial" w:hAnsi="Arial" w:cs="Arial"/>
                <w:sz w:val="20"/>
                <w:szCs w:val="20"/>
              </w:rPr>
              <w:t xml:space="preserve">Dixit, V.P.; Jain, P.; Joshi, S.C.; </w:t>
            </w:r>
            <w:proofErr w:type="spellStart"/>
            <w:r w:rsidR="0066650E" w:rsidRPr="001D31CC">
              <w:rPr>
                <w:rFonts w:ascii="Arial" w:hAnsi="Arial" w:cs="Arial"/>
                <w:sz w:val="20"/>
                <w:szCs w:val="20"/>
              </w:rPr>
              <w:t>Hypolipidaemic</w:t>
            </w:r>
            <w:proofErr w:type="spellEnd"/>
            <w:r w:rsidR="0066650E" w:rsidRPr="001D31CC">
              <w:rPr>
                <w:rFonts w:ascii="Arial" w:hAnsi="Arial" w:cs="Arial"/>
                <w:sz w:val="20"/>
                <w:szCs w:val="20"/>
              </w:rPr>
              <w:t xml:space="preserve"> effects of Curcuma longa L and </w:t>
            </w:r>
            <w:proofErr w:type="spellStart"/>
            <w:r w:rsidR="0066650E" w:rsidRPr="001D31CC">
              <w:rPr>
                <w:rFonts w:ascii="Arial" w:hAnsi="Arial" w:cs="Arial"/>
                <w:sz w:val="20"/>
                <w:szCs w:val="20"/>
              </w:rPr>
              <w:t>Nardostachys</w:t>
            </w:r>
            <w:proofErr w:type="spellEnd"/>
            <w:r w:rsidR="0066650E" w:rsidRPr="001D31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50E" w:rsidRPr="001D31CC">
              <w:rPr>
                <w:rFonts w:ascii="Arial" w:hAnsi="Arial" w:cs="Arial"/>
                <w:sz w:val="20"/>
                <w:szCs w:val="20"/>
              </w:rPr>
              <w:t>jatamansi</w:t>
            </w:r>
            <w:proofErr w:type="spellEnd"/>
            <w:r w:rsidR="0066650E" w:rsidRPr="001D31CC">
              <w:rPr>
                <w:rFonts w:ascii="Arial" w:hAnsi="Arial" w:cs="Arial"/>
                <w:sz w:val="20"/>
                <w:szCs w:val="20"/>
              </w:rPr>
              <w:t xml:space="preserve">, DC in triton- induced </w:t>
            </w:r>
            <w:proofErr w:type="spellStart"/>
            <w:r w:rsidR="0066650E" w:rsidRPr="001D31CC">
              <w:rPr>
                <w:rFonts w:ascii="Arial" w:hAnsi="Arial" w:cs="Arial"/>
                <w:sz w:val="20"/>
                <w:szCs w:val="20"/>
              </w:rPr>
              <w:t>hyperlipidaemic</w:t>
            </w:r>
            <w:proofErr w:type="spellEnd"/>
            <w:r w:rsidR="0066650E" w:rsidRPr="001D31CC">
              <w:rPr>
                <w:rFonts w:ascii="Arial" w:hAnsi="Arial" w:cs="Arial"/>
                <w:sz w:val="20"/>
                <w:szCs w:val="20"/>
              </w:rPr>
              <w:t xml:space="preserve"> rats, Indian J </w:t>
            </w:r>
            <w:proofErr w:type="spellStart"/>
            <w:r w:rsidR="0066650E" w:rsidRPr="001D31CC">
              <w:rPr>
                <w:rFonts w:ascii="Arial" w:hAnsi="Arial" w:cs="Arial"/>
                <w:sz w:val="20"/>
                <w:szCs w:val="20"/>
              </w:rPr>
              <w:t>PhysiolPharmacol</w:t>
            </w:r>
            <w:proofErr w:type="spellEnd"/>
            <w:r w:rsidR="0066650E" w:rsidRPr="001D31CC">
              <w:rPr>
                <w:rFonts w:ascii="Arial" w:hAnsi="Arial" w:cs="Arial"/>
                <w:sz w:val="20"/>
                <w:szCs w:val="20"/>
              </w:rPr>
              <w:t>, 1988, 32, 299-304.</w:t>
            </w:r>
            <w:r w:rsidR="002C53FA" w:rsidRPr="001D31CC">
              <w:rPr>
                <w:rFonts w:ascii="Arial" w:hAnsi="Arial" w:cs="Arial"/>
                <w:sz w:val="20"/>
                <w:szCs w:val="20"/>
              </w:rPr>
              <w:t>”as it is too much older.</w:t>
            </w:r>
          </w:p>
        </w:tc>
        <w:tc>
          <w:tcPr>
            <w:tcW w:w="1523" w:type="pct"/>
          </w:tcPr>
          <w:p w14:paraId="7E20992E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31CC" w14:paraId="6ED03682" w14:textId="77777777" w:rsidTr="007222C8">
        <w:trPr>
          <w:trHeight w:val="386"/>
        </w:trPr>
        <w:tc>
          <w:tcPr>
            <w:tcW w:w="1265" w:type="pct"/>
            <w:noWrap/>
          </w:tcPr>
          <w:p w14:paraId="216ABED0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726FC7E" w14:textId="77777777" w:rsidR="00F1171E" w:rsidRPr="001D31C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D31C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DB139D3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890B8E" w14:textId="77777777" w:rsidR="00C05499" w:rsidRPr="001D31CC" w:rsidRDefault="00C0549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6524FB" w14:textId="628F3FFA" w:rsidR="00F1171E" w:rsidRPr="001D31CC" w:rsidRDefault="00E418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sz w:val="20"/>
                <w:szCs w:val="20"/>
                <w:lang w:val="en-GB"/>
              </w:rPr>
              <w:t>The language/English quality of the article is suitable for scholarly communications.</w:t>
            </w:r>
          </w:p>
          <w:p w14:paraId="7B487690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F97A29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D31CC" w14:paraId="6985FD6B" w14:textId="77777777" w:rsidTr="007222C8">
        <w:trPr>
          <w:trHeight w:val="1178"/>
        </w:trPr>
        <w:tc>
          <w:tcPr>
            <w:tcW w:w="1265" w:type="pct"/>
            <w:noWrap/>
          </w:tcPr>
          <w:p w14:paraId="44C7FB3C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D31C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D31C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D31C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6FDF6C0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7F0084E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7B6908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7949CD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10F48C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8265BF" w14:textId="77777777" w:rsidR="00F1171E" w:rsidRPr="001D31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57D214" w14:textId="77777777" w:rsidR="00F1171E" w:rsidRPr="001D31C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32BCC" w14:textId="77777777" w:rsidR="00F1171E" w:rsidRPr="001D31C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E9EEBA" w14:textId="77777777" w:rsidR="00F1171E" w:rsidRPr="001D31C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D31CC" w14:paraId="35D1595E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1556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D31C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D31C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D74DD2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D31CC" w14:paraId="3D6CC3C0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2A17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7E03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1C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0CC01C5" w14:textId="77777777" w:rsidR="00F1171E" w:rsidRPr="001D31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31CC">
              <w:rPr>
                <w:rFonts w:ascii="Arial" w:hAnsi="Arial" w:cs="Arial"/>
                <w:lang w:val="en-GB"/>
              </w:rPr>
              <w:t>Author’s comment</w:t>
            </w:r>
            <w:r w:rsidRPr="001D31C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D31C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D31CC" w14:paraId="7C7B5C17" w14:textId="77777777" w:rsidTr="00776F96">
        <w:trPr>
          <w:trHeight w:val="1133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66C8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1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D9CBD1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DD80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D31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D31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D31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3385E1E" w14:textId="5A10CE9A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47F7D89" w14:textId="77777777" w:rsidR="00F1171E" w:rsidRPr="001D31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FFEC68" w14:textId="77777777" w:rsidR="00F1171E" w:rsidRPr="001D31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1CFA05" w14:textId="77777777" w:rsidR="00F1171E" w:rsidRPr="001D31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B05A0D" w14:textId="77777777" w:rsidR="00F1171E" w:rsidRPr="001D31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CF16360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7BE6999" w14:textId="77777777" w:rsidR="001D31CC" w:rsidRPr="006404D4" w:rsidRDefault="001D31CC" w:rsidP="001D31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04D4">
        <w:rPr>
          <w:rFonts w:ascii="Arial" w:hAnsi="Arial" w:cs="Arial"/>
          <w:b/>
          <w:u w:val="single"/>
        </w:rPr>
        <w:t>Reviewer details:</w:t>
      </w:r>
    </w:p>
    <w:p w14:paraId="6EE5FF27" w14:textId="77777777" w:rsidR="001D31CC" w:rsidRPr="006404D4" w:rsidRDefault="001D31CC" w:rsidP="001D31C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404D4">
        <w:rPr>
          <w:rFonts w:ascii="Arial" w:hAnsi="Arial" w:cs="Arial"/>
          <w:b/>
        </w:rPr>
        <w:t>Sreedeep Dey, University of Calcutta, India</w:t>
      </w:r>
    </w:p>
    <w:p w14:paraId="5FA4548E" w14:textId="77777777" w:rsidR="001D31CC" w:rsidRPr="001D31CC" w:rsidRDefault="001D31CC">
      <w:pPr>
        <w:rPr>
          <w:rFonts w:ascii="Arial" w:hAnsi="Arial" w:cs="Arial"/>
          <w:b/>
          <w:sz w:val="20"/>
          <w:szCs w:val="20"/>
        </w:rPr>
      </w:pPr>
    </w:p>
    <w:sectPr w:rsidR="001D31CC" w:rsidRPr="001D31CC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D826" w14:textId="77777777" w:rsidR="000A1113" w:rsidRPr="0000007A" w:rsidRDefault="000A1113" w:rsidP="0099583E">
      <w:r>
        <w:separator/>
      </w:r>
    </w:p>
  </w:endnote>
  <w:endnote w:type="continuationSeparator" w:id="0">
    <w:p w14:paraId="3881DFA8" w14:textId="77777777" w:rsidR="000A1113" w:rsidRPr="0000007A" w:rsidRDefault="000A11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F7A2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5600" w14:textId="77777777" w:rsidR="000A1113" w:rsidRPr="0000007A" w:rsidRDefault="000A1113" w:rsidP="0099583E">
      <w:r>
        <w:separator/>
      </w:r>
    </w:p>
  </w:footnote>
  <w:footnote w:type="continuationSeparator" w:id="0">
    <w:p w14:paraId="2502F0AD" w14:textId="77777777" w:rsidR="000A1113" w:rsidRPr="0000007A" w:rsidRDefault="000A11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C09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77F7F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711D5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A07A2"/>
    <w:multiLevelType w:val="hybridMultilevel"/>
    <w:tmpl w:val="FB72F2B4"/>
    <w:lvl w:ilvl="0" w:tplc="AB1E1726">
      <w:start w:val="1"/>
      <w:numFmt w:val="decimal"/>
      <w:lvlText w:val="%1."/>
      <w:lvlJc w:val="left"/>
      <w:pPr>
        <w:ind w:left="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9EABBFA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1F788D24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3" w:tplc="3DF40A24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4" w:tplc="482E7A98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5" w:tplc="B1A21A1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6" w:tplc="7B1EB3E4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7" w:tplc="B984A614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8" w:tplc="C322669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222126">
    <w:abstractNumId w:val="3"/>
  </w:num>
  <w:num w:numId="2" w16cid:durableId="1604876732">
    <w:abstractNumId w:val="6"/>
  </w:num>
  <w:num w:numId="3" w16cid:durableId="880937937">
    <w:abstractNumId w:val="5"/>
  </w:num>
  <w:num w:numId="4" w16cid:durableId="124351865">
    <w:abstractNumId w:val="7"/>
  </w:num>
  <w:num w:numId="5" w16cid:durableId="988707302">
    <w:abstractNumId w:val="4"/>
  </w:num>
  <w:num w:numId="6" w16cid:durableId="171578479">
    <w:abstractNumId w:val="0"/>
  </w:num>
  <w:num w:numId="7" w16cid:durableId="414401216">
    <w:abstractNumId w:val="1"/>
  </w:num>
  <w:num w:numId="8" w16cid:durableId="1244334832">
    <w:abstractNumId w:val="10"/>
  </w:num>
  <w:num w:numId="9" w16cid:durableId="862672936">
    <w:abstractNumId w:val="9"/>
  </w:num>
  <w:num w:numId="10" w16cid:durableId="1433476191">
    <w:abstractNumId w:val="2"/>
  </w:num>
  <w:num w:numId="11" w16cid:durableId="959530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419"/>
    <w:rsid w:val="00037D52"/>
    <w:rsid w:val="000450FC"/>
    <w:rsid w:val="00054BC4"/>
    <w:rsid w:val="00056CB0"/>
    <w:rsid w:val="0006257C"/>
    <w:rsid w:val="000627FE"/>
    <w:rsid w:val="00063BCF"/>
    <w:rsid w:val="0006790F"/>
    <w:rsid w:val="0007151E"/>
    <w:rsid w:val="00081012"/>
    <w:rsid w:val="00084D7C"/>
    <w:rsid w:val="000936AC"/>
    <w:rsid w:val="00093C60"/>
    <w:rsid w:val="00095A59"/>
    <w:rsid w:val="000A1113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949"/>
    <w:rsid w:val="000F6EA8"/>
    <w:rsid w:val="00101322"/>
    <w:rsid w:val="00105025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1C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B51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53FA"/>
    <w:rsid w:val="002C78B4"/>
    <w:rsid w:val="002D60EF"/>
    <w:rsid w:val="002E10DF"/>
    <w:rsid w:val="002E1211"/>
    <w:rsid w:val="002E2339"/>
    <w:rsid w:val="002E3D23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68B1"/>
    <w:rsid w:val="00353718"/>
    <w:rsid w:val="00356C18"/>
    <w:rsid w:val="00374F93"/>
    <w:rsid w:val="00377F1D"/>
    <w:rsid w:val="00394901"/>
    <w:rsid w:val="003A04E7"/>
    <w:rsid w:val="003A1C45"/>
    <w:rsid w:val="003A4991"/>
    <w:rsid w:val="003A580B"/>
    <w:rsid w:val="003A6E1A"/>
    <w:rsid w:val="003B1D0B"/>
    <w:rsid w:val="003B2172"/>
    <w:rsid w:val="003B5230"/>
    <w:rsid w:val="003C7277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E71"/>
    <w:rsid w:val="004A163D"/>
    <w:rsid w:val="004B03BF"/>
    <w:rsid w:val="004B0965"/>
    <w:rsid w:val="004B4CAD"/>
    <w:rsid w:val="004B4FDC"/>
    <w:rsid w:val="004C0178"/>
    <w:rsid w:val="004C236B"/>
    <w:rsid w:val="004C3DF1"/>
    <w:rsid w:val="004D2E36"/>
    <w:rsid w:val="004E08E3"/>
    <w:rsid w:val="004E1D1A"/>
    <w:rsid w:val="004E4915"/>
    <w:rsid w:val="004F741F"/>
    <w:rsid w:val="004F78F5"/>
    <w:rsid w:val="004F7BF2"/>
    <w:rsid w:val="00501321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008"/>
    <w:rsid w:val="005C25A0"/>
    <w:rsid w:val="005C4EC9"/>
    <w:rsid w:val="005C53FE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50E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7B8"/>
    <w:rsid w:val="006C0E1C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F96"/>
    <w:rsid w:val="00780B67"/>
    <w:rsid w:val="00781D07"/>
    <w:rsid w:val="0079547A"/>
    <w:rsid w:val="007A62F8"/>
    <w:rsid w:val="007B1099"/>
    <w:rsid w:val="007B54A4"/>
    <w:rsid w:val="007C6CDF"/>
    <w:rsid w:val="007D0246"/>
    <w:rsid w:val="007E552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8C8"/>
    <w:rsid w:val="008B265C"/>
    <w:rsid w:val="008C2F62"/>
    <w:rsid w:val="008C3374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76247"/>
    <w:rsid w:val="00977F51"/>
    <w:rsid w:val="00982766"/>
    <w:rsid w:val="009852C4"/>
    <w:rsid w:val="0099583E"/>
    <w:rsid w:val="009A0242"/>
    <w:rsid w:val="009A59ED"/>
    <w:rsid w:val="009B101F"/>
    <w:rsid w:val="009B239B"/>
    <w:rsid w:val="009B3CDD"/>
    <w:rsid w:val="009C5642"/>
    <w:rsid w:val="009E13C3"/>
    <w:rsid w:val="009E6A30"/>
    <w:rsid w:val="009F07D4"/>
    <w:rsid w:val="009F29EB"/>
    <w:rsid w:val="009F4194"/>
    <w:rsid w:val="009F7A71"/>
    <w:rsid w:val="00A001A0"/>
    <w:rsid w:val="00A12C83"/>
    <w:rsid w:val="00A15F2F"/>
    <w:rsid w:val="00A17184"/>
    <w:rsid w:val="00A318DA"/>
    <w:rsid w:val="00A31AAC"/>
    <w:rsid w:val="00A32905"/>
    <w:rsid w:val="00A36C95"/>
    <w:rsid w:val="00A37DE3"/>
    <w:rsid w:val="00A4052B"/>
    <w:rsid w:val="00A40B00"/>
    <w:rsid w:val="00A4787C"/>
    <w:rsid w:val="00A51369"/>
    <w:rsid w:val="00A519D1"/>
    <w:rsid w:val="00A5303B"/>
    <w:rsid w:val="00A65C50"/>
    <w:rsid w:val="00A67504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5E4"/>
    <w:rsid w:val="00AD6C51"/>
    <w:rsid w:val="00AE0E9B"/>
    <w:rsid w:val="00AE54CD"/>
    <w:rsid w:val="00AE79B0"/>
    <w:rsid w:val="00AF3016"/>
    <w:rsid w:val="00AF7E73"/>
    <w:rsid w:val="00B03A45"/>
    <w:rsid w:val="00B2236C"/>
    <w:rsid w:val="00B22FE6"/>
    <w:rsid w:val="00B3033D"/>
    <w:rsid w:val="00B332FB"/>
    <w:rsid w:val="00B334D9"/>
    <w:rsid w:val="00B53059"/>
    <w:rsid w:val="00B562D2"/>
    <w:rsid w:val="00B610CD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BF5"/>
    <w:rsid w:val="00BF5C56"/>
    <w:rsid w:val="00C01111"/>
    <w:rsid w:val="00C03A1D"/>
    <w:rsid w:val="00C05499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4611"/>
    <w:rsid w:val="00D40416"/>
    <w:rsid w:val="00D430AB"/>
    <w:rsid w:val="00D4782A"/>
    <w:rsid w:val="00D52C7E"/>
    <w:rsid w:val="00D554A2"/>
    <w:rsid w:val="00D709EB"/>
    <w:rsid w:val="00D72DCD"/>
    <w:rsid w:val="00D7603E"/>
    <w:rsid w:val="00D90124"/>
    <w:rsid w:val="00D90EFB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5F0E"/>
    <w:rsid w:val="00DE7D30"/>
    <w:rsid w:val="00DF04E3"/>
    <w:rsid w:val="00E03C32"/>
    <w:rsid w:val="00E24726"/>
    <w:rsid w:val="00E24F8A"/>
    <w:rsid w:val="00E3111A"/>
    <w:rsid w:val="00E31571"/>
    <w:rsid w:val="00E41845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97D9F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4D07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BA8"/>
    <w:rsid w:val="00FA483D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FFFCC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31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22271/phyto.2025.v14.i2g.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i.org/10.22271/phyto.2025.v14.i2g.1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35</cp:revision>
  <dcterms:created xsi:type="dcterms:W3CDTF">2025-06-20T13:01:00Z</dcterms:created>
  <dcterms:modified xsi:type="dcterms:W3CDTF">2025-06-26T13:20:00Z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