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3AC85">
      <w:pPr>
        <w:tabs>
          <w:tab w:val="left" w:pos="3510"/>
        </w:tabs>
        <w:spacing w:after="0" w:line="240" w:lineRule="auto"/>
        <w:ind w:left="2160"/>
        <w:contextualSpacing/>
        <w:jc w:val="right"/>
        <w:outlineLvl w:val="0"/>
        <w:rPr>
          <w:rFonts w:ascii="Arial" w:hAnsi="Arial" w:eastAsia="Times New Roman" w:cs="Arial"/>
          <w:b/>
          <w:i/>
          <w:sz w:val="24"/>
          <w:szCs w:val="24"/>
        </w:rPr>
      </w:pPr>
    </w:p>
    <w:p w14:paraId="05BE57B7">
      <w:pPr>
        <w:spacing w:after="0" w:line="240" w:lineRule="auto"/>
        <w:contextualSpacing/>
        <w:jc w:val="right"/>
        <w:outlineLvl w:val="0"/>
        <w:rPr>
          <w:rFonts w:ascii="Arial" w:hAnsi="Arial" w:eastAsia="Times New Roman" w:cs="Arial"/>
          <w:sz w:val="16"/>
          <w:szCs w:val="16"/>
        </w:rPr>
      </w:pPr>
    </w:p>
    <w:p w14:paraId="7237C272">
      <w:pPr>
        <w:spacing w:after="0" w:line="240" w:lineRule="auto"/>
        <w:contextualSpacing/>
        <w:jc w:val="center"/>
        <w:rPr>
          <w:rFonts w:ascii="Arial" w:hAnsi="Arial" w:eastAsia="Times New Roman" w:cs="Arial"/>
          <w:i/>
          <w:sz w:val="14"/>
          <w:szCs w:val="20"/>
        </w:rPr>
      </w:pPr>
    </w:p>
    <w:p w14:paraId="602B8DBE">
      <w:pPr>
        <w:spacing w:after="0" w:line="240" w:lineRule="auto"/>
        <w:contextualSpacing/>
        <w:jc w:val="right"/>
        <w:rPr>
          <w:rFonts w:ascii="Arial" w:hAnsi="Arial" w:eastAsia="Times New Roman" w:cs="Arial"/>
          <w:b/>
          <w:bCs/>
          <w:kern w:val="28"/>
          <w:sz w:val="12"/>
          <w:szCs w:val="20"/>
        </w:rPr>
      </w:pPr>
      <w:r>
        <w:rPr>
          <w:rFonts w:ascii="Arial" w:hAnsi="Arial" w:eastAsia="Times New Roman" w:cs="Arial"/>
          <w:b/>
          <w:bCs/>
          <w:kern w:val="28"/>
          <w:sz w:val="12"/>
          <w:szCs w:val="20"/>
        </w:rPr>
        <mc:AlternateContent>
          <mc:Choice Requires="wps">
            <w:drawing>
              <wp:inline distT="0" distB="0" distL="114300" distR="114300">
                <wp:extent cx="4114800" cy="635"/>
                <wp:effectExtent l="0" t="0" r="0" b="0"/>
                <wp:docPr id="1" name="AutoShape 54"/>
                <wp:cNvGraphicFramePr/>
                <a:graphic xmlns:a="http://schemas.openxmlformats.org/drawingml/2006/main">
                  <a:graphicData uri="http://schemas.microsoft.com/office/word/2010/wordprocessingShape">
                    <wps:wsp>
                      <wps:cNvCnPr/>
                      <wps:spPr>
                        <a:xfrm>
                          <a:off x="0" y="0"/>
                          <a:ext cx="4114800" cy="635"/>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54" o:spid="_x0000_s1026" o:spt="32" type="#_x0000_t32" style="height:0.05pt;width:324pt;" filled="f" stroked="t" coordsize="21600,21600" o:gfxdata="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8CfJyzgAAAAIBAAAPAAAAAAAAAAEA&#10;IAAAACIAAABkcnMvZG93bnJldi54bWxQSwECFAAUAAAACACHTuJALFUtROABAADkAwAADgAAAAAA&#10;AAABACAAAAAdAQAAZHJzL2Uyb0RvYy54bWxQSwUGAAAAAAYABgBZAQAAbwUAAAAA&#10;">
                <v:fill on="f" focussize="0,0"/>
                <v:stroke weight="1.5pt" color="#000000" joinstyle="round"/>
                <v:imagedata o:title=""/>
                <o:lock v:ext="edit" aspectratio="f"/>
                <w10:wrap type="none"/>
                <w10:anchorlock/>
              </v:shape>
            </w:pict>
          </mc:Fallback>
        </mc:AlternateContent>
      </w:r>
    </w:p>
    <w:p w14:paraId="01E99575">
      <w:pPr>
        <w:spacing w:after="0" w:line="240" w:lineRule="auto"/>
        <w:contextualSpacing/>
        <w:jc w:val="right"/>
        <w:rPr>
          <w:rFonts w:ascii="Arial" w:hAnsi="Arial" w:eastAsia="Calibri" w:cs="Arial"/>
          <w:b/>
          <w:bCs/>
          <w:sz w:val="20"/>
          <w:szCs w:val="36"/>
        </w:rPr>
      </w:pPr>
    </w:p>
    <w:p w14:paraId="322B3F57">
      <w:pPr>
        <w:pStyle w:val="60"/>
        <w:spacing w:before="0" w:beforeAutospacing="0" w:after="0" w:afterAutospacing="0"/>
        <w:jc w:val="center"/>
        <w:textAlignment w:val="baseline"/>
        <w:rPr>
          <w:b/>
          <w:bCs/>
        </w:rPr>
      </w:pPr>
      <w:r>
        <w:rPr>
          <w:b/>
          <w:bCs/>
        </w:rPr>
        <w:t>Using Griffiths III for Quantitative and Qualitative assessment of a child with Diagnostic Complexity: A Case Study</w:t>
      </w:r>
    </w:p>
    <w:p w14:paraId="19FE9E94">
      <w:pPr>
        <w:pStyle w:val="60"/>
        <w:spacing w:before="0" w:beforeAutospacing="0" w:after="0" w:afterAutospacing="0"/>
        <w:jc w:val="center"/>
        <w:textAlignment w:val="baseline"/>
      </w:pPr>
    </w:p>
    <w:p w14:paraId="20A6855B">
      <w:pPr>
        <w:pStyle w:val="60"/>
        <w:spacing w:before="0" w:beforeAutospacing="0" w:after="0" w:afterAutospacing="0"/>
        <w:jc w:val="center"/>
        <w:textAlignment w:val="baseline"/>
      </w:pPr>
    </w:p>
    <w:p w14:paraId="44112D0F">
      <w:pPr>
        <w:autoSpaceDE w:val="0"/>
        <w:autoSpaceDN w:val="0"/>
        <w:adjustRightInd w:val="0"/>
        <w:spacing w:after="0" w:line="240" w:lineRule="auto"/>
        <w:contextualSpacing/>
        <w:rPr>
          <w:rFonts w:ascii="Arial" w:hAnsi="Arial" w:eastAsia="Times New Roman" w:cs="Arial"/>
          <w:bCs/>
          <w:sz w:val="18"/>
          <w:szCs w:val="20"/>
        </w:rPr>
      </w:pPr>
    </w:p>
    <w:p w14:paraId="6D3A83DB">
      <w:pPr>
        <w:autoSpaceDE w:val="0"/>
        <w:autoSpaceDN w:val="0"/>
        <w:adjustRightInd w:val="0"/>
        <w:spacing w:after="0" w:line="240" w:lineRule="auto"/>
        <w:contextualSpacing/>
        <w:rPr>
          <w:rFonts w:ascii="Arial" w:hAnsi="Arial" w:eastAsia="Times New Roman" w:cs="Arial"/>
          <w:sz w:val="20"/>
          <w:szCs w:val="20"/>
        </w:rPr>
      </w:pPr>
      <w:r>
        <w:rPr>
          <w:rFonts w:ascii="Arial" w:hAnsi="Arial" w:eastAsia="Times New Roman" w:cs="Arial"/>
          <w:sz w:val="24"/>
          <w:szCs w:val="20"/>
        </w:rPr>
        <mc:AlternateContent>
          <mc:Choice Requires="wps">
            <w:drawing>
              <wp:inline distT="0" distB="0" distL="114300" distR="114300">
                <wp:extent cx="4114800" cy="635"/>
                <wp:effectExtent l="0" t="0" r="0" b="0"/>
                <wp:docPr id="2" name="AutoShape 5"/>
                <wp:cNvGraphicFramePr/>
                <a:graphic xmlns:a="http://schemas.openxmlformats.org/drawingml/2006/main">
                  <a:graphicData uri="http://schemas.microsoft.com/office/word/2010/wordprocessingShape">
                    <wps:wsp>
                      <wps:cNvCnPr/>
                      <wps:spPr>
                        <a:xfrm>
                          <a:off x="0" y="0"/>
                          <a:ext cx="4114800" cy="635"/>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5" o:spid="_x0000_s1026" o:spt="32" type="#_x0000_t32" style="height:0.05pt;width:324pt;" filled="f" stroked="t" coordsize="21600,21600" o:gfxdata="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nycs4AAAACAQAADwAAAAAAAAAB&#10;ACAAAAAiAAAAZHJzL2Rvd25yZXYueG1sUEsBAhQAFAAAAAgAh07iQOR/nyXhAQAA4wMAAA4AAAAA&#10;AAAAAQAgAAAAHQEAAGRycy9lMm9Eb2MueG1sUEsFBgAAAAAGAAYAWQEAAHAFAAAAAA==&#10;">
                <v:fill on="f" focussize="0,0"/>
                <v:stroke weight="1.5pt" color="#000000" joinstyle="round"/>
                <v:imagedata o:title=""/>
                <o:lock v:ext="edit" aspectratio="f"/>
                <w10:wrap type="none"/>
                <w10:anchorlock/>
              </v:shape>
            </w:pict>
          </mc:Fallback>
        </mc:AlternateContent>
      </w:r>
    </w:p>
    <w:p w14:paraId="78E14FA8">
      <w:pPr>
        <w:spacing w:after="0" w:line="240" w:lineRule="auto"/>
        <w:rPr>
          <w:rFonts w:ascii="Arial" w:hAnsi="Arial" w:eastAsia="Times New Roman" w:cs="Arial"/>
          <w:b/>
          <w:caps/>
          <w:sz w:val="20"/>
          <w:szCs w:val="20"/>
        </w:rPr>
      </w:pPr>
    </w:p>
    <w:p w14:paraId="76B9DDD5">
      <w:pPr>
        <w:pStyle w:val="3"/>
        <w:keepNext w:val="0"/>
        <w:keepLines w:val="0"/>
        <w:rPr>
          <w:rFonts w:eastAsia="Times New Roman"/>
        </w:rPr>
      </w:pPr>
      <w:r>
        <w:rPr>
          <w:rFonts w:eastAsia="Times New Roman"/>
          <w:szCs w:val="28"/>
        </w:rPr>
        <w:t>ABSTRACT</w:t>
      </w:r>
      <w:r>
        <w:rPr>
          <w:rFonts w:eastAsia="Times New Roman"/>
          <w:sz w:val="20"/>
        </w:rPr>
        <w:t xml:space="preserve"> </w:t>
      </w:r>
      <w:r>
        <w:commentReference w:id="0"/>
      </w:r>
    </w:p>
    <w:p w14:paraId="538033AE">
      <w:pPr>
        <w:spacing w:after="0" w:line="240" w:lineRule="auto"/>
        <w:ind w:right="-61"/>
        <w:jc w:val="center"/>
        <w:outlineLvl w:val="0"/>
        <w:rPr>
          <w:rFonts w:ascii="Arial" w:hAnsi="Arial" w:eastAsia="Times New Roman" w:cs="Arial"/>
          <w:b/>
          <w:caps/>
          <w:sz w:val="20"/>
          <w:szCs w:val="20"/>
        </w:rPr>
      </w:pPr>
    </w:p>
    <w:p w14:paraId="38A6EBBB">
      <w:pPr>
        <w:pStyle w:val="60"/>
        <w:spacing w:before="0" w:beforeAutospacing="0" w:after="0" w:afterAutospacing="0"/>
        <w:jc w:val="both"/>
        <w:textAlignment w:val="baseline"/>
        <w:rPr>
          <w:rStyle w:val="61"/>
          <w:rFonts w:ascii="Arial" w:hAnsi="Arial" w:cs="Arial"/>
          <w:sz w:val="18"/>
          <w:szCs w:val="18"/>
          <w:lang w:val="en-ZA"/>
        </w:rPr>
      </w:pPr>
      <w:r>
        <w:rPr>
          <w:rStyle w:val="61"/>
          <w:rFonts w:ascii="Arial" w:hAnsi="Arial" w:cs="Arial"/>
          <w:b/>
          <w:bCs/>
          <w:sz w:val="18"/>
          <w:szCs w:val="18"/>
          <w:lang w:val="en-ZA"/>
        </w:rPr>
        <w:t>Aims:</w:t>
      </w:r>
      <w:r>
        <w:rPr>
          <w:rStyle w:val="61"/>
          <w:rFonts w:ascii="Arial" w:hAnsi="Arial" w:cs="Arial"/>
          <w:sz w:val="18"/>
          <w:szCs w:val="18"/>
          <w:lang w:val="en-ZA"/>
        </w:rPr>
        <w:t xml:space="preserve"> This study illustrates the use of the Griffiths Child Development Scales 3</w:t>
      </w:r>
      <w:r>
        <w:rPr>
          <w:rStyle w:val="61"/>
          <w:rFonts w:ascii="Arial" w:hAnsi="Arial" w:cs="Arial"/>
          <w:sz w:val="18"/>
          <w:szCs w:val="18"/>
          <w:vertAlign w:val="superscript"/>
          <w:lang w:val="en-ZA"/>
        </w:rPr>
        <w:t>rd</w:t>
      </w:r>
      <w:r>
        <w:rPr>
          <w:rStyle w:val="61"/>
          <w:rFonts w:ascii="Arial" w:hAnsi="Arial" w:cs="Arial"/>
          <w:sz w:val="18"/>
          <w:szCs w:val="18"/>
          <w:lang w:val="en-ZA"/>
        </w:rPr>
        <w:t xml:space="preserve"> edition (Griffiths III) </w:t>
      </w:r>
      <w:r>
        <w:rPr>
          <w:rStyle w:val="61"/>
          <w:rFonts w:ascii="Arial" w:hAnsi="Arial" w:cs="Arial"/>
          <w:sz w:val="18"/>
          <w:szCs w:val="18"/>
          <w:lang w:val="en-US"/>
        </w:rPr>
        <w:t>to clarify a diagnosis of Autistic Spectrum Disorder and possible</w:t>
      </w:r>
      <w:r>
        <w:rPr>
          <w:rStyle w:val="61"/>
          <w:rFonts w:ascii="Arial" w:hAnsi="Arial" w:cs="Arial"/>
          <w:sz w:val="18"/>
          <w:szCs w:val="18"/>
          <w:lang w:val="en-ZA"/>
        </w:rPr>
        <w:t xml:space="preserve"> other comorbid disorders with attentional and behavioural features. </w:t>
      </w:r>
    </w:p>
    <w:p w14:paraId="6CC518BB">
      <w:pPr>
        <w:pStyle w:val="60"/>
        <w:spacing w:before="0" w:beforeAutospacing="0" w:after="0" w:afterAutospacing="0"/>
        <w:jc w:val="both"/>
        <w:textAlignment w:val="baseline"/>
        <w:rPr>
          <w:rStyle w:val="61"/>
          <w:rFonts w:ascii="Arial" w:hAnsi="Arial" w:cs="Arial"/>
          <w:color w:val="000000"/>
          <w:sz w:val="18"/>
          <w:szCs w:val="18"/>
          <w:shd w:val="clear" w:color="auto" w:fill="FFFFFF"/>
          <w:lang w:val="en-ZA"/>
        </w:rPr>
      </w:pPr>
      <w:r>
        <w:rPr>
          <w:rFonts w:ascii="Arial" w:hAnsi="Arial" w:eastAsia="Calibri" w:cs="Arial"/>
          <w:b/>
          <w:sz w:val="18"/>
          <w:szCs w:val="18"/>
        </w:rPr>
        <w:t>Study Design:</w:t>
      </w:r>
      <w:r>
        <w:rPr>
          <w:rFonts w:ascii="Arial" w:hAnsi="Arial" w:eastAsia="Calibri" w:cs="Arial"/>
          <w:sz w:val="18"/>
          <w:szCs w:val="18"/>
        </w:rPr>
        <w:t xml:space="preserve">  </w:t>
      </w:r>
      <w:r>
        <w:rPr>
          <w:rFonts w:ascii="Arial" w:hAnsi="Arial" w:cs="Arial"/>
          <w:sz w:val="18"/>
          <w:szCs w:val="18"/>
        </w:rPr>
        <w:t>A single case study integrating quantitative data from the Griffiths III with qualitative information derived from disaggregated item-level analysis and developmental constructs.</w:t>
      </w:r>
    </w:p>
    <w:p w14:paraId="595881A4">
      <w:pPr>
        <w:pStyle w:val="60"/>
        <w:spacing w:before="0" w:beforeAutospacing="0" w:after="0" w:afterAutospacing="0"/>
        <w:jc w:val="both"/>
        <w:textAlignment w:val="baseline"/>
        <w:rPr>
          <w:rFonts w:ascii="Arial" w:hAnsi="Arial" w:eastAsia="Calibri" w:cs="Arial"/>
          <w:b/>
          <w:bCs/>
          <w:sz w:val="18"/>
          <w:szCs w:val="18"/>
        </w:rPr>
      </w:pPr>
      <w:r>
        <w:rPr>
          <w:rFonts w:ascii="Arial" w:hAnsi="Arial" w:eastAsia="Calibri" w:cs="Arial"/>
          <w:b/>
          <w:bCs/>
          <w:sz w:val="18"/>
          <w:szCs w:val="18"/>
        </w:rPr>
        <w:t xml:space="preserve">Methodology: </w:t>
      </w:r>
      <w:r>
        <w:rPr>
          <w:rStyle w:val="61"/>
          <w:rFonts w:ascii="Arial" w:hAnsi="Arial" w:cs="Arial"/>
          <w:sz w:val="18"/>
          <w:szCs w:val="18"/>
          <w:lang w:val="en-US"/>
        </w:rPr>
        <w:t xml:space="preserve">A test battery of the Childhood Autism Rating Scale, </w:t>
      </w:r>
      <w:r>
        <w:rPr>
          <w:rStyle w:val="61"/>
          <w:rFonts w:ascii="Arial" w:hAnsi="Arial" w:cs="Arial"/>
          <w:color w:val="000000"/>
          <w:sz w:val="18"/>
          <w:szCs w:val="18"/>
          <w:lang w:val="en-ZA"/>
        </w:rPr>
        <w:t xml:space="preserve">Conners 3 - Parent and Teacher Surveys, Long Form and the </w:t>
      </w:r>
      <w:r>
        <w:rPr>
          <w:rStyle w:val="61"/>
          <w:rFonts w:ascii="Arial" w:hAnsi="Arial" w:cs="Arial"/>
          <w:color w:val="000000"/>
          <w:sz w:val="18"/>
          <w:szCs w:val="18"/>
          <w:shd w:val="clear" w:color="auto" w:fill="FFFFFF"/>
          <w:lang w:val="en-ZA"/>
        </w:rPr>
        <w:t xml:space="preserve">Goodenough–Harris Draw-a-Person test was administered before the Griffiths III. </w:t>
      </w:r>
      <w:r>
        <w:rPr>
          <w:rStyle w:val="61"/>
          <w:rFonts w:ascii="Arial" w:hAnsi="Arial" w:cs="Arial"/>
          <w:sz w:val="18"/>
          <w:szCs w:val="18"/>
        </w:rPr>
        <w:t xml:space="preserve">The concept of Theory of Mind is used to examine his difficulties on the </w:t>
      </w:r>
      <w:r>
        <w:rPr>
          <w:rStyle w:val="61"/>
          <w:rFonts w:ascii="Arial" w:hAnsi="Arial" w:cs="Arial" w:eastAsiaTheme="majorEastAsia"/>
          <w:sz w:val="18"/>
          <w:szCs w:val="18"/>
        </w:rPr>
        <w:t xml:space="preserve">Griffiths III </w:t>
      </w:r>
      <w:r>
        <w:rPr>
          <w:rStyle w:val="61"/>
          <w:rFonts w:ascii="Arial" w:hAnsi="Arial" w:cs="Arial"/>
          <w:sz w:val="18"/>
          <w:szCs w:val="18"/>
        </w:rPr>
        <w:t>Personal</w:t>
      </w:r>
      <w:r>
        <w:rPr>
          <w:rStyle w:val="61"/>
          <w:rFonts w:ascii="Arial" w:hAnsi="Arial" w:cs="Arial" w:eastAsiaTheme="majorEastAsia"/>
          <w:sz w:val="18"/>
          <w:szCs w:val="18"/>
        </w:rPr>
        <w:t>-</w:t>
      </w:r>
      <w:r>
        <w:rPr>
          <w:rStyle w:val="61"/>
          <w:rFonts w:ascii="Arial" w:hAnsi="Arial" w:cs="Arial"/>
          <w:sz w:val="18"/>
          <w:szCs w:val="18"/>
        </w:rPr>
        <w:t>Social</w:t>
      </w:r>
      <w:r>
        <w:rPr>
          <w:rStyle w:val="61"/>
          <w:rFonts w:ascii="Arial" w:hAnsi="Arial" w:cs="Arial" w:eastAsiaTheme="majorEastAsia"/>
          <w:sz w:val="18"/>
          <w:szCs w:val="18"/>
        </w:rPr>
        <w:t>-</w:t>
      </w:r>
      <w:r>
        <w:rPr>
          <w:rStyle w:val="61"/>
          <w:rFonts w:ascii="Arial" w:hAnsi="Arial" w:cs="Arial"/>
          <w:sz w:val="18"/>
          <w:szCs w:val="18"/>
        </w:rPr>
        <w:t>Emotional Subscale.</w:t>
      </w:r>
      <w:r>
        <w:rPr>
          <w:rStyle w:val="62"/>
          <w:rFonts w:ascii="Arial" w:hAnsi="Arial" w:cs="Arial"/>
          <w:sz w:val="18"/>
          <w:szCs w:val="18"/>
        </w:rPr>
        <w:t> </w:t>
      </w:r>
    </w:p>
    <w:p w14:paraId="35DD6103">
      <w:pPr>
        <w:pStyle w:val="19"/>
        <w:rPr>
          <w:rFonts w:ascii="Arial" w:hAnsi="Arial" w:cs="Arial"/>
          <w:sz w:val="18"/>
          <w:szCs w:val="18"/>
        </w:rPr>
      </w:pPr>
      <w:r>
        <w:rPr>
          <w:rFonts w:ascii="Arial" w:hAnsi="Arial" w:eastAsia="Calibri" w:cs="Arial"/>
          <w:b/>
          <w:bCs/>
          <w:sz w:val="18"/>
          <w:szCs w:val="18"/>
        </w:rPr>
        <w:t xml:space="preserve">Results: </w:t>
      </w:r>
      <w:r>
        <w:rPr>
          <w:rFonts w:ascii="Arial" w:hAnsi="Arial" w:cs="Arial"/>
          <w:sz w:val="18"/>
          <w:szCs w:val="18"/>
        </w:rPr>
        <w:t>The Griffiths III assessment revealed a scattered developmental profile, with developmental quotients (DQ) both above and below 50. The child demonstrated marked difficulties in:</w:t>
      </w:r>
    </w:p>
    <w:p w14:paraId="08DF8EA7">
      <w:pPr>
        <w:pStyle w:val="19"/>
        <w:numPr>
          <w:ilvl w:val="0"/>
          <w:numId w:val="1"/>
        </w:numPr>
        <w:spacing w:before="100" w:beforeAutospacing="1" w:after="100" w:afterAutospacing="1" w:line="240" w:lineRule="auto"/>
        <w:rPr>
          <w:rFonts w:ascii="Arial" w:hAnsi="Arial" w:cs="Arial"/>
          <w:sz w:val="18"/>
          <w:szCs w:val="18"/>
        </w:rPr>
      </w:pPr>
      <w:r>
        <w:rPr>
          <w:rStyle w:val="20"/>
          <w:rFonts w:ascii="Arial" w:hAnsi="Arial" w:cs="Arial" w:eastAsiaTheme="majorEastAsia"/>
          <w:sz w:val="18"/>
          <w:szCs w:val="18"/>
        </w:rPr>
        <w:t>Skills for Learning</w:t>
      </w:r>
      <w:r>
        <w:rPr>
          <w:rFonts w:ascii="Arial" w:hAnsi="Arial" w:cs="Arial"/>
          <w:sz w:val="18"/>
          <w:szCs w:val="18"/>
        </w:rPr>
        <w:t xml:space="preserve"> (e.g. attention, curiosity, processing speed)</w:t>
      </w:r>
    </w:p>
    <w:p w14:paraId="037058FD">
      <w:pPr>
        <w:pStyle w:val="19"/>
        <w:numPr>
          <w:ilvl w:val="0"/>
          <w:numId w:val="1"/>
        </w:numPr>
        <w:spacing w:before="100" w:beforeAutospacing="1" w:after="100" w:afterAutospacing="1" w:line="240" w:lineRule="auto"/>
        <w:rPr>
          <w:rFonts w:ascii="Arial" w:hAnsi="Arial" w:cs="Arial"/>
          <w:sz w:val="18"/>
          <w:szCs w:val="18"/>
        </w:rPr>
      </w:pPr>
      <w:r>
        <w:rPr>
          <w:rStyle w:val="20"/>
          <w:rFonts w:ascii="Arial" w:hAnsi="Arial" w:cs="Arial" w:eastAsiaTheme="majorEastAsia"/>
          <w:sz w:val="18"/>
          <w:szCs w:val="18"/>
        </w:rPr>
        <w:t>Ways of Thinking, Memory, and Play</w:t>
      </w:r>
    </w:p>
    <w:p w14:paraId="08129DDB">
      <w:pPr>
        <w:pStyle w:val="19"/>
        <w:numPr>
          <w:ilvl w:val="0"/>
          <w:numId w:val="1"/>
        </w:numPr>
        <w:spacing w:before="100" w:beforeAutospacing="1" w:after="100" w:afterAutospacing="1" w:line="240" w:lineRule="auto"/>
        <w:rPr>
          <w:rFonts w:ascii="Arial" w:hAnsi="Arial" w:cs="Arial"/>
          <w:sz w:val="18"/>
          <w:szCs w:val="18"/>
        </w:rPr>
      </w:pPr>
      <w:r>
        <w:rPr>
          <w:rStyle w:val="20"/>
          <w:rFonts w:ascii="Arial" w:hAnsi="Arial" w:cs="Arial" w:eastAsiaTheme="majorEastAsia"/>
          <w:sz w:val="18"/>
          <w:szCs w:val="18"/>
        </w:rPr>
        <w:t>Language and Communication</w:t>
      </w:r>
    </w:p>
    <w:p w14:paraId="4D3E9A06">
      <w:pPr>
        <w:pStyle w:val="19"/>
        <w:numPr>
          <w:ilvl w:val="0"/>
          <w:numId w:val="1"/>
        </w:numPr>
        <w:spacing w:before="100" w:beforeAutospacing="1" w:after="100" w:afterAutospacing="1" w:line="240" w:lineRule="auto"/>
        <w:rPr>
          <w:rFonts w:ascii="Arial" w:hAnsi="Arial" w:cs="Arial"/>
          <w:sz w:val="18"/>
          <w:szCs w:val="18"/>
        </w:rPr>
      </w:pPr>
      <w:r>
        <w:rPr>
          <w:rStyle w:val="20"/>
          <w:rFonts w:ascii="Arial" w:hAnsi="Arial" w:cs="Arial" w:eastAsiaTheme="majorEastAsia"/>
          <w:sz w:val="18"/>
          <w:szCs w:val="18"/>
        </w:rPr>
        <w:t>Early Social and Emotional Development</w:t>
      </w:r>
    </w:p>
    <w:p w14:paraId="014FF7C1">
      <w:pPr>
        <w:pStyle w:val="19"/>
        <w:spacing w:after="0"/>
        <w:rPr>
          <w:rFonts w:ascii="Arial" w:hAnsi="Arial" w:cs="Arial"/>
          <w:sz w:val="18"/>
          <w:szCs w:val="18"/>
        </w:rPr>
      </w:pPr>
      <w:r>
        <w:rPr>
          <w:rFonts w:ascii="Arial" w:hAnsi="Arial" w:cs="Arial"/>
          <w:sz w:val="18"/>
          <w:szCs w:val="18"/>
        </w:rPr>
        <w:t>These findings, in combination with qualitative analysis, helped to construct a more comprehensive developmental profile.</w:t>
      </w:r>
    </w:p>
    <w:p w14:paraId="7A47FEB3">
      <w:pPr>
        <w:pStyle w:val="19"/>
        <w:spacing w:after="0"/>
        <w:rPr>
          <w:rFonts w:ascii="Arial" w:hAnsi="Arial" w:cs="Arial"/>
          <w:sz w:val="18"/>
          <w:szCs w:val="18"/>
        </w:rPr>
      </w:pPr>
      <w:r>
        <w:rPr>
          <w:rFonts w:ascii="Arial" w:hAnsi="Arial" w:eastAsia="Calibri" w:cs="Arial"/>
          <w:b/>
          <w:bCs/>
          <w:sz w:val="18"/>
          <w:szCs w:val="18"/>
        </w:rPr>
        <w:t>Conclusion</w:t>
      </w:r>
    </w:p>
    <w:p w14:paraId="09AB46B7">
      <w:pPr>
        <w:pStyle w:val="19"/>
        <w:spacing w:after="0"/>
        <w:jc w:val="both"/>
        <w:rPr>
          <w:rFonts w:ascii="Arial" w:hAnsi="Arial" w:cs="Arial"/>
          <w:sz w:val="18"/>
          <w:szCs w:val="18"/>
        </w:rPr>
      </w:pPr>
      <w:r>
        <w:rPr>
          <w:rFonts w:ascii="Arial" w:hAnsi="Arial" w:cs="Arial"/>
          <w:sz w:val="18"/>
          <w:szCs w:val="18"/>
        </w:rPr>
        <w:t>Assessment using the Griffiths III added valuable depth to the diagnostic process, particularly in domains where normative scores fell at or below DQ 50. Evaluating children with multiple neurodevelopmental disorders presents challenges in early childhood, where scores alone may not reflect the full extent of the child’s needs. A thorough evaluation is essential when presenting behaviours impede typical development, as it supports the creation of tailored, individualised support plans. This study cautions against a narrow diagnostic lens and underscores the importance of ongoing, broad-based assessments for children presenting with complex or overlapping developmental concerns.</w:t>
      </w:r>
    </w:p>
    <w:p w14:paraId="0530C00C">
      <w:pPr>
        <w:spacing w:after="0" w:line="240" w:lineRule="auto"/>
        <w:jc w:val="both"/>
        <w:rPr>
          <w:rFonts w:ascii="Arial" w:hAnsi="Arial" w:cs="Arial"/>
          <w:sz w:val="18"/>
          <w:szCs w:val="20"/>
        </w:rPr>
      </w:pPr>
    </w:p>
    <w:p w14:paraId="73A4DFC9">
      <w:pPr>
        <w:pStyle w:val="60"/>
        <w:spacing w:before="0" w:beforeAutospacing="0" w:after="0" w:afterAutospacing="0"/>
        <w:textAlignment w:val="baseline"/>
        <w:rPr>
          <w:rFonts w:ascii="Arial" w:hAnsi="Arial" w:cs="Arial"/>
          <w:sz w:val="20"/>
          <w:szCs w:val="20"/>
        </w:rPr>
      </w:pPr>
      <w:r>
        <w:rPr>
          <w:rFonts w:ascii="Arial" w:hAnsi="Arial" w:cs="Arial"/>
          <w:i/>
          <w:sz w:val="18"/>
          <w:szCs w:val="20"/>
        </w:rPr>
        <w:t xml:space="preserve">Keywords: </w:t>
      </w:r>
      <w:r>
        <w:rPr>
          <w:rStyle w:val="61"/>
          <w:rFonts w:ascii="Arial" w:hAnsi="Arial" w:cs="Arial"/>
          <w:sz w:val="20"/>
          <w:szCs w:val="20"/>
        </w:rPr>
        <w:t>autism spectrum disorder, Griffiths III, developmental case assessment, case study, quartile charts</w:t>
      </w:r>
      <w:r>
        <w:rPr>
          <w:rStyle w:val="62"/>
          <w:rFonts w:ascii="Arial" w:hAnsi="Arial" w:cs="Arial"/>
          <w:sz w:val="20"/>
          <w:szCs w:val="20"/>
        </w:rPr>
        <w:t> </w:t>
      </w:r>
    </w:p>
    <w:p w14:paraId="62529738">
      <w:pPr>
        <w:spacing w:after="0" w:line="240" w:lineRule="auto"/>
        <w:jc w:val="both"/>
        <w:rPr>
          <w:rFonts w:ascii="Arial" w:hAnsi="Arial" w:eastAsia="Times New Roman" w:cs="Arial"/>
          <w:sz w:val="16"/>
          <w:szCs w:val="18"/>
        </w:rPr>
      </w:pPr>
    </w:p>
    <w:p w14:paraId="15801C42">
      <w:pPr>
        <w:spacing w:after="0" w:line="240" w:lineRule="auto"/>
        <w:contextualSpacing/>
        <w:jc w:val="both"/>
        <w:rPr>
          <w:rFonts w:ascii="Arial" w:hAnsi="Arial" w:eastAsia="Times New Roman" w:cs="Arial"/>
          <w:sz w:val="18"/>
          <w:szCs w:val="20"/>
        </w:rPr>
      </w:pPr>
    </w:p>
    <w:p w14:paraId="243FCFD5">
      <w:pPr>
        <w:spacing w:after="0" w:line="240" w:lineRule="auto"/>
        <w:jc w:val="both"/>
        <w:rPr>
          <w:rFonts w:ascii="Arial" w:hAnsi="Arial" w:eastAsia="Times New Roman" w:cs="Arial"/>
          <w:b/>
          <w:caps/>
          <w:sz w:val="18"/>
          <w:szCs w:val="18"/>
        </w:rPr>
      </w:pPr>
      <w:r>
        <w:rPr>
          <w:rFonts w:ascii="Arial" w:hAnsi="Arial" w:eastAsia="Times New Roman" w:cs="Arial"/>
          <w:b/>
          <w:caps/>
          <w:sz w:val="20"/>
          <w:szCs w:val="20"/>
        </w:rPr>
        <w:t xml:space="preserve">1. INTRODUCTION </w:t>
      </w:r>
    </w:p>
    <w:p w14:paraId="3F14D2FB">
      <w:pPr>
        <w:spacing w:after="0" w:line="240" w:lineRule="auto"/>
        <w:jc w:val="both"/>
        <w:rPr>
          <w:rFonts w:ascii="Arial" w:hAnsi="Arial" w:eastAsia="Times New Roman" w:cs="Arial"/>
          <w:b/>
          <w:caps/>
          <w:sz w:val="18"/>
          <w:szCs w:val="18"/>
        </w:rPr>
      </w:pPr>
    </w:p>
    <w:p w14:paraId="071DEFBC">
      <w:pPr>
        <w:pStyle w:val="27"/>
        <w:numPr>
          <w:ilvl w:val="1"/>
          <w:numId w:val="2"/>
        </w:numPr>
        <w:spacing w:after="0" w:line="240" w:lineRule="auto"/>
        <w:jc w:val="both"/>
        <w:textAlignment w:val="baseline"/>
        <w:rPr>
          <w:rFonts w:ascii="Arial" w:hAnsi="Arial" w:eastAsia="Times New Roman" w:cs="Arial"/>
          <w:b/>
          <w:bCs/>
          <w:sz w:val="18"/>
          <w:szCs w:val="18"/>
          <w:lang w:val="en-ZA" w:eastAsia="en-GB"/>
        </w:rPr>
      </w:pPr>
      <w:r>
        <w:rPr>
          <w:rFonts w:ascii="Arial" w:hAnsi="Arial" w:eastAsia="Times New Roman" w:cs="Arial"/>
          <w:b/>
          <w:bCs/>
          <w:sz w:val="18"/>
          <w:szCs w:val="18"/>
          <w:lang w:val="en-ZA" w:eastAsia="en-GB"/>
        </w:rPr>
        <w:t xml:space="preserve">The assessment of atypical young children </w:t>
      </w:r>
    </w:p>
    <w:p w14:paraId="42821FEB">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The assessment of atypical young children is a challenging process, particularly as such assessment is not only for diagnostic purposes. The goal of the assessment information is to ultimately stimulate and develop the child’s learning path by assisting parents to understand their child’s functioning, and teachers to maximise the assessment results to utilise the child’s strengths and challenges in promoting successful learning at a pace the child can cope with. There is no single method of obtaining this information and no generalised intervention strategies. Some health practitioners use a bio-psychosocial approach to assessment, while other health practitioners use a medical model to assess atypical children. Whatever evaluation method is used, it needs to inform the learning process as to what support is needed for the child. The present article reports a case study that illustrates the use of a specific battery of selected assessment measures, together with a theoretical framework, namely Theory of Mind (ToM), to conceptualise a diagnosis with the aim of assisting the client and the family.</w:t>
      </w:r>
      <w:r>
        <w:rPr>
          <w:rFonts w:ascii="Arial" w:hAnsi="Arial" w:eastAsia="Times New Roman" w:cs="Arial"/>
          <w:sz w:val="18"/>
          <w:szCs w:val="18"/>
          <w:lang w:eastAsia="en-GB"/>
        </w:rPr>
        <w:t> </w:t>
      </w:r>
    </w:p>
    <w:p w14:paraId="5AEFC33A">
      <w:pPr>
        <w:spacing w:after="0" w:line="240" w:lineRule="auto"/>
        <w:jc w:val="both"/>
        <w:textAlignment w:val="baseline"/>
        <w:rPr>
          <w:rFonts w:ascii="Arial" w:hAnsi="Arial" w:eastAsia="Times New Roman" w:cs="Arial"/>
          <w:sz w:val="18"/>
          <w:szCs w:val="18"/>
          <w:lang w:eastAsia="en-GB"/>
        </w:rPr>
      </w:pPr>
    </w:p>
    <w:p w14:paraId="08109855">
      <w:pPr>
        <w:spacing w:after="0" w:line="240" w:lineRule="auto"/>
        <w:jc w:val="both"/>
        <w:textAlignment w:val="baseline"/>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val="en-ZA" w:eastAsia="en-GB"/>
        </w:rPr>
        <w:t>1.2 Reason for Referral and Sources of Information of Case Study</w:t>
      </w:r>
      <w:r>
        <w:rPr>
          <w:rFonts w:ascii="Arial" w:hAnsi="Arial" w:eastAsia="Times New Roman" w:cs="Arial"/>
          <w:b/>
          <w:bCs/>
          <w:color w:val="000000"/>
          <w:sz w:val="18"/>
          <w:szCs w:val="18"/>
          <w:lang w:eastAsia="en-GB"/>
        </w:rPr>
        <w:t> </w:t>
      </w:r>
    </w:p>
    <w:p w14:paraId="7FB09C4A">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JJ is a 6 year and 4-month-old boy that currently attends a pre-school, which is a level of schooling that caters for children from the age of five years in order to develop skills needed for successful formal learning. JJ was referred for a psychometric assessment to confirm a provisional diagnosis of Autistic Spectrum Disorder (ASD). Various health care professionals, namely a paediatrician, speech therapist, an intern psychologist and audiologist from a state hospital, also requested confirmation of possible Attention Deficit/ Hyperactivity Disorder (ADHD). The information on which the assessment is based was obtained through extensive interviews with both parents, working individually with JJ, as well as seeking collateral information on his behaviour from his current pre-school teacher. </w:t>
      </w:r>
      <w:r>
        <w:rPr>
          <w:rFonts w:ascii="Arial" w:hAnsi="Arial" w:eastAsia="Times New Roman" w:cs="Arial"/>
          <w:sz w:val="18"/>
          <w:szCs w:val="18"/>
          <w:lang w:eastAsia="en-GB"/>
        </w:rPr>
        <w:t> </w:t>
      </w:r>
    </w:p>
    <w:p w14:paraId="0AC178CD">
      <w:pPr>
        <w:spacing w:after="0" w:line="240" w:lineRule="auto"/>
        <w:jc w:val="both"/>
        <w:textAlignment w:val="baseline"/>
        <w:rPr>
          <w:rFonts w:ascii="Arial" w:hAnsi="Arial" w:eastAsia="Times New Roman" w:cs="Arial"/>
          <w:sz w:val="18"/>
          <w:szCs w:val="18"/>
          <w:lang w:eastAsia="en-GB"/>
        </w:rPr>
      </w:pPr>
    </w:p>
    <w:p w14:paraId="17FAF8D7">
      <w:pPr>
        <w:spacing w:after="0" w:line="240" w:lineRule="auto"/>
        <w:jc w:val="both"/>
        <w:textAlignment w:val="baseline"/>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val="en-ZA" w:eastAsia="en-GB"/>
        </w:rPr>
        <w:t>1.3 Case History</w:t>
      </w:r>
      <w:r>
        <w:rPr>
          <w:rFonts w:ascii="Arial" w:hAnsi="Arial" w:eastAsia="Times New Roman" w:cs="Arial"/>
          <w:b/>
          <w:bCs/>
          <w:color w:val="000000"/>
          <w:sz w:val="18"/>
          <w:szCs w:val="18"/>
          <w:lang w:eastAsia="en-GB"/>
        </w:rPr>
        <w:t> </w:t>
      </w:r>
    </w:p>
    <w:p w14:paraId="3E8E6DF6">
      <w:pPr>
        <w:spacing w:after="0" w:line="240" w:lineRule="auto"/>
        <w:jc w:val="both"/>
        <w:textAlignment w:val="baseline"/>
        <w:rPr>
          <w:rFonts w:ascii="Arial" w:hAnsi="Arial" w:eastAsia="Times New Roman" w:cs="Arial"/>
          <w:sz w:val="18"/>
          <w:szCs w:val="18"/>
          <w:lang w:val="en-ZA" w:eastAsia="en-GB"/>
        </w:rPr>
      </w:pPr>
      <w:r>
        <w:rPr>
          <w:rFonts w:ascii="Arial" w:hAnsi="Arial" w:eastAsia="Times New Roman" w:cs="Arial"/>
          <w:sz w:val="18"/>
          <w:szCs w:val="18"/>
          <w:lang w:val="en-ZA" w:eastAsia="en-GB"/>
        </w:rPr>
        <w:t>Salient information reported by the health care professionals and JJ’s parents included several behavioural manifestations displayed both at home and during the medical work up. Significant delays in reaching key developmental milestones were noted by the parents, who also reported that JJ experienced consistent delays in his communication development, labile moods, and frequent extreme emotions without evidencing a middle ground.  JJ has been prescribed Ritalin (for his ADHD symptoms) and Risperidone (as a mood-stabiliser). His parents reported that this has a positive effect on his general functioning and that he tends to be calmer after taking the medication. Despite parental collateral history and reported possible features of ASD by other health care professional, behaviours displayed during the time spent with these professionals were insufficient to make a conclusive diagnosis. To reach diagnostic clarity, a decision was made to assess JJ using a psychometric battery.</w:t>
      </w:r>
    </w:p>
    <w:p w14:paraId="7ECA17A6">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 xml:space="preserve"> </w:t>
      </w:r>
    </w:p>
    <w:p w14:paraId="656E0498">
      <w:pPr>
        <w:spacing w:after="0" w:line="240" w:lineRule="auto"/>
        <w:jc w:val="both"/>
        <w:textAlignment w:val="baseline"/>
        <w:rPr>
          <w:rFonts w:ascii="Arial" w:hAnsi="Arial" w:eastAsia="Times New Roman" w:cs="Arial"/>
          <w:sz w:val="18"/>
          <w:szCs w:val="18"/>
          <w:lang w:val="en-ZA" w:eastAsia="en-GB"/>
        </w:rPr>
      </w:pPr>
      <w:r>
        <w:rPr>
          <w:rFonts w:ascii="Arial" w:hAnsi="Arial" w:eastAsia="Times New Roman" w:cs="Arial"/>
          <w:b/>
          <w:bCs/>
          <w:sz w:val="18"/>
          <w:szCs w:val="18"/>
          <w:lang w:val="en-ZA" w:eastAsia="en-GB"/>
        </w:rPr>
        <w:t>1.4 Psychometric battery assessment</w:t>
      </w:r>
      <w:r>
        <w:rPr>
          <w:rFonts w:ascii="Arial" w:hAnsi="Arial" w:eastAsia="Times New Roman" w:cs="Arial"/>
          <w:sz w:val="18"/>
          <w:szCs w:val="18"/>
          <w:lang w:val="en-ZA" w:eastAsia="en-GB"/>
        </w:rPr>
        <w:t>.</w:t>
      </w:r>
    </w:p>
    <w:p w14:paraId="4AB79A16">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 xml:space="preserve">The test battery consisted of </w:t>
      </w:r>
      <w:r>
        <w:rPr>
          <w:rFonts w:ascii="Arial" w:hAnsi="Arial" w:eastAsia="Times New Roman" w:cs="Arial"/>
          <w:color w:val="000000"/>
          <w:sz w:val="18"/>
          <w:szCs w:val="18"/>
          <w:lang w:val="en-ZA" w:eastAsia="en-GB"/>
        </w:rPr>
        <w:t>the Childhood Autism Rating Scale, 2</w:t>
      </w:r>
      <w:r>
        <w:rPr>
          <w:rFonts w:ascii="Arial" w:hAnsi="Arial" w:eastAsia="Times New Roman" w:cs="Arial"/>
          <w:color w:val="000000"/>
          <w:sz w:val="18"/>
          <w:szCs w:val="18"/>
          <w:vertAlign w:val="superscript"/>
          <w:lang w:val="en-ZA" w:eastAsia="en-GB"/>
        </w:rPr>
        <w:t>nd</w:t>
      </w:r>
      <w:r>
        <w:rPr>
          <w:rFonts w:ascii="Arial" w:hAnsi="Arial" w:eastAsia="Times New Roman" w:cs="Arial"/>
          <w:color w:val="000000"/>
          <w:sz w:val="18"/>
          <w:szCs w:val="18"/>
          <w:lang w:val="en-ZA" w:eastAsia="en-GB"/>
        </w:rPr>
        <w:t xml:space="preserve"> Edition, the Conners 3 -Parent and Teacher Surveys, Long Form, and the Goodenough-Harris Draw-a-Person Test (</w:t>
      </w:r>
      <w:commentRangeStart w:id="1"/>
      <w:r>
        <w:rPr>
          <w:rFonts w:ascii="Arial" w:hAnsi="Arial" w:eastAsia="Times New Roman" w:cs="Arial"/>
          <w:color w:val="000000"/>
          <w:sz w:val="18"/>
          <w:szCs w:val="18"/>
          <w:lang w:val="en-ZA" w:eastAsia="en-GB"/>
        </w:rPr>
        <w:t xml:space="preserve">Conners, 2008; </w:t>
      </w:r>
      <w:r>
        <w:rPr>
          <w:rFonts w:ascii="Arial" w:hAnsi="Arial" w:cs="Arial"/>
          <w:sz w:val="18"/>
          <w:szCs w:val="18"/>
        </w:rPr>
        <w:t>Ansbacher, H. L. (1952)</w:t>
      </w:r>
      <w:r>
        <w:rPr>
          <w:rFonts w:ascii="Arial" w:hAnsi="Arial" w:eastAsia="Times New Roman" w:cs="Arial"/>
          <w:color w:val="000000"/>
          <w:sz w:val="18"/>
          <w:szCs w:val="18"/>
          <w:lang w:val="en-ZA" w:eastAsia="en-GB"/>
        </w:rPr>
        <w:t xml:space="preserve">, Schopler, Van Bougandien, Wellman &amp; Love, 2010). </w:t>
      </w:r>
      <w:commentRangeEnd w:id="1"/>
      <w:r>
        <w:commentReference w:id="1"/>
      </w:r>
    </w:p>
    <w:p w14:paraId="24C52BFC">
      <w:pPr>
        <w:spacing w:after="0" w:line="240" w:lineRule="auto"/>
        <w:jc w:val="both"/>
        <w:textAlignment w:val="baseline"/>
        <w:rPr>
          <w:rFonts w:ascii="Arial" w:hAnsi="Arial" w:eastAsia="Times New Roman" w:cs="Arial"/>
          <w:sz w:val="18"/>
          <w:szCs w:val="18"/>
          <w:lang w:eastAsia="en-GB"/>
        </w:rPr>
      </w:pPr>
    </w:p>
    <w:p w14:paraId="3439A457">
      <w:pPr>
        <w:spacing w:after="0" w:line="240" w:lineRule="auto"/>
        <w:jc w:val="both"/>
        <w:textAlignment w:val="baseline"/>
        <w:rPr>
          <w:rFonts w:ascii="Arial" w:hAnsi="Arial" w:eastAsia="Times New Roman" w:cs="Arial"/>
          <w:sz w:val="18"/>
          <w:szCs w:val="18"/>
          <w:lang w:val="en-ZA" w:eastAsia="en-GB"/>
        </w:rPr>
      </w:pPr>
      <w:r>
        <w:rPr>
          <w:rFonts w:ascii="Arial" w:hAnsi="Arial" w:eastAsia="Times New Roman" w:cs="Arial"/>
          <w:b/>
          <w:bCs/>
          <w:sz w:val="18"/>
          <w:szCs w:val="18"/>
          <w:lang w:eastAsia="en-GB"/>
        </w:rPr>
        <w:t xml:space="preserve">1.4.1 The </w:t>
      </w:r>
      <w:r>
        <w:rPr>
          <w:rFonts w:ascii="Arial" w:hAnsi="Arial" w:eastAsia="Times New Roman" w:cs="Arial"/>
          <w:b/>
          <w:bCs/>
          <w:sz w:val="18"/>
          <w:szCs w:val="18"/>
          <w:lang w:val="en-ZA" w:eastAsia="en-GB"/>
        </w:rPr>
        <w:t>Childhood Autism Rating Scale (CARS</w:t>
      </w:r>
      <w:r>
        <w:rPr>
          <w:rFonts w:ascii="Arial" w:hAnsi="Arial" w:eastAsia="Times New Roman" w:cs="Arial"/>
          <w:sz w:val="18"/>
          <w:szCs w:val="18"/>
          <w:lang w:val="en-ZA" w:eastAsia="en-GB"/>
        </w:rPr>
        <w:t xml:space="preserve">) </w:t>
      </w:r>
    </w:p>
    <w:p w14:paraId="70D849C4">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 xml:space="preserve">CARS is </w:t>
      </w:r>
      <w:r>
        <w:rPr>
          <w:rFonts w:ascii="Arial" w:hAnsi="Arial" w:eastAsia="Times New Roman" w:cs="Arial"/>
          <w:color w:val="222222"/>
          <w:sz w:val="18"/>
          <w:szCs w:val="18"/>
          <w:shd w:val="clear" w:color="auto" w:fill="FFFFFF"/>
          <w:lang w:val="en-ZA" w:eastAsia="en-GB"/>
        </w:rPr>
        <w:t xml:space="preserve">a behavioural rating scale used for assessing the presence and severity of symptoms of autism spectrum disorders. It is </w:t>
      </w:r>
      <w:r>
        <w:rPr>
          <w:rFonts w:ascii="Arial" w:hAnsi="Arial" w:eastAsia="Times New Roman" w:cs="Arial"/>
          <w:sz w:val="18"/>
          <w:szCs w:val="18"/>
          <w:lang w:val="en-ZA" w:eastAsia="en-GB"/>
        </w:rPr>
        <w:t xml:space="preserve">a clinician-rated assessment used to identify children with ASD, and to determine symptom severity through quantifiable ratings based on direct observation. </w:t>
      </w:r>
      <w:r>
        <w:rPr>
          <w:rFonts w:ascii="Arial" w:hAnsi="Arial" w:eastAsia="Times New Roman" w:cs="Arial"/>
          <w:sz w:val="18"/>
          <w:szCs w:val="18"/>
          <w:lang w:eastAsia="en-GB"/>
        </w:rPr>
        <w:t>During the assessment there were certain tasks JJ was unwilling to engage in. Those he did engage in proved him to be a careful and meticulous worker, suggesting that he is likely to be receptive to educational instruction.</w:t>
      </w:r>
      <w:r>
        <w:rPr>
          <w:rFonts w:ascii="Arial" w:hAnsi="Arial" w:eastAsia="Times New Roman" w:cs="Arial"/>
          <w:sz w:val="18"/>
          <w:szCs w:val="18"/>
          <w:lang w:val="en-ZA" w:eastAsia="en-GB"/>
        </w:rPr>
        <w:t xml:space="preserve"> </w:t>
      </w:r>
      <w:r>
        <w:rPr>
          <w:rFonts w:ascii="Arial" w:hAnsi="Arial" w:eastAsia="Times New Roman" w:cs="Arial"/>
          <w:sz w:val="18"/>
          <w:szCs w:val="18"/>
          <w:lang w:eastAsia="en-GB"/>
        </w:rPr>
        <w:t>Although it was possible to maintain his interest by playing with some toys, JJ did not engage in reciprocal play. Generally, he did not initiate conversation and only responded when directly prompted. When interpreting the different categories measured, it was evident that JJ obtained moderate to severely impaired scores on the ‘Adaptation to Change\ Restricted Interests’ scale as well as the Verbal and Non-verbal communication domains. JJ’s overall results on CARS2 placed him at the 90</w:t>
      </w:r>
      <w:r>
        <w:rPr>
          <w:rFonts w:ascii="Arial" w:hAnsi="Arial" w:eastAsia="Times New Roman" w:cs="Arial"/>
          <w:sz w:val="18"/>
          <w:szCs w:val="18"/>
          <w:vertAlign w:val="superscript"/>
          <w:lang w:eastAsia="en-GB"/>
        </w:rPr>
        <w:t>th</w:t>
      </w:r>
      <w:r>
        <w:rPr>
          <w:rFonts w:ascii="Arial" w:hAnsi="Arial" w:eastAsia="Times New Roman" w:cs="Arial"/>
          <w:sz w:val="18"/>
          <w:szCs w:val="18"/>
          <w:lang w:eastAsia="en-GB"/>
        </w:rPr>
        <w:t xml:space="preserve"> percentile of symptom levels compared to individuals with Autism Spectrum Diagnoses. </w:t>
      </w:r>
    </w:p>
    <w:p w14:paraId="5E70BC8D">
      <w:pPr>
        <w:spacing w:after="0" w:line="240" w:lineRule="auto"/>
        <w:jc w:val="both"/>
        <w:textAlignment w:val="baseline"/>
        <w:rPr>
          <w:rFonts w:ascii="Arial" w:hAnsi="Arial" w:eastAsia="Times New Roman" w:cs="Arial"/>
          <w:sz w:val="18"/>
          <w:szCs w:val="18"/>
          <w:lang w:eastAsia="en-GB"/>
        </w:rPr>
      </w:pPr>
    </w:p>
    <w:p w14:paraId="1DA85FF3">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b/>
          <w:bCs/>
          <w:sz w:val="18"/>
          <w:szCs w:val="18"/>
          <w:lang w:eastAsia="en-GB"/>
        </w:rPr>
        <w:t>1.4.2 The Conners 3-Parent and Teacher Surveys, Long Form</w:t>
      </w:r>
      <w:r>
        <w:rPr>
          <w:rFonts w:ascii="Arial" w:hAnsi="Arial" w:eastAsia="Times New Roman" w:cs="Arial"/>
          <w:sz w:val="18"/>
          <w:szCs w:val="18"/>
          <w:lang w:eastAsia="en-GB"/>
        </w:rPr>
        <w:t xml:space="preserve"> </w:t>
      </w:r>
    </w:p>
    <w:p w14:paraId="3492D918">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This was included in the assessment battery as both the parents and the teacher reported that JJ is highly distractible and shows various impulsive behaviours that hinder the learning process. The measure is used to screen for ADHD symptoms and provides information on a range of behavioural and attentional domains. These include inattention, hyperactivity/impulsivity, indicators of problems with learning and executive functioning, levels of defiance/aggression, and peer relations. It further screens for possible symptoms of Conduct Disorder and Oppositional Defiant Disorder. JJ meets the diagnostic criteria for ADHD Combined Presentation (both inattentive and hyperactive/impulsive), Oppositional Defiant Disorder (ODD) and Conduct Disorder (CD). </w:t>
      </w:r>
    </w:p>
    <w:p w14:paraId="009F3A86">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 </w:t>
      </w:r>
    </w:p>
    <w:p w14:paraId="706076DE">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b/>
          <w:bCs/>
          <w:sz w:val="18"/>
          <w:szCs w:val="18"/>
          <w:lang w:eastAsia="en-GB"/>
        </w:rPr>
        <w:t xml:space="preserve">1.4.3 The </w:t>
      </w:r>
      <w:r>
        <w:rPr>
          <w:rFonts w:ascii="Arial" w:hAnsi="Arial" w:eastAsia="Times New Roman" w:cs="Arial"/>
          <w:b/>
          <w:bCs/>
          <w:color w:val="000000"/>
          <w:sz w:val="18"/>
          <w:szCs w:val="18"/>
          <w:shd w:val="clear" w:color="auto" w:fill="FFFFFF"/>
          <w:lang w:val="en-ZA" w:eastAsia="en-GB"/>
        </w:rPr>
        <w:t xml:space="preserve">Goodenough–Harris </w:t>
      </w:r>
      <w:r>
        <w:rPr>
          <w:rFonts w:ascii="Arial" w:hAnsi="Arial" w:eastAsia="Times New Roman" w:cs="Arial"/>
          <w:b/>
          <w:bCs/>
          <w:sz w:val="18"/>
          <w:szCs w:val="18"/>
          <w:lang w:eastAsia="en-GB"/>
        </w:rPr>
        <w:t>Draw-a-Person Intellectual Ability Test (DAP: IQ)</w:t>
      </w:r>
      <w:r>
        <w:rPr>
          <w:rFonts w:ascii="Arial" w:hAnsi="Arial" w:eastAsia="Times New Roman" w:cs="Arial"/>
          <w:sz w:val="18"/>
          <w:szCs w:val="18"/>
          <w:lang w:eastAsia="en-GB"/>
        </w:rPr>
        <w:t xml:space="preserve"> </w:t>
      </w:r>
    </w:p>
    <w:p w14:paraId="7794E11F">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DAP:IQ is intended to measure a child’s developmental and intellectual maturity and was included in the assessment battery. This drawing was scored and rated according to DAP: IQ scoring principles. JJ’s drawing produced an IQ equivalent of 95, which places him at the 37th percentile. This implies that 63 percent of children his age would be expected to perform better than him on this measure. His performance can be qualitatively described as average (DAP: IQ, 1963). </w:t>
      </w:r>
    </w:p>
    <w:p w14:paraId="258D562E">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 </w:t>
      </w:r>
    </w:p>
    <w:p w14:paraId="3BBA181E">
      <w:pPr>
        <w:spacing w:after="0" w:line="240" w:lineRule="auto"/>
        <w:jc w:val="both"/>
        <w:textAlignment w:val="baseline"/>
        <w:rPr>
          <w:rFonts w:ascii="Arial" w:hAnsi="Arial" w:eastAsia="Times New Roman" w:cs="Arial"/>
          <w:b/>
          <w:bCs/>
          <w:sz w:val="18"/>
          <w:szCs w:val="18"/>
          <w:lang w:eastAsia="en-GB"/>
        </w:rPr>
      </w:pPr>
      <w:r>
        <w:rPr>
          <w:rFonts w:ascii="Arial" w:hAnsi="Arial" w:eastAsia="Times New Roman" w:cs="Arial"/>
          <w:b/>
          <w:bCs/>
          <w:sz w:val="18"/>
          <w:szCs w:val="18"/>
          <w:lang w:eastAsia="en-GB"/>
        </w:rPr>
        <w:t>1.5 Diagnostic labels from test battery findings</w:t>
      </w:r>
    </w:p>
    <w:p w14:paraId="3A2FE1BA">
      <w:pPr>
        <w:spacing w:after="0" w:line="240" w:lineRule="auto"/>
        <w:jc w:val="both"/>
        <w:textAlignment w:val="baseline"/>
        <w:rPr>
          <w:rFonts w:ascii="Arial" w:hAnsi="Arial" w:eastAsia="Times New Roman" w:cs="Arial"/>
          <w:sz w:val="18"/>
          <w:szCs w:val="18"/>
          <w:lang w:val="en-ZA" w:eastAsia="en-GB"/>
        </w:rPr>
      </w:pPr>
      <w:r>
        <w:rPr>
          <w:rFonts w:ascii="Arial" w:hAnsi="Arial" w:eastAsia="Times New Roman" w:cs="Arial"/>
          <w:sz w:val="18"/>
          <w:szCs w:val="18"/>
          <w:lang w:eastAsia="en-GB"/>
        </w:rPr>
        <w:t xml:space="preserve">These assessments confirmed that JJ meets the diagnostic criteria for Autism Spectrum Disorder </w:t>
      </w:r>
      <w:commentRangeStart w:id="2"/>
      <w:r>
        <w:rPr>
          <w:rFonts w:ascii="Arial" w:hAnsi="Arial" w:eastAsia="Times New Roman" w:cs="Arial"/>
          <w:b/>
          <w:bCs/>
          <w:color w:val="FF0000"/>
          <w:sz w:val="18"/>
          <w:szCs w:val="18"/>
          <w:lang w:eastAsia="en-GB"/>
        </w:rPr>
        <w:t>[299.00 (F84.00)</w:t>
      </w:r>
      <w:commentRangeEnd w:id="2"/>
      <w:r>
        <w:commentReference w:id="2"/>
      </w:r>
      <w:r>
        <w:rPr>
          <w:rFonts w:ascii="Arial" w:hAnsi="Arial" w:eastAsia="Times New Roman" w:cs="Arial"/>
          <w:sz w:val="18"/>
          <w:szCs w:val="18"/>
          <w:lang w:eastAsia="en-GB"/>
        </w:rPr>
        <w:t xml:space="preserve">], as stipulated in the Diagnostic and Statistical Manual of Mental Disorders, Fifth Edition, 2013 (American Psychiatric Association, 2013). In addition to reaching diagnostic clarity, it is imperative that the assessment process ultimately informs parents and educators in a manner </w:t>
      </w:r>
      <w:r>
        <w:rPr>
          <w:rFonts w:ascii="Arial" w:hAnsi="Arial" w:eastAsia="Times New Roman" w:cs="Arial"/>
          <w:sz w:val="18"/>
          <w:szCs w:val="18"/>
          <w:lang w:val="en-ZA" w:eastAsia="en-GB"/>
        </w:rPr>
        <w:t>that will guide them as to how to use diagnostic results effectively in order to develop a meaningful support programme for the child assessed. From a treatment point of view, knowing the diagnostic label alone is hardly enough information to decide on the best course of action to take. Individuals diagnosed with ASD have variable symptoms, and therefore merely providing a diagnostic label does not encapsulate the nuances of the individual being assessed. For example, a person with a diagnosis of ASD might have significant sensory issues, while another might struggle more with language. These two individuals will benefit from vary different interventions. JJ also met the diagnostic criteria for ADHD Combined Presentation, Oppositional Defiant Disorder and Conduct Disorder.</w:t>
      </w:r>
    </w:p>
    <w:p w14:paraId="227C5CF4">
      <w:pPr>
        <w:spacing w:after="0" w:line="240" w:lineRule="auto"/>
        <w:jc w:val="both"/>
        <w:textAlignment w:val="baseline"/>
        <w:rPr>
          <w:rFonts w:ascii="Arial" w:hAnsi="Arial" w:eastAsia="Times New Roman" w:cs="Arial"/>
          <w:sz w:val="18"/>
          <w:szCs w:val="18"/>
          <w:lang w:val="en-ZA" w:eastAsia="en-GB"/>
        </w:rPr>
      </w:pPr>
      <w:r>
        <w:rPr>
          <w:rFonts w:ascii="Arial" w:hAnsi="Arial" w:eastAsia="Times New Roman" w:cs="Arial"/>
          <w:sz w:val="18"/>
          <w:szCs w:val="18"/>
          <w:lang w:val="en-ZA" w:eastAsia="en-GB"/>
        </w:rPr>
        <w:t xml:space="preserve">There is thus no one-size-fits-all intervention. </w:t>
      </w:r>
    </w:p>
    <w:p w14:paraId="14FA1760">
      <w:pPr>
        <w:spacing w:after="0" w:line="240" w:lineRule="auto"/>
        <w:jc w:val="both"/>
        <w:textAlignment w:val="baseline"/>
        <w:rPr>
          <w:rFonts w:ascii="Arial" w:hAnsi="Arial" w:eastAsia="Times New Roman" w:cs="Arial"/>
          <w:sz w:val="18"/>
          <w:szCs w:val="18"/>
          <w:lang w:val="en-ZA" w:eastAsia="en-GB"/>
        </w:rPr>
      </w:pPr>
    </w:p>
    <w:p w14:paraId="12729975">
      <w:pPr>
        <w:spacing w:after="0" w:line="240" w:lineRule="auto"/>
        <w:jc w:val="both"/>
        <w:textAlignment w:val="baseline"/>
        <w:rPr>
          <w:rFonts w:ascii="Arial" w:hAnsi="Arial" w:eastAsia="Times New Roman" w:cs="Arial"/>
          <w:b/>
          <w:bCs/>
          <w:sz w:val="18"/>
          <w:szCs w:val="18"/>
          <w:lang w:val="en-ZA" w:eastAsia="en-GB"/>
        </w:rPr>
      </w:pPr>
      <w:r>
        <w:rPr>
          <w:rFonts w:ascii="Arial" w:hAnsi="Arial" w:eastAsia="Times New Roman" w:cs="Arial"/>
          <w:b/>
          <w:bCs/>
          <w:sz w:val="18"/>
          <w:szCs w:val="18"/>
          <w:lang w:val="en-ZA" w:eastAsia="en-GB"/>
        </w:rPr>
        <w:t>1.6 Precision Psychiatry</w:t>
      </w:r>
    </w:p>
    <w:p w14:paraId="5503663B">
      <w:pPr>
        <w:spacing w:after="0" w:line="240" w:lineRule="auto"/>
        <w:jc w:val="both"/>
        <w:textAlignment w:val="baseline"/>
        <w:rPr>
          <w:rFonts w:ascii="Arial" w:hAnsi="Arial" w:eastAsia="Times New Roman" w:cs="Arial"/>
          <w:sz w:val="18"/>
          <w:szCs w:val="18"/>
          <w:lang w:val="en-ZA" w:eastAsia="en-GB"/>
        </w:rPr>
      </w:pPr>
      <w:r>
        <w:rPr>
          <w:rFonts w:ascii="Arial" w:hAnsi="Arial" w:eastAsia="Times New Roman" w:cs="Arial"/>
          <w:sz w:val="18"/>
          <w:szCs w:val="18"/>
          <w:lang w:val="en-ZA" w:eastAsia="en-GB"/>
        </w:rPr>
        <w:t xml:space="preserve">The approach of focusing on the person rather than the label is known as precision psychiatry. This customised approach seeks to target the specific symptoms experienced by the individual. This resonates with Hippocrates’ understanding that </w:t>
      </w:r>
    </w:p>
    <w:p w14:paraId="09680D60">
      <w:pPr>
        <w:spacing w:after="0" w:line="240" w:lineRule="auto"/>
        <w:jc w:val="both"/>
        <w:textAlignment w:val="baseline"/>
        <w:rPr>
          <w:rFonts w:ascii="Arial" w:hAnsi="Arial" w:eastAsia="Times New Roman" w:cs="Arial"/>
          <w:sz w:val="18"/>
          <w:szCs w:val="18"/>
          <w:lang w:val="en-ZA" w:eastAsia="en-GB"/>
        </w:rPr>
      </w:pPr>
      <w:r>
        <w:rPr>
          <w:rFonts w:ascii="Arial" w:hAnsi="Arial" w:eastAsia="Times New Roman" w:cs="Arial"/>
          <w:sz w:val="18"/>
          <w:szCs w:val="18"/>
          <w:lang w:val="en-ZA" w:eastAsia="en-GB"/>
        </w:rPr>
        <w:t xml:space="preserve">“It’s far more important to know what person the disease has than what disease the person has”. </w:t>
      </w:r>
    </w:p>
    <w:p w14:paraId="6349614B">
      <w:pPr>
        <w:spacing w:after="0" w:line="240" w:lineRule="auto"/>
        <w:jc w:val="both"/>
        <w:textAlignment w:val="baseline"/>
        <w:rPr>
          <w:rFonts w:ascii="Arial" w:hAnsi="Arial" w:eastAsia="Times New Roman" w:cs="Arial"/>
          <w:sz w:val="18"/>
          <w:szCs w:val="18"/>
          <w:lang w:val="en-ZA" w:eastAsia="en-GB"/>
        </w:rPr>
      </w:pPr>
    </w:p>
    <w:p w14:paraId="59F36D31">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 xml:space="preserve">For this to happen, the assessment must be executed and reported in a manner that will highlight the child’s strengths and weaknesses in behavioural and cognitive functioning. This information will serve as a basis for intervention by all professionals that interact with the child. School placement </w:t>
      </w:r>
      <w:r>
        <w:rPr>
          <w:rFonts w:ascii="Arial" w:hAnsi="Arial" w:eastAsia="Times New Roman" w:cs="Arial"/>
          <w:sz w:val="18"/>
          <w:szCs w:val="18"/>
          <w:lang w:eastAsia="en-GB"/>
        </w:rPr>
        <w:t xml:space="preserve">will be informed, and the practitioner will be in a better position to assist with formulating an Individual Support Plan (ISP) for all multidisciplinary health care professionals involved in establishing a treatment plan. </w:t>
      </w:r>
    </w:p>
    <w:p w14:paraId="6AB0DBB9">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 xml:space="preserve">This paper examines the use of the Griffiths III as a measure to determine a child’s overall developmental level and to highlight the child’s particular strengths and needs. Ultimately, one would work towards using the individual’s strengths to improve deficits in other areas. </w:t>
      </w:r>
      <w:r>
        <w:rPr>
          <w:rFonts w:ascii="Arial" w:hAnsi="Arial" w:eastAsia="Times New Roman" w:cs="Arial"/>
          <w:sz w:val="18"/>
          <w:szCs w:val="18"/>
          <w:lang w:val="en-ZA" w:eastAsia="en-GB"/>
        </w:rPr>
        <w:t>understand the process of thinking of this particular child, Theory of Mind was used to assist professionals working with the child in understanding the cognition processes that take place in ASD.</w:t>
      </w:r>
      <w:r>
        <w:rPr>
          <w:rFonts w:ascii="Arial" w:hAnsi="Arial" w:eastAsia="Times New Roman" w:cs="Arial"/>
          <w:sz w:val="18"/>
          <w:szCs w:val="18"/>
          <w:lang w:eastAsia="en-GB"/>
        </w:rPr>
        <w:t> </w:t>
      </w:r>
    </w:p>
    <w:p w14:paraId="1DEA29C4">
      <w:pPr>
        <w:spacing w:after="0" w:line="240" w:lineRule="auto"/>
        <w:jc w:val="both"/>
        <w:textAlignment w:val="baseline"/>
        <w:rPr>
          <w:rFonts w:ascii="Arial" w:hAnsi="Arial" w:eastAsia="Times New Roman" w:cs="Arial"/>
          <w:sz w:val="18"/>
          <w:szCs w:val="18"/>
          <w:lang w:val="en-ZA" w:eastAsia="en-GB"/>
        </w:rPr>
      </w:pPr>
    </w:p>
    <w:p w14:paraId="150F5E07">
      <w:pPr>
        <w:spacing w:after="0" w:line="240" w:lineRule="auto"/>
        <w:jc w:val="both"/>
        <w:rPr>
          <w:rFonts w:ascii="Arial" w:hAnsi="Arial" w:eastAsia="Times New Roman" w:cs="Arial"/>
          <w:sz w:val="18"/>
          <w:szCs w:val="18"/>
        </w:rPr>
      </w:pPr>
    </w:p>
    <w:p w14:paraId="0996FC5A">
      <w:pPr>
        <w:spacing w:after="0" w:line="240" w:lineRule="auto"/>
        <w:ind w:left="270" w:hanging="270"/>
        <w:jc w:val="both"/>
        <w:rPr>
          <w:rFonts w:ascii="Arial" w:hAnsi="Arial" w:eastAsia="Times New Roman" w:cs="Arial"/>
          <w:b/>
          <w:caps/>
          <w:sz w:val="20"/>
          <w:szCs w:val="20"/>
        </w:rPr>
      </w:pPr>
      <w:r>
        <w:rPr>
          <w:rFonts w:ascii="Arial" w:hAnsi="Arial" w:eastAsia="Times New Roman" w:cs="Arial"/>
          <w:b/>
          <w:caps/>
          <w:sz w:val="20"/>
          <w:szCs w:val="20"/>
        </w:rPr>
        <w:t>2.</w:t>
      </w:r>
      <w:r>
        <w:rPr>
          <w:rFonts w:ascii="Arial" w:hAnsi="Arial" w:eastAsia="Times New Roman" w:cs="Arial"/>
          <w:b/>
          <w:caps/>
          <w:sz w:val="20"/>
          <w:szCs w:val="20"/>
        </w:rPr>
        <w:tab/>
      </w:r>
      <w:r>
        <w:rPr>
          <w:rFonts w:ascii="Arial" w:hAnsi="Arial" w:eastAsia="Times New Roman" w:cs="Arial"/>
          <w:b/>
          <w:caps/>
          <w:sz w:val="20"/>
          <w:szCs w:val="20"/>
        </w:rPr>
        <w:t xml:space="preserve">methodology </w:t>
      </w:r>
    </w:p>
    <w:p w14:paraId="1AC28EBE">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 xml:space="preserve">The Griffiths Scales were originally developed by Dr Ruth Griffiths in 1954 and the Griffiths Scales of Child Development, Third Edition (Griffiths III) is intended for children from birth to 6 years of age (72 months) (Green et al., 2016). </w:t>
      </w:r>
      <w:r>
        <w:rPr>
          <w:rFonts w:ascii="Arial" w:hAnsi="Arial" w:eastAsia="Times New Roman" w:cs="Arial"/>
          <w:color w:val="000000"/>
          <w:sz w:val="18"/>
          <w:szCs w:val="18"/>
          <w:shd w:val="clear" w:color="auto" w:fill="FFFFFF"/>
          <w:lang w:val="en-ZA" w:eastAsia="en-GB"/>
        </w:rPr>
        <w:t xml:space="preserve">The Griffiths III provides an overall measure of a child’s development, as well as an individual profile of strengths and needs across five subscales namely, </w:t>
      </w:r>
      <w:r>
        <w:rPr>
          <w:rFonts w:ascii="Arial" w:hAnsi="Arial" w:eastAsia="Times New Roman" w:cs="Arial"/>
          <w:i/>
          <w:iCs/>
          <w:sz w:val="18"/>
          <w:szCs w:val="18"/>
          <w:lang w:eastAsia="en-GB"/>
        </w:rPr>
        <w:t xml:space="preserve">(A) Foundations of Learning, (B) Language and Communication, (C) Eye and Hand Coordination, (D) Personal–Social–Emotional and (E) Gross Motor. </w:t>
      </w:r>
      <w:r>
        <w:rPr>
          <w:rFonts w:ascii="Arial" w:hAnsi="Arial" w:eastAsia="Times New Roman" w:cs="Arial"/>
          <w:sz w:val="18"/>
          <w:szCs w:val="18"/>
          <w:lang w:eastAsia="en-GB"/>
        </w:rPr>
        <w:t xml:space="preserve">While JJ’s chronological age (6 years 4 months /76 months) technically places him outside the age range for the use of the Griffiths III, it was utilised as he presents with atypical patterns of functioning that were expected to fall within the developmental range of the Griffiths III. </w:t>
      </w:r>
    </w:p>
    <w:p w14:paraId="5628B7F5">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The Griffiths III is instrumental in determining whether a child is developing appropriately for their age or whether a general or specific developmental delay is indicated. Identification of specific difficulties can be linked to a specific developmental or learning disorder</w:t>
      </w:r>
      <w:r>
        <w:rPr>
          <w:rFonts w:ascii="Arial" w:hAnsi="Arial" w:eastAsia="Times New Roman" w:cs="Arial"/>
          <w:sz w:val="18"/>
          <w:szCs w:val="18"/>
          <w:lang w:val="en-ZA" w:eastAsia="en-GB"/>
        </w:rPr>
        <w:t xml:space="preserve"> (The Association for Research in Infant and Child Development, 2020)</w:t>
      </w:r>
      <w:r>
        <w:rPr>
          <w:rFonts w:ascii="Arial" w:hAnsi="Arial" w:eastAsia="Times New Roman" w:cs="Arial"/>
          <w:sz w:val="18"/>
          <w:szCs w:val="18"/>
          <w:lang w:eastAsia="en-GB"/>
        </w:rPr>
        <w:t xml:space="preserve">. In particular, the Griffiths III includes several different aspects of development, which are likely to be problematic in a child who meets the DSM criteria for ASD. Subscales A, B and D are expected to be the most affected in children on the ASD spectrum. </w:t>
      </w:r>
    </w:p>
    <w:p w14:paraId="63DEEFEC">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 xml:space="preserve">The Griffiths III thus provides health care practitioners with the opportunity to assist in planning developmental and therapeutic interventions and sheds light on future placement and decisions about the management of the child. The Griffiths III is standardised based on a normative sample of 426 children. The sample was developed within the guidelines of continuous norming.  </w:t>
      </w:r>
    </w:p>
    <w:p w14:paraId="7326205F">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On a normed developmental measure, scores are of limited use when they fall below the 50</w:t>
      </w:r>
      <w:r>
        <w:rPr>
          <w:rFonts w:ascii="Arial" w:hAnsi="Arial" w:eastAsia="Times New Roman" w:cs="Arial"/>
          <w:sz w:val="18"/>
          <w:szCs w:val="18"/>
          <w:vertAlign w:val="superscript"/>
          <w:lang w:val="en-ZA" w:eastAsia="en-GB"/>
        </w:rPr>
        <w:t>th</w:t>
      </w:r>
      <w:r>
        <w:rPr>
          <w:rFonts w:ascii="Arial" w:hAnsi="Arial" w:eastAsia="Times New Roman" w:cs="Arial"/>
          <w:sz w:val="18"/>
          <w:szCs w:val="18"/>
          <w:lang w:val="en-ZA" w:eastAsia="en-GB"/>
        </w:rPr>
        <w:t xml:space="preserve"> percentile, and clinicians are challenged as to how to report findings in a manner that will enhance the learning process.</w:t>
      </w:r>
      <w:r>
        <w:rPr>
          <w:rFonts w:ascii="Arial" w:hAnsi="Arial" w:eastAsia="Times New Roman" w:cs="Arial"/>
          <w:sz w:val="18"/>
          <w:szCs w:val="18"/>
          <w:lang w:eastAsia="en-GB"/>
        </w:rPr>
        <w:t xml:space="preserve"> For children functioning below a developmental quotient (DQ) of 50 on any of the five developmental domains and for whom a developmental age is not available, developmental age equivalents may be obtained for descriptive purposes using the Griffiths III. A quartile chart with individual items arranged in a tabular format (i.e. 3-month periods), according to difficulty can be used to ascertain at what age this item was passed by a typical child. </w:t>
      </w:r>
      <w:r>
        <w:rPr>
          <w:rFonts w:ascii="Arial" w:hAnsi="Arial" w:eastAsia="Times New Roman" w:cs="Arial"/>
          <w:sz w:val="18"/>
          <w:szCs w:val="18"/>
          <w:lang w:val="en-ZA" w:eastAsia="en-GB"/>
        </w:rPr>
        <w:t>Expanding on Griffith’s initial belief that the assessment should adapt to the child and not the child to the assessment, quartile charts have been developed which supplement the developmental measure to derive a better understanding of atypical children when their scores fall below the 50</w:t>
      </w:r>
      <w:r>
        <w:rPr>
          <w:rFonts w:ascii="Arial" w:hAnsi="Arial" w:eastAsia="Times New Roman" w:cs="Arial"/>
          <w:sz w:val="18"/>
          <w:szCs w:val="18"/>
          <w:vertAlign w:val="superscript"/>
          <w:lang w:val="en-ZA" w:eastAsia="en-GB"/>
        </w:rPr>
        <w:t>th</w:t>
      </w:r>
      <w:r>
        <w:rPr>
          <w:rFonts w:ascii="Arial" w:hAnsi="Arial" w:eastAsia="Times New Roman" w:cs="Arial"/>
          <w:sz w:val="18"/>
          <w:szCs w:val="18"/>
          <w:lang w:val="en-ZA" w:eastAsia="en-GB"/>
        </w:rPr>
        <w:t xml:space="preserve"> percentile. These charts can assist by indicating at what age a typical child would have managed to complete items, as well as identifying items in the domains that have not been achieved. Merely indicating that the individuals’ performance falls below the 50</w:t>
      </w:r>
      <w:r>
        <w:rPr>
          <w:rFonts w:ascii="Arial" w:hAnsi="Arial" w:eastAsia="Times New Roman" w:cs="Arial"/>
          <w:sz w:val="18"/>
          <w:szCs w:val="18"/>
          <w:vertAlign w:val="superscript"/>
          <w:lang w:val="en-ZA" w:eastAsia="en-GB"/>
        </w:rPr>
        <w:t>th</w:t>
      </w:r>
      <w:r>
        <w:rPr>
          <w:rFonts w:ascii="Arial" w:hAnsi="Arial" w:eastAsia="Times New Roman" w:cs="Arial"/>
          <w:sz w:val="18"/>
          <w:szCs w:val="18"/>
          <w:lang w:val="en-ZA" w:eastAsia="en-GB"/>
        </w:rPr>
        <w:t xml:space="preserve"> percentile previously made sense to practitioners, but was of not benefit to the parents and educators who had to assist these individuals. </w:t>
      </w:r>
      <w:r>
        <w:rPr>
          <w:rFonts w:ascii="Arial" w:hAnsi="Arial" w:eastAsia="Times New Roman" w:cs="Arial"/>
          <w:sz w:val="18"/>
          <w:szCs w:val="18"/>
          <w:lang w:eastAsia="en-GB"/>
        </w:rPr>
        <w:t> </w:t>
      </w:r>
    </w:p>
    <w:p w14:paraId="712B3AB7">
      <w:pPr>
        <w:spacing w:after="0" w:line="240" w:lineRule="auto"/>
        <w:jc w:val="both"/>
        <w:rPr>
          <w:rFonts w:ascii="Arial" w:hAnsi="Arial" w:eastAsia="Times New Roman" w:cs="Arial"/>
          <w:sz w:val="18"/>
          <w:szCs w:val="18"/>
        </w:rPr>
      </w:pPr>
    </w:p>
    <w:p w14:paraId="3AD5A917">
      <w:pPr>
        <w:spacing w:after="0" w:line="240" w:lineRule="auto"/>
        <w:jc w:val="both"/>
        <w:rPr>
          <w:rFonts w:ascii="Arial" w:hAnsi="Arial" w:eastAsia="Times New Roman" w:cs="Arial"/>
          <w:sz w:val="18"/>
          <w:szCs w:val="18"/>
        </w:rPr>
      </w:pPr>
    </w:p>
    <w:p w14:paraId="78D3E907">
      <w:pPr>
        <w:spacing w:after="0" w:line="240" w:lineRule="auto"/>
        <w:jc w:val="both"/>
        <w:rPr>
          <w:rFonts w:ascii="Arial" w:hAnsi="Arial" w:eastAsia="Times New Roman" w:cs="Arial"/>
          <w:b/>
          <w:caps/>
          <w:sz w:val="20"/>
          <w:szCs w:val="20"/>
        </w:rPr>
      </w:pPr>
      <w:r>
        <w:rPr>
          <w:rFonts w:ascii="Arial" w:hAnsi="Arial" w:eastAsia="Times New Roman" w:cs="Arial"/>
          <w:b/>
          <w:caps/>
          <w:sz w:val="20"/>
          <w:szCs w:val="20"/>
        </w:rPr>
        <w:t>3. results and discussion</w:t>
      </w:r>
    </w:p>
    <w:p w14:paraId="7AACE8A3">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The results will be reported according to the five subscales of the Griffiths III, as well as the accompanying Quartile Charts which provide</w:t>
      </w:r>
      <w:r>
        <w:rPr>
          <w:rFonts w:ascii="Arial" w:hAnsi="Arial" w:eastAsia="Times New Roman" w:cs="Arial"/>
          <w:bCs/>
          <w:caps/>
          <w:sz w:val="18"/>
          <w:szCs w:val="18"/>
          <w:lang w:val="en-GB"/>
        </w:rPr>
        <w:t xml:space="preserve"> </w:t>
      </w:r>
      <w:r>
        <w:rPr>
          <w:rFonts w:ascii="Arial" w:hAnsi="Arial" w:eastAsia="Times New Roman" w:cs="Arial"/>
          <w:bCs/>
          <w:sz w:val="18"/>
          <w:szCs w:val="18"/>
          <w:lang w:val="en-GB"/>
        </w:rPr>
        <w:t>a further explanation of how scores that fall below the 50</w:t>
      </w:r>
      <w:r>
        <w:rPr>
          <w:rFonts w:ascii="Arial" w:hAnsi="Arial" w:eastAsia="Times New Roman" w:cs="Arial"/>
          <w:bCs/>
          <w:sz w:val="18"/>
          <w:szCs w:val="18"/>
          <w:vertAlign w:val="superscript"/>
          <w:lang w:val="en-GB"/>
        </w:rPr>
        <w:t>th</w:t>
      </w:r>
      <w:r>
        <w:rPr>
          <w:rFonts w:ascii="Arial" w:hAnsi="Arial" w:eastAsia="Times New Roman" w:cs="Arial"/>
          <w:bCs/>
          <w:sz w:val="18"/>
          <w:szCs w:val="18"/>
          <w:lang w:val="en-GB"/>
        </w:rPr>
        <w:t xml:space="preserve"> percentile can be interpreted. The use of the Griffiths III and accompanying measures together with the collateral history assisted with confirming diagnoses.</w:t>
      </w:r>
      <w:r>
        <w:rPr>
          <w:rFonts w:ascii="Arial" w:hAnsi="Arial" w:eastAsia="Times New Roman" w:cs="Arial"/>
          <w:bCs/>
          <w:caps/>
          <w:sz w:val="18"/>
          <w:szCs w:val="18"/>
          <w:lang w:val="en-GB"/>
        </w:rPr>
        <w:t> </w:t>
      </w:r>
    </w:p>
    <w:p w14:paraId="13705C12">
      <w:pPr>
        <w:spacing w:after="0" w:line="240" w:lineRule="auto"/>
        <w:jc w:val="both"/>
        <w:rPr>
          <w:rFonts w:ascii="Arial" w:hAnsi="Arial" w:eastAsia="Times New Roman" w:cs="Arial"/>
          <w:bCs/>
          <w:caps/>
          <w:sz w:val="18"/>
          <w:szCs w:val="18"/>
          <w:lang w:val="en-GB"/>
        </w:rPr>
      </w:pPr>
    </w:p>
    <w:p w14:paraId="5665B890">
      <w:pPr>
        <w:spacing w:after="0" w:line="240" w:lineRule="auto"/>
        <w:jc w:val="both"/>
        <w:rPr>
          <w:rFonts w:ascii="Arial" w:hAnsi="Arial" w:eastAsia="Times New Roman" w:cs="Arial"/>
          <w:b/>
          <w:caps/>
          <w:sz w:val="18"/>
          <w:szCs w:val="18"/>
          <w:lang w:val="en-GB"/>
        </w:rPr>
      </w:pPr>
      <w:r>
        <w:rPr>
          <w:rFonts w:ascii="Arial" w:hAnsi="Arial" w:eastAsia="Times New Roman" w:cs="Arial"/>
          <w:b/>
          <w:sz w:val="18"/>
          <w:szCs w:val="18"/>
          <w:lang w:val="en-GB"/>
        </w:rPr>
        <w:t>3.1 Subscale A  </w:t>
      </w:r>
      <w:r>
        <w:rPr>
          <w:rFonts w:ascii="Arial" w:hAnsi="Arial" w:eastAsia="Times New Roman" w:cs="Arial"/>
          <w:b/>
          <w:caps/>
          <w:sz w:val="18"/>
          <w:szCs w:val="18"/>
          <w:lang w:val="en-GB"/>
        </w:rPr>
        <w:t> </w:t>
      </w:r>
    </w:p>
    <w:p w14:paraId="17665630">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The Foundation of Learning Subscale focuses on the approach taken by the child for future educational experience and includes attention and processing speed abilities.</w:t>
      </w:r>
      <w:r>
        <w:rPr>
          <w:rFonts w:ascii="Arial" w:hAnsi="Arial" w:eastAsia="Times New Roman" w:cs="Arial"/>
          <w:bCs/>
          <w:sz w:val="18"/>
          <w:szCs w:val="18"/>
          <w:lang w:val="en-ZA"/>
        </w:rPr>
        <w:t xml:space="preserve"> In Subscale A the constructs Skills for Learning (which includes attention, curiosity, processing speed); ways of thinking, memory and play in terms of the way the child engages with real objects in imaginative ways are likely to add definition to the assessment of the foundations of learning. </w:t>
      </w:r>
      <w:r>
        <w:rPr>
          <w:rFonts w:ascii="Arial" w:hAnsi="Arial" w:eastAsia="Times New Roman" w:cs="Arial"/>
          <w:bCs/>
          <w:sz w:val="18"/>
          <w:szCs w:val="18"/>
          <w:lang w:val="en-GB"/>
        </w:rPr>
        <w:t xml:space="preserve"> This subscale evaluates the child’s natural curiosity and ability to learn by recording the earliest indications of arithmetical comprehension, the realisation of the simplest practical problems and the child’s ability to memorize information. Foundational skills mainly indicate the child’s ability to benefit from formal schooling. </w:t>
      </w:r>
      <w:r>
        <w:rPr>
          <w:rFonts w:ascii="Arial" w:hAnsi="Arial" w:eastAsia="Times New Roman" w:cs="Arial"/>
          <w:bCs/>
          <w:caps/>
          <w:sz w:val="18"/>
          <w:szCs w:val="18"/>
          <w:lang w:val="en-GB"/>
        </w:rPr>
        <w:t> </w:t>
      </w:r>
    </w:p>
    <w:p w14:paraId="4C053C2A">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JJ’s performance on Subscale A falls in the extremely low range and provides a developmental age equivalent of 55 months. This score suggests a Developmental Quotient of below 50, which places JJ below the first percentile rank.</w:t>
      </w:r>
      <w:r>
        <w:rPr>
          <w:rFonts w:ascii="Arial" w:hAnsi="Arial" w:eastAsia="Times New Roman" w:cs="Arial"/>
          <w:bCs/>
          <w:caps/>
          <w:sz w:val="18"/>
          <w:szCs w:val="18"/>
          <w:lang w:val="en-GB"/>
        </w:rPr>
        <w:t> </w:t>
      </w:r>
    </w:p>
    <w:p w14:paraId="12A603DF">
      <w:pPr>
        <w:spacing w:after="0" w:line="240" w:lineRule="auto"/>
        <w:jc w:val="both"/>
        <w:rPr>
          <w:rFonts w:ascii="Arial" w:hAnsi="Arial" w:eastAsia="Times New Roman" w:cs="Arial"/>
          <w:bCs/>
          <w:caps/>
          <w:sz w:val="18"/>
          <w:szCs w:val="18"/>
          <w:lang w:val="en-GB"/>
        </w:rPr>
      </w:pPr>
    </w:p>
    <w:p w14:paraId="7FE1F118">
      <w:pPr>
        <w:spacing w:after="0" w:line="240" w:lineRule="auto"/>
        <w:jc w:val="both"/>
        <w:rPr>
          <w:rFonts w:ascii="Arial" w:hAnsi="Arial" w:eastAsia="Times New Roman" w:cs="Arial"/>
          <w:b/>
          <w:caps/>
          <w:sz w:val="18"/>
          <w:szCs w:val="18"/>
          <w:lang w:val="en-GB"/>
        </w:rPr>
      </w:pPr>
      <w:r>
        <w:rPr>
          <w:rFonts w:ascii="Arial" w:hAnsi="Arial" w:eastAsia="Times New Roman" w:cs="Arial"/>
          <w:b/>
          <w:sz w:val="18"/>
          <w:szCs w:val="18"/>
          <w:lang w:val="en-GB"/>
        </w:rPr>
        <w:t>3.2 Subscale B </w:t>
      </w:r>
      <w:r>
        <w:rPr>
          <w:rFonts w:ascii="Arial" w:hAnsi="Arial" w:eastAsia="Times New Roman" w:cs="Arial"/>
          <w:b/>
          <w:caps/>
          <w:sz w:val="18"/>
          <w:szCs w:val="18"/>
          <w:lang w:val="en-GB"/>
        </w:rPr>
        <w:t> </w:t>
      </w:r>
    </w:p>
    <w:p w14:paraId="19EB1DC2">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 xml:space="preserve">The Language and Communication Subscale refers to the ability to understand the meaning of words and to use language effectively. It </w:t>
      </w:r>
      <w:r>
        <w:rPr>
          <w:rFonts w:ascii="Arial" w:hAnsi="Arial" w:eastAsia="Times New Roman" w:cs="Arial"/>
          <w:bCs/>
          <w:sz w:val="18"/>
          <w:szCs w:val="18"/>
          <w:lang w:val="en-ZA"/>
        </w:rPr>
        <w:t>includes some assessment of a child’s use of language to communicate socially with others as well as certain aspects of cognition such as attention.</w:t>
      </w:r>
      <w:r>
        <w:rPr>
          <w:rFonts w:ascii="Arial" w:hAnsi="Arial" w:eastAsia="Times New Roman" w:cs="Arial"/>
          <w:bCs/>
          <w:caps/>
          <w:sz w:val="18"/>
          <w:szCs w:val="18"/>
          <w:lang w:val="en-GB"/>
        </w:rPr>
        <w:t xml:space="preserve"> </w:t>
      </w:r>
      <w:r>
        <w:rPr>
          <w:rFonts w:ascii="Arial" w:hAnsi="Arial" w:eastAsia="Times New Roman" w:cs="Arial"/>
          <w:bCs/>
          <w:sz w:val="18"/>
          <w:szCs w:val="18"/>
          <w:lang w:val="en-GB"/>
        </w:rPr>
        <w:t>This subscale provides an opportunity for the study of the growth and development of both receptive and expressive language.  </w:t>
      </w:r>
      <w:r>
        <w:rPr>
          <w:rFonts w:ascii="Arial" w:hAnsi="Arial" w:eastAsia="Times New Roman" w:cs="Arial"/>
          <w:bCs/>
          <w:caps/>
          <w:sz w:val="18"/>
          <w:szCs w:val="18"/>
          <w:lang w:val="en-GB"/>
        </w:rPr>
        <w:t> </w:t>
      </w:r>
    </w:p>
    <w:p w14:paraId="6BE14EA6">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ZA"/>
        </w:rPr>
        <w:t>JJ’</w:t>
      </w:r>
      <w:r>
        <w:rPr>
          <w:rFonts w:ascii="Arial" w:hAnsi="Arial" w:eastAsia="Times New Roman" w:cs="Arial"/>
          <w:bCs/>
          <w:sz w:val="18"/>
          <w:szCs w:val="18"/>
          <w:lang w:val="en-GB"/>
        </w:rPr>
        <w:t>s performance on Subscale B falls in the extremely low range and provides a developmental age equivalent of 50 months. This score suggests a Developmental Quotient equal to or below 50, which places JJ below the first percentile rank.</w:t>
      </w:r>
      <w:r>
        <w:rPr>
          <w:rFonts w:ascii="Arial" w:hAnsi="Arial" w:eastAsia="Times New Roman" w:cs="Arial"/>
          <w:bCs/>
          <w:caps/>
          <w:sz w:val="18"/>
          <w:szCs w:val="18"/>
          <w:lang w:val="en-GB"/>
        </w:rPr>
        <w:t> </w:t>
      </w:r>
    </w:p>
    <w:p w14:paraId="463CBE90">
      <w:pPr>
        <w:spacing w:after="0" w:line="240" w:lineRule="auto"/>
        <w:jc w:val="both"/>
        <w:rPr>
          <w:rFonts w:ascii="Arial" w:hAnsi="Arial" w:eastAsia="Times New Roman" w:cs="Arial"/>
          <w:bCs/>
          <w:caps/>
          <w:sz w:val="18"/>
          <w:szCs w:val="18"/>
          <w:lang w:val="en-GB"/>
        </w:rPr>
      </w:pPr>
    </w:p>
    <w:p w14:paraId="3D9338D5">
      <w:pPr>
        <w:spacing w:after="0" w:line="240" w:lineRule="auto"/>
        <w:jc w:val="both"/>
        <w:rPr>
          <w:rFonts w:ascii="Arial" w:hAnsi="Arial" w:eastAsia="Times New Roman" w:cs="Arial"/>
          <w:b/>
          <w:caps/>
          <w:sz w:val="18"/>
          <w:szCs w:val="18"/>
          <w:lang w:val="en-GB"/>
        </w:rPr>
      </w:pPr>
      <w:r>
        <w:rPr>
          <w:rFonts w:ascii="Arial" w:hAnsi="Arial" w:eastAsia="Times New Roman" w:cs="Arial"/>
          <w:b/>
          <w:sz w:val="18"/>
          <w:szCs w:val="18"/>
          <w:lang w:val="en-GB"/>
        </w:rPr>
        <w:t>3.3 Subscale C </w:t>
      </w:r>
      <w:r>
        <w:rPr>
          <w:rFonts w:ascii="Arial" w:hAnsi="Arial" w:eastAsia="Times New Roman" w:cs="Arial"/>
          <w:b/>
          <w:caps/>
          <w:sz w:val="18"/>
          <w:szCs w:val="18"/>
          <w:lang w:val="en-GB"/>
        </w:rPr>
        <w:t> </w:t>
      </w:r>
    </w:p>
    <w:p w14:paraId="53F8070A">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The Eye and Hand Co-ordination Subscale refers to the early development of visual perception, visually directed reaching and object manipulation. It includes the ability to use small muscle groups to engage in activities. This subscale consists of items relating to the handwork and visual ability of the child. </w:t>
      </w:r>
      <w:r>
        <w:rPr>
          <w:rFonts w:ascii="Arial" w:hAnsi="Arial" w:eastAsia="Times New Roman" w:cs="Arial"/>
          <w:bCs/>
          <w:caps/>
          <w:sz w:val="18"/>
          <w:szCs w:val="18"/>
          <w:lang w:val="en-GB"/>
        </w:rPr>
        <w:t> </w:t>
      </w:r>
    </w:p>
    <w:p w14:paraId="6D32E54B">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JJ’s performance on Subscale C falls in the borderline range and provides a developmental age equivalent of 57 months. This score suggests a Developmental Quotient of 80-81, which places JJ at the 11th percentile rank. Eye and hand co-ordination appears to be a relative strength when compared to other subscales.</w:t>
      </w:r>
      <w:r>
        <w:rPr>
          <w:rFonts w:ascii="Arial" w:hAnsi="Arial" w:eastAsia="Times New Roman" w:cs="Arial"/>
          <w:bCs/>
          <w:caps/>
          <w:sz w:val="18"/>
          <w:szCs w:val="18"/>
          <w:lang w:val="en-GB"/>
        </w:rPr>
        <w:t> </w:t>
      </w:r>
    </w:p>
    <w:p w14:paraId="536F875F">
      <w:pPr>
        <w:spacing w:after="0" w:line="240" w:lineRule="auto"/>
        <w:jc w:val="both"/>
        <w:rPr>
          <w:rFonts w:ascii="Arial" w:hAnsi="Arial" w:eastAsia="Times New Roman" w:cs="Arial"/>
          <w:bCs/>
          <w:caps/>
          <w:sz w:val="18"/>
          <w:szCs w:val="18"/>
          <w:lang w:val="en-GB"/>
        </w:rPr>
      </w:pPr>
    </w:p>
    <w:p w14:paraId="54936635">
      <w:pPr>
        <w:spacing w:after="0" w:line="240" w:lineRule="auto"/>
        <w:jc w:val="both"/>
        <w:rPr>
          <w:rFonts w:ascii="Arial" w:hAnsi="Arial" w:eastAsia="Times New Roman" w:cs="Arial"/>
          <w:b/>
          <w:caps/>
          <w:sz w:val="18"/>
          <w:szCs w:val="18"/>
          <w:lang w:val="en-GB"/>
        </w:rPr>
      </w:pPr>
      <w:r>
        <w:rPr>
          <w:rFonts w:ascii="Arial" w:hAnsi="Arial" w:eastAsia="Times New Roman" w:cs="Arial"/>
          <w:b/>
          <w:sz w:val="18"/>
          <w:szCs w:val="18"/>
          <w:lang w:val="en-GB"/>
        </w:rPr>
        <w:t>3.4 Subscale D</w:t>
      </w:r>
      <w:r>
        <w:rPr>
          <w:rFonts w:ascii="Arial" w:hAnsi="Arial" w:eastAsia="Times New Roman" w:cs="Arial"/>
          <w:b/>
          <w:caps/>
          <w:sz w:val="18"/>
          <w:szCs w:val="18"/>
          <w:lang w:val="en-GB"/>
        </w:rPr>
        <w:t> </w:t>
      </w:r>
    </w:p>
    <w:p w14:paraId="35C4D1C0">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The Personal-Social-Emotional Subscale D refers to the child's self-care skills such as dressing, undressing, and washing hands.</w:t>
      </w:r>
      <w:r>
        <w:rPr>
          <w:rFonts w:ascii="Arial" w:hAnsi="Arial" w:eastAsia="Times New Roman" w:cs="Arial"/>
          <w:bCs/>
          <w:sz w:val="18"/>
          <w:szCs w:val="18"/>
        </w:rPr>
        <w:t xml:space="preserve"> Subscale D contains </w:t>
      </w:r>
      <w:r>
        <w:rPr>
          <w:rFonts w:ascii="Arial" w:hAnsi="Arial" w:eastAsia="Times New Roman" w:cs="Arial"/>
          <w:bCs/>
          <w:sz w:val="18"/>
          <w:szCs w:val="18"/>
          <w:lang w:val="en-ZA"/>
        </w:rPr>
        <w:t>the underlying sub-constructs in early social and emotional development: emotional understanding and expression, self-regulation, joint attention and perspective taking, empathy, moral development and theory of mind. </w:t>
      </w:r>
      <w:r>
        <w:rPr>
          <w:rFonts w:ascii="Arial" w:hAnsi="Arial" w:eastAsia="Times New Roman" w:cs="Arial"/>
          <w:bCs/>
          <w:sz w:val="18"/>
          <w:szCs w:val="18"/>
          <w:lang w:val="en-GB"/>
        </w:rPr>
        <w:t xml:space="preserve"> The Subscale also provides an opportunity to assess social development and explore the child’s social interaction, humour and friendships. It furthermore examines the child’s emotional development by looking at for example the child’s emotional understanding and expression, moral reasoning and attachment.</w:t>
      </w:r>
      <w:r>
        <w:rPr>
          <w:rFonts w:ascii="Arial" w:hAnsi="Arial" w:eastAsia="Times New Roman" w:cs="Arial"/>
          <w:bCs/>
          <w:caps/>
          <w:sz w:val="18"/>
          <w:szCs w:val="18"/>
          <w:lang w:val="en-GB"/>
        </w:rPr>
        <w:t> </w:t>
      </w:r>
    </w:p>
    <w:p w14:paraId="5AAF8C10">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JJ’s performance on Subscale D falls in the extremely low range and provides a developmental age equivalent of 53 months. This score suggests a Developmental Quotient of below 50, which places JJ below the first percentile. JJ evidenced difficulty with all the underlying constructs of early social and emotional development.</w:t>
      </w:r>
      <w:r>
        <w:rPr>
          <w:rFonts w:ascii="Arial" w:hAnsi="Arial" w:eastAsia="Times New Roman" w:cs="Arial"/>
          <w:bCs/>
          <w:caps/>
          <w:sz w:val="18"/>
          <w:szCs w:val="18"/>
          <w:lang w:val="en-GB"/>
        </w:rPr>
        <w:t> </w:t>
      </w:r>
    </w:p>
    <w:p w14:paraId="0EFDA281">
      <w:pPr>
        <w:spacing w:after="0" w:line="240" w:lineRule="auto"/>
        <w:jc w:val="both"/>
        <w:rPr>
          <w:rFonts w:ascii="Arial" w:hAnsi="Arial" w:eastAsia="Times New Roman" w:cs="Arial"/>
          <w:bCs/>
          <w:caps/>
          <w:sz w:val="18"/>
          <w:szCs w:val="18"/>
          <w:lang w:val="en-GB"/>
        </w:rPr>
      </w:pPr>
    </w:p>
    <w:p w14:paraId="1B9D2F6F">
      <w:pPr>
        <w:spacing w:after="0" w:line="240" w:lineRule="auto"/>
        <w:jc w:val="both"/>
        <w:rPr>
          <w:rFonts w:ascii="Arial" w:hAnsi="Arial" w:eastAsia="Times New Roman" w:cs="Arial"/>
          <w:b/>
          <w:caps/>
          <w:sz w:val="18"/>
          <w:szCs w:val="18"/>
          <w:lang w:val="en-GB"/>
        </w:rPr>
      </w:pPr>
      <w:r>
        <w:rPr>
          <w:rFonts w:ascii="Arial" w:hAnsi="Arial" w:eastAsia="Times New Roman" w:cs="Arial"/>
          <w:b/>
          <w:sz w:val="18"/>
          <w:szCs w:val="18"/>
          <w:lang w:val="en-GB"/>
        </w:rPr>
        <w:t>3.5 Subscale E</w:t>
      </w:r>
      <w:r>
        <w:rPr>
          <w:rFonts w:ascii="Arial" w:hAnsi="Arial" w:eastAsia="Times New Roman" w:cs="Arial"/>
          <w:b/>
          <w:caps/>
          <w:sz w:val="18"/>
          <w:szCs w:val="18"/>
          <w:lang w:val="en-GB"/>
        </w:rPr>
        <w:t> </w:t>
      </w:r>
    </w:p>
    <w:p w14:paraId="78318532">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Gross-motor skills are measured in Subscale E and refer to the child’s early development of postural control, gross body coordination, and visual-spatial coordination. In later years, balance, rhythm, motor sequencing, power, and strength are included. This Subscale provides an opportunity to observe physical development in young children. </w:t>
      </w:r>
      <w:r>
        <w:rPr>
          <w:rFonts w:ascii="Arial" w:hAnsi="Arial" w:eastAsia="Times New Roman" w:cs="Arial"/>
          <w:bCs/>
          <w:caps/>
          <w:sz w:val="18"/>
          <w:szCs w:val="18"/>
          <w:lang w:val="en-GB"/>
        </w:rPr>
        <w:t> </w:t>
      </w:r>
    </w:p>
    <w:p w14:paraId="1ECFC122">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JJ’s performance on Subscale E falls in the borderline range and provides a developmental age equivalent of 56 months. This score suggests a Developmental Quotient of 74, which places JJ at the fifth percentile rank. Taken in relation to the totality of the results, JJ’s gross motor skills appear to be a relative strength.</w:t>
      </w:r>
      <w:r>
        <w:rPr>
          <w:rFonts w:ascii="Arial" w:hAnsi="Arial" w:eastAsia="Times New Roman" w:cs="Arial"/>
          <w:bCs/>
          <w:caps/>
          <w:sz w:val="18"/>
          <w:szCs w:val="18"/>
          <w:lang w:val="en-GB"/>
        </w:rPr>
        <w:t> </w:t>
      </w:r>
    </w:p>
    <w:p w14:paraId="1AEFF22D">
      <w:pPr>
        <w:spacing w:after="0" w:line="240" w:lineRule="auto"/>
        <w:jc w:val="both"/>
        <w:rPr>
          <w:rFonts w:ascii="Arial" w:hAnsi="Arial" w:eastAsia="Times New Roman" w:cs="Arial"/>
          <w:bCs/>
          <w:caps/>
          <w:sz w:val="18"/>
          <w:szCs w:val="18"/>
          <w:lang w:val="en-GB"/>
        </w:rPr>
      </w:pPr>
    </w:p>
    <w:p w14:paraId="2330F378">
      <w:pPr>
        <w:spacing w:after="0" w:line="240" w:lineRule="auto"/>
        <w:jc w:val="both"/>
        <w:rPr>
          <w:rFonts w:ascii="Arial" w:hAnsi="Arial" w:eastAsia="Times New Roman" w:cs="Arial"/>
          <w:b/>
          <w:caps/>
          <w:sz w:val="18"/>
          <w:szCs w:val="18"/>
          <w:lang w:val="en-GB"/>
        </w:rPr>
      </w:pPr>
      <w:r>
        <w:rPr>
          <w:rFonts w:ascii="Arial" w:hAnsi="Arial" w:eastAsia="Times New Roman" w:cs="Arial"/>
          <w:b/>
          <w:sz w:val="18"/>
          <w:szCs w:val="18"/>
          <w:lang w:val="en-GB"/>
        </w:rPr>
        <w:t>3.6 Overall Performance</w:t>
      </w:r>
    </w:p>
    <w:p w14:paraId="27F90C53">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Considering the results holistically on the Griffiths III, JJ’s scores fall within the extremely low range, and he has a developmental age equivalent of 54 months. This is 22 months below his current chronological age. JJ’s overall score suggests a Developmental Quotient of below 50, which places him below the first percentile and implies that his general development can be described as poorer than 99% of children aged 72 months (6 years). JJ’s consistently low performance across all five subscales can be reasonably assumed to indicate significant developmental delays and supports concerns about his behavioural and scholastic difficulties. </w:t>
      </w:r>
      <w:r>
        <w:rPr>
          <w:rFonts w:ascii="Arial" w:hAnsi="Arial" w:eastAsia="Times New Roman" w:cs="Arial"/>
          <w:bCs/>
          <w:caps/>
          <w:sz w:val="18"/>
          <w:szCs w:val="18"/>
          <w:lang w:val="en-GB"/>
        </w:rPr>
        <w:t> </w:t>
      </w:r>
    </w:p>
    <w:p w14:paraId="185A9BCE">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To analyse the patterns regarding JJ’s skill deficits on all subscales, coupled with the fact that only two subscales namely C and E were above the 50th percentile, the Griffiths III Quartile Charts were used to analyse item deficits on JJ’s subscale scores that fell below the 50</w:t>
      </w:r>
      <w:r>
        <w:rPr>
          <w:rFonts w:ascii="Arial" w:hAnsi="Arial" w:eastAsia="Times New Roman" w:cs="Arial"/>
          <w:bCs/>
          <w:sz w:val="18"/>
          <w:szCs w:val="18"/>
          <w:vertAlign w:val="superscript"/>
          <w:lang w:val="en-GB"/>
        </w:rPr>
        <w:t>th</w:t>
      </w:r>
      <w:r>
        <w:rPr>
          <w:rFonts w:ascii="Arial" w:hAnsi="Arial" w:eastAsia="Times New Roman" w:cs="Arial"/>
          <w:bCs/>
          <w:sz w:val="18"/>
          <w:szCs w:val="18"/>
          <w:lang w:val="en-GB"/>
        </w:rPr>
        <w:t xml:space="preserve"> percentile. In the quartile charts, each Griffiths III item has been placed within the year and subscale grouping according to that item’s level of difficulty, which was calculated for the standardisation sample of typically developing children. </w:t>
      </w:r>
      <w:r>
        <w:rPr>
          <w:rFonts w:ascii="Arial" w:hAnsi="Arial" w:eastAsia="Times New Roman" w:cs="Arial"/>
          <w:bCs/>
          <w:caps/>
          <w:sz w:val="18"/>
          <w:szCs w:val="18"/>
          <w:lang w:val="en-GB"/>
        </w:rPr>
        <w:t> </w:t>
      </w:r>
    </w:p>
    <w:p w14:paraId="6717E488">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It may be stated that for test items achieved with delay by the child, typically developing children in the Griffiths III standardisation sample achieved such test items in the 3-month period of the year demarcated.</w:t>
      </w:r>
      <w:r>
        <w:rPr>
          <w:rFonts w:ascii="Arial" w:hAnsi="Arial" w:eastAsia="Times New Roman" w:cs="Arial"/>
          <w:bCs/>
          <w:caps/>
          <w:sz w:val="18"/>
          <w:szCs w:val="18"/>
          <w:lang w:val="en-GB"/>
        </w:rPr>
        <w:t> </w:t>
      </w:r>
    </w:p>
    <w:p w14:paraId="1AA7262D">
      <w:pPr>
        <w:spacing w:after="0" w:line="240" w:lineRule="auto"/>
        <w:jc w:val="both"/>
        <w:rPr>
          <w:rFonts w:ascii="Arial" w:hAnsi="Arial" w:eastAsia="Times New Roman" w:cs="Arial"/>
          <w:bCs/>
          <w:caps/>
          <w:sz w:val="18"/>
          <w:szCs w:val="18"/>
          <w:lang w:val="en-GB"/>
        </w:rPr>
      </w:pPr>
      <w:r>
        <w:rPr>
          <w:rFonts w:ascii="Arial" w:hAnsi="Arial" w:eastAsia="Times New Roman" w:cs="Arial"/>
          <w:bCs/>
          <w:sz w:val="18"/>
          <w:szCs w:val="18"/>
          <w:lang w:val="en-GB"/>
        </w:rPr>
        <w:t>These charts can also be used to analyse the constructs that have not developed to personalise JJ’s educational support plan. An example of how such a chart can be utilized is illustrated in Figure 1. The circles in Figure 1 indicate the items and accompanying constructs of each subscale that JJ scored below the 50</w:t>
      </w:r>
      <w:r>
        <w:rPr>
          <w:rFonts w:ascii="Arial" w:hAnsi="Arial" w:eastAsia="Times New Roman" w:cs="Arial"/>
          <w:bCs/>
          <w:sz w:val="18"/>
          <w:szCs w:val="18"/>
          <w:vertAlign w:val="superscript"/>
          <w:lang w:val="en-GB"/>
        </w:rPr>
        <w:t>th</w:t>
      </w:r>
      <w:r>
        <w:rPr>
          <w:rFonts w:ascii="Arial" w:hAnsi="Arial" w:eastAsia="Times New Roman" w:cs="Arial"/>
          <w:bCs/>
          <w:sz w:val="18"/>
          <w:szCs w:val="18"/>
          <w:lang w:val="en-GB"/>
        </w:rPr>
        <w:t xml:space="preserve"> percentile, namely A, B and D</w:t>
      </w:r>
      <w:r>
        <w:rPr>
          <w:rFonts w:ascii="Arial" w:hAnsi="Arial" w:eastAsia="Times New Roman" w:cs="Arial"/>
          <w:bCs/>
          <w:caps/>
          <w:sz w:val="18"/>
          <w:szCs w:val="18"/>
          <w:lang w:val="en-GB"/>
        </w:rPr>
        <w:t>.  </w:t>
      </w:r>
    </w:p>
    <w:p w14:paraId="2C1B19BC">
      <w:pPr>
        <w:spacing w:after="12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One way to utilise the Quartile Charts is to examine the functional age across the five subscales. Another use of the charts is to analyse the constructs not achieved, and to use this information to assist with future educational planning.  </w:t>
      </w:r>
    </w:p>
    <w:p w14:paraId="61287D6C">
      <w:pPr>
        <w:spacing w:after="120" w:line="240" w:lineRule="auto"/>
        <w:jc w:val="both"/>
        <w:textAlignment w:val="baseline"/>
        <w:rPr>
          <w:rFonts w:ascii="Arial" w:hAnsi="Arial" w:eastAsia="Times New Roman" w:cs="Arial"/>
          <w:sz w:val="18"/>
          <w:szCs w:val="18"/>
          <w:lang w:eastAsia="en-GB"/>
        </w:rPr>
      </w:pPr>
    </w:p>
    <w:p w14:paraId="3871A19F">
      <w:pPr>
        <w:spacing w:after="120" w:line="240" w:lineRule="auto"/>
        <w:jc w:val="both"/>
        <w:textAlignment w:val="baseline"/>
        <w:rPr>
          <w:rFonts w:ascii="Arial" w:hAnsi="Arial" w:eastAsia="Times New Roman" w:cs="Arial"/>
          <w:sz w:val="18"/>
          <w:szCs w:val="18"/>
          <w:lang w:eastAsia="en-GB"/>
        </w:rPr>
      </w:pPr>
    </w:p>
    <w:p w14:paraId="3B4ABDDD">
      <w:pPr>
        <w:spacing w:after="120" w:line="240" w:lineRule="auto"/>
        <w:jc w:val="both"/>
        <w:textAlignment w:val="baseline"/>
        <w:rPr>
          <w:rFonts w:ascii="Arial" w:hAnsi="Arial" w:eastAsia="Times New Roman" w:cs="Arial"/>
          <w:sz w:val="18"/>
          <w:szCs w:val="18"/>
          <w:lang w:eastAsia="en-GB"/>
        </w:rPr>
      </w:pPr>
    </w:p>
    <w:p w14:paraId="08BE3D7A">
      <w:pPr>
        <w:spacing w:after="120" w:line="240" w:lineRule="auto"/>
        <w:jc w:val="both"/>
        <w:textAlignment w:val="baseline"/>
        <w:rPr>
          <w:rFonts w:ascii="Arial" w:hAnsi="Arial" w:eastAsia="Times New Roman" w:cs="Arial"/>
          <w:sz w:val="18"/>
          <w:szCs w:val="18"/>
          <w:lang w:eastAsia="en-GB"/>
        </w:rPr>
      </w:pPr>
    </w:p>
    <w:p w14:paraId="63462A12">
      <w:pPr>
        <w:spacing w:after="120" w:line="240" w:lineRule="auto"/>
        <w:jc w:val="both"/>
        <w:textAlignment w:val="baseline"/>
        <w:rPr>
          <w:rFonts w:ascii="Arial" w:hAnsi="Arial" w:eastAsia="Times New Roman" w:cs="Arial"/>
          <w:sz w:val="18"/>
          <w:szCs w:val="18"/>
          <w:lang w:eastAsia="en-GB"/>
        </w:rPr>
      </w:pPr>
    </w:p>
    <w:p w14:paraId="55E9D85B">
      <w:pPr>
        <w:spacing w:after="12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drawing>
          <wp:inline distT="0" distB="0" distL="0" distR="0">
            <wp:extent cx="5764530" cy="4078605"/>
            <wp:effectExtent l="0" t="0" r="0" b="0"/>
            <wp:docPr id="1965144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44994" name="Picture 1"/>
                    <pic:cNvPicPr>
                      <a:picLocks noChangeAspect="1"/>
                    </pic:cNvPicPr>
                  </pic:nvPicPr>
                  <pic:blipFill>
                    <a:blip r:embed="rId14"/>
                    <a:stretch>
                      <a:fillRect/>
                    </a:stretch>
                  </pic:blipFill>
                  <pic:spPr>
                    <a:xfrm>
                      <a:off x="0" y="0"/>
                      <a:ext cx="5764530" cy="4078605"/>
                    </a:xfrm>
                    <a:prstGeom prst="rect">
                      <a:avLst/>
                    </a:prstGeom>
                  </pic:spPr>
                </pic:pic>
              </a:graphicData>
            </a:graphic>
          </wp:inline>
        </w:drawing>
      </w:r>
    </w:p>
    <w:p w14:paraId="3CF29A5C">
      <w:pPr>
        <w:spacing w:after="0" w:line="240" w:lineRule="auto"/>
        <w:jc w:val="both"/>
        <w:textAlignment w:val="baseline"/>
        <w:rPr>
          <w:rFonts w:ascii="Arial" w:hAnsi="Arial" w:eastAsia="Times New Roman" w:cs="Arial"/>
          <w:sz w:val="18"/>
          <w:szCs w:val="18"/>
          <w:lang w:val="en-ZA" w:eastAsia="en-GB"/>
        </w:rPr>
      </w:pPr>
      <w:r>
        <w:rPr>
          <w:rFonts w:ascii="Arial" w:hAnsi="Arial" w:eastAsia="Times New Roman" w:cs="Arial"/>
          <w:sz w:val="18"/>
          <w:szCs w:val="18"/>
          <w:lang w:val="en-ZA" w:eastAsia="en-GB"/>
        </w:rPr>
        <w:t>Figure 1 Griffiths III Quartile Chart Year 4</w:t>
      </w:r>
    </w:p>
    <w:p w14:paraId="442AC2B5">
      <w:pPr>
        <w:spacing w:after="0" w:line="240" w:lineRule="auto"/>
        <w:jc w:val="both"/>
        <w:textAlignment w:val="baseline"/>
        <w:rPr>
          <w:rFonts w:ascii="Arial" w:hAnsi="Arial" w:eastAsia="Times New Roman" w:cs="Arial"/>
          <w:sz w:val="18"/>
          <w:szCs w:val="18"/>
          <w:lang w:val="en-ZA" w:eastAsia="en-GB"/>
        </w:rPr>
      </w:pPr>
      <w:r>
        <mc:AlternateContent>
          <mc:Choice Requires="wps">
            <w:drawing>
              <wp:anchor distT="0" distB="0" distL="114300" distR="114300" simplePos="0" relativeHeight="251660288" behindDoc="0" locked="0" layoutInCell="1" allowOverlap="1">
                <wp:simplePos x="0" y="0"/>
                <wp:positionH relativeFrom="column">
                  <wp:posOffset>202565</wp:posOffset>
                </wp:positionH>
                <wp:positionV relativeFrom="paragraph">
                  <wp:posOffset>120650</wp:posOffset>
                </wp:positionV>
                <wp:extent cx="142240" cy="150495"/>
                <wp:effectExtent l="0" t="0" r="0" b="0"/>
                <wp:wrapNone/>
                <wp:docPr id="3" name="Oval 11"/>
                <wp:cNvGraphicFramePr/>
                <a:graphic xmlns:a="http://schemas.openxmlformats.org/drawingml/2006/main">
                  <a:graphicData uri="http://schemas.microsoft.com/office/word/2010/wordprocessingShape">
                    <wps:wsp>
                      <wps:cNvSpPr/>
                      <wps:spPr>
                        <a:xfrm flipH="1" flipV="1">
                          <a:off x="0" y="0"/>
                          <a:ext cx="142240" cy="150495"/>
                        </a:xfrm>
                        <a:prstGeom prst="ellipse">
                          <a:avLst/>
                        </a:prstGeom>
                        <a:solidFill>
                          <a:srgbClr val="C0504D"/>
                        </a:solidFill>
                        <a:ln w="25400">
                          <a:noFill/>
                        </a:ln>
                      </wps:spPr>
                      <wps:bodyPr wrap="square" anchor="ctr" anchorCtr="0" upright="1"/>
                    </wps:wsp>
                  </a:graphicData>
                </a:graphic>
              </wp:anchor>
            </w:drawing>
          </mc:Choice>
          <mc:Fallback>
            <w:pict>
              <v:shape id="Oval 11" o:spid="_x0000_s1026" o:spt="3" type="#_x0000_t3" style="position:absolute;left:0pt;flip:x y;margin-left:15.95pt;margin-top:9.5pt;height:11.85pt;width:11.2pt;z-index:251660288;v-text-anchor:middle;mso-width-relative:margin;mso-height-relative:margin;" fillcolor="#C0504D"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">
                <v:fill on="t" focussize="0,0"/>
                <v:stroke on="f" weight="2pt"/>
                <v:imagedata o:title=""/>
                <o:lock v:ext="edit" aspectratio="f"/>
              </v:shape>
            </w:pict>
          </mc:Fallback>
        </mc:AlternateContent>
      </w:r>
    </w:p>
    <w:p w14:paraId="7C89F720">
      <w:pPr>
        <w:spacing w:after="0" w:line="240" w:lineRule="auto"/>
        <w:jc w:val="both"/>
        <w:textAlignment w:val="baseline"/>
        <w:rPr>
          <w:rFonts w:ascii="Arial" w:hAnsi="Arial" w:eastAsia="Times New Roman" w:cs="Arial"/>
          <w:sz w:val="18"/>
          <w:szCs w:val="18"/>
          <w:lang w:val="en-ZA" w:eastAsia="en-GB"/>
        </w:rPr>
      </w:pPr>
      <w:r>
        <w:rPr>
          <w:rFonts w:ascii="Arial" w:hAnsi="Arial" w:eastAsia="Times New Roman" w:cs="Arial"/>
          <w:sz w:val="18"/>
          <w:szCs w:val="18"/>
          <w:lang w:val="en-ZA" w:eastAsia="en-GB"/>
        </w:rPr>
        <w:t xml:space="preserve">             Item not passed.       </w:t>
      </w:r>
      <w:r>
        <w:rPr/>
        <w:sym w:font="Symbol" w:char="F0D6"/>
      </w:r>
      <w:r>
        <w:t xml:space="preserve">   </w:t>
      </w:r>
      <w:r>
        <w:rPr>
          <w:rFonts w:ascii="Arial" w:hAnsi="Arial" w:cs="Arial"/>
          <w:sz w:val="18"/>
          <w:szCs w:val="18"/>
        </w:rPr>
        <w:t>Item passed</w:t>
      </w:r>
      <w:r>
        <w:t>.</w:t>
      </w:r>
    </w:p>
    <w:p w14:paraId="4270F08A">
      <w:pPr>
        <w:spacing w:after="0" w:line="240" w:lineRule="auto"/>
        <w:jc w:val="both"/>
        <w:textAlignment w:val="baseline"/>
        <w:rPr>
          <w:rFonts w:ascii="Arial" w:hAnsi="Arial" w:eastAsia="Times New Roman" w:cs="Arial"/>
          <w:b/>
          <w:bCs/>
          <w:sz w:val="18"/>
          <w:szCs w:val="18"/>
          <w:lang w:val="en-ZA" w:eastAsia="en-GB"/>
        </w:rPr>
      </w:pPr>
    </w:p>
    <w:p w14:paraId="4BA96E4F">
      <w:pPr>
        <w:spacing w:after="0" w:line="240" w:lineRule="auto"/>
        <w:jc w:val="both"/>
        <w:textAlignment w:val="baseline"/>
        <w:rPr>
          <w:rFonts w:ascii="Arial" w:hAnsi="Arial" w:eastAsia="Times New Roman" w:cs="Arial"/>
          <w:b/>
          <w:bCs/>
          <w:sz w:val="18"/>
          <w:szCs w:val="18"/>
          <w:lang w:val="en-ZA" w:eastAsia="en-GB"/>
        </w:rPr>
      </w:pPr>
      <w:r>
        <w:rPr>
          <w:rFonts w:ascii="Arial" w:hAnsi="Arial" w:eastAsia="Times New Roman" w:cs="Arial"/>
          <w:b/>
          <w:bCs/>
          <w:sz w:val="18"/>
          <w:szCs w:val="18"/>
          <w:lang w:val="en-ZA" w:eastAsia="en-GB"/>
        </w:rPr>
        <w:t>3.7 Qualitative analysis</w:t>
      </w:r>
    </w:p>
    <w:p w14:paraId="23668941">
      <w:pPr>
        <w:spacing w:after="0" w:line="240" w:lineRule="auto"/>
        <w:jc w:val="both"/>
        <w:textAlignment w:val="baseline"/>
        <w:rPr>
          <w:rFonts w:ascii="Arial" w:hAnsi="Arial" w:eastAsia="Times New Roman" w:cs="Arial"/>
          <w:b/>
          <w:bCs/>
          <w:sz w:val="18"/>
          <w:szCs w:val="18"/>
          <w:lang w:eastAsia="en-GB"/>
        </w:rPr>
      </w:pPr>
      <w:r>
        <w:rPr>
          <w:rFonts w:ascii="Arial" w:hAnsi="Arial" w:eastAsia="Times New Roman" w:cs="Arial"/>
          <w:b/>
          <w:bCs/>
          <w:sz w:val="18"/>
          <w:szCs w:val="18"/>
          <w:lang w:eastAsia="en-GB"/>
        </w:rPr>
        <w:t>3.7.1 Foundations of Learning subscale</w:t>
      </w:r>
    </w:p>
    <w:p w14:paraId="7889DCB2">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When analysing the results qualitatively, it becomes evident that the constructs on Subscale A, namely, ‘Ways of Thinking’, ‘Verbal Memory’ and ‘Concentration’ are severely compromised. As the score of this subscale fell below the 50</w:t>
      </w:r>
      <w:r>
        <w:rPr>
          <w:rFonts w:ascii="Arial" w:hAnsi="Arial" w:eastAsia="Times New Roman" w:cs="Arial"/>
          <w:sz w:val="18"/>
          <w:szCs w:val="18"/>
          <w:vertAlign w:val="superscript"/>
          <w:lang w:val="en-ZA" w:eastAsia="en-GB"/>
        </w:rPr>
        <w:t>th</w:t>
      </w:r>
      <w:r>
        <w:rPr>
          <w:rFonts w:ascii="Arial" w:hAnsi="Arial" w:eastAsia="Times New Roman" w:cs="Arial"/>
          <w:sz w:val="18"/>
          <w:szCs w:val="18"/>
          <w:lang w:val="en-ZA" w:eastAsia="en-GB"/>
        </w:rPr>
        <w:t xml:space="preserve"> percentile, Figure 1 was used to evaluate the particular constructs that JJ was unable to achieve. In JJ’s case, it is evident that he has difficulties with arithmetical constructs requiring spatial concepts such as ‘big’ and ‘small’, as well as incidental memory items and items requiring concentration.</w:t>
      </w:r>
      <w:r>
        <w:rPr>
          <w:rFonts w:ascii="Arial" w:hAnsi="Arial" w:eastAsia="Times New Roman" w:cs="Arial"/>
          <w:sz w:val="18"/>
          <w:szCs w:val="18"/>
          <w:lang w:eastAsia="en-GB"/>
        </w:rPr>
        <w:t> </w:t>
      </w:r>
    </w:p>
    <w:p w14:paraId="6EC885F8">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b/>
          <w:bCs/>
          <w:sz w:val="18"/>
          <w:szCs w:val="18"/>
          <w:lang w:eastAsia="en-GB"/>
        </w:rPr>
        <w:t>3.7.2 Language and communication subscale</w:t>
      </w:r>
    </w:p>
    <w:p w14:paraId="0F249F92">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The scores obtained on Subscale B were the lowest when compared to the other domains. This subscale also falls below the 50</w:t>
      </w:r>
      <w:r>
        <w:rPr>
          <w:rFonts w:ascii="Arial" w:hAnsi="Arial" w:eastAsia="Times New Roman" w:cs="Arial"/>
          <w:sz w:val="18"/>
          <w:szCs w:val="18"/>
          <w:vertAlign w:val="superscript"/>
          <w:lang w:eastAsia="en-GB"/>
        </w:rPr>
        <w:t>th</w:t>
      </w:r>
      <w:r>
        <w:rPr>
          <w:rFonts w:ascii="Arial" w:hAnsi="Arial" w:eastAsia="Times New Roman" w:cs="Arial"/>
          <w:sz w:val="18"/>
          <w:szCs w:val="18"/>
          <w:lang w:eastAsia="en-GB"/>
        </w:rPr>
        <w:t xml:space="preserve"> percentile and, when consulting the Quartile Charts, communicative intent needs encouragement. JJ tends to speak only when spoken to and never engages in spontaneous interactive communication. His expressive language was limited to three-word spontaneous utterances. It was however obvious from his understanding of the instructions used during the assessment that his receptive vocabulary was greater than his expressive language. JJ was able to understand most of the instructions that indicate some receptive language abilities. He was also able to respond to concrete verbs such as “jump”, “throw”, and other “action-type” verbs, but he had problems with conceptual language concepts.  </w:t>
      </w:r>
    </w:p>
    <w:p w14:paraId="0B0A4E01">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The Quartile Charts indicate that constructs not achieved include concepts such as understanding similarities and differences as well as defining objects by use. The Quartile Charts indicate that 51-75% of typically developing children in year 4 can complete these items successfully, while JJ is 6 years and 4 months. He was also unable to understand positional words that 26-50% of typically functional children can. The percentages published on the chart are based on the percentage of typical children who passed the item.  </w:t>
      </w:r>
    </w:p>
    <w:p w14:paraId="2FE8BE72">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b/>
          <w:bCs/>
          <w:sz w:val="18"/>
          <w:szCs w:val="18"/>
          <w:lang w:eastAsia="en-GB"/>
        </w:rPr>
        <w:t>3.7.3 Hand and Eye co-ordination Subscale</w:t>
      </w:r>
      <w:r>
        <w:rPr>
          <w:rFonts w:ascii="Arial" w:hAnsi="Arial" w:eastAsia="Times New Roman" w:cs="Arial"/>
          <w:sz w:val="18"/>
          <w:szCs w:val="18"/>
          <w:lang w:eastAsia="en-GB"/>
        </w:rPr>
        <w:t xml:space="preserve"> </w:t>
      </w:r>
    </w:p>
    <w:p w14:paraId="255F250D">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Subscale C scores suggest that this domain is a strength as JJ obtained the highest score on this subscale.</w:t>
      </w:r>
      <w:r>
        <w:rPr>
          <w:rFonts w:ascii="Arial" w:hAnsi="Arial" w:eastAsia="Times New Roman" w:cs="Arial"/>
          <w:sz w:val="18"/>
          <w:szCs w:val="18"/>
          <w:lang w:val="en-ZA" w:eastAsia="en-GB"/>
        </w:rPr>
        <w:t xml:space="preserve"> </w:t>
      </w:r>
      <w:r>
        <w:rPr>
          <w:rFonts w:ascii="Arial" w:hAnsi="Arial" w:eastAsia="Times New Roman" w:cs="Arial"/>
          <w:sz w:val="18"/>
          <w:szCs w:val="18"/>
          <w:lang w:eastAsia="en-GB"/>
        </w:rPr>
        <w:t xml:space="preserve">JJ’s performance on this subscale falls in the borderline range and provides a developmental age equivalent of 57 months. His score suggests a Developmental Quotient of 80-81, which places him at the 11th percentile rank. This implies that 89% of children aged 6 years old would perform better than him on the Eye and Hand Coordination subscale. Taken in relation to the totality of his results, JJ’s Eye and Hand Coordination appear to be a relative strength. However, the execution of some of the items was different from the functioning of most children his age. JJ’s strength in this area lies within the fine-motor realm; concretely he was able to place the pegs on the board within the specified time. When analysing JJ’s functioning symbolically on this scale he was able to execute pencil and paper tasks but differently to what was asked of him. He could also produce a relatively detailed drawing of a person; however, he was unable to name the other figures drawn (i.e his siblings). Additionally, when completing a dot-to-dot diagram of a circle, JJ moved his pencil from one dot to another to complete the item in the answer booklet. </w:t>
      </w:r>
      <w:r>
        <w:rPr>
          <w:rFonts w:ascii="Arial" w:hAnsi="Arial" w:cs="Arial"/>
          <w:sz w:val="18"/>
          <w:szCs w:val="18"/>
        </w:rPr>
        <w:t xml:space="preserve">JJ cannot use scissors and has issues with bilateral coordination. </w:t>
      </w:r>
      <w:r>
        <w:rPr>
          <w:rFonts w:ascii="Arial" w:hAnsi="Arial" w:eastAsia="Times New Roman" w:cs="Arial"/>
          <w:sz w:val="18"/>
          <w:szCs w:val="18"/>
          <w:lang w:eastAsia="en-GB"/>
        </w:rPr>
        <w:t>  </w:t>
      </w:r>
    </w:p>
    <w:p w14:paraId="4E1D2F66">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The scores obtained on this subscale do not correlate with the DAP: IQ.  JJ’s drawing on the DAP: IQ produced an IQ equivalent of 95, which places him at the 37</w:t>
      </w:r>
      <w:r>
        <w:rPr>
          <w:rFonts w:ascii="Arial" w:hAnsi="Arial" w:eastAsia="Times New Roman" w:cs="Arial"/>
          <w:sz w:val="18"/>
          <w:szCs w:val="18"/>
          <w:vertAlign w:val="superscript"/>
          <w:lang w:eastAsia="en-GB"/>
        </w:rPr>
        <w:t>th</w:t>
      </w:r>
      <w:r>
        <w:rPr>
          <w:rFonts w:ascii="Arial" w:hAnsi="Arial" w:eastAsia="Times New Roman" w:cs="Arial"/>
          <w:sz w:val="18"/>
          <w:szCs w:val="18"/>
          <w:lang w:eastAsia="en-GB"/>
        </w:rPr>
        <w:t xml:space="preserve"> percentile. His performance can be qualitatively described as average. Most notably, his drawing suggests impulsivity, immaturity, poor integrative capacity, emotional instability, and aggressive acting out behaviour.  Since he scored above the 50</w:t>
      </w:r>
      <w:r>
        <w:rPr>
          <w:rFonts w:ascii="Arial" w:hAnsi="Arial" w:eastAsia="Times New Roman" w:cs="Arial"/>
          <w:sz w:val="18"/>
          <w:szCs w:val="18"/>
          <w:vertAlign w:val="superscript"/>
          <w:lang w:eastAsia="en-GB"/>
        </w:rPr>
        <w:t xml:space="preserve">th </w:t>
      </w:r>
      <w:r>
        <w:rPr>
          <w:rFonts w:ascii="Arial" w:hAnsi="Arial" w:eastAsia="Times New Roman" w:cs="Arial"/>
          <w:sz w:val="18"/>
          <w:szCs w:val="18"/>
          <w:lang w:eastAsia="en-GB"/>
        </w:rPr>
        <w:t>percentile on this subscale, the Quartile Charts were not needed to provide additional information. Qualitative information, such as JJ’s reluctance to interact with the playdough, is one of the observations that could be used to guide the development of an independent support programme in this area of functioning.  </w:t>
      </w:r>
    </w:p>
    <w:p w14:paraId="76D0DD42">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b/>
          <w:bCs/>
          <w:sz w:val="18"/>
          <w:szCs w:val="18"/>
          <w:lang w:eastAsia="en-GB"/>
        </w:rPr>
        <w:t>3.7.4</w:t>
      </w:r>
      <w:r>
        <w:rPr>
          <w:rFonts w:ascii="Arial" w:hAnsi="Arial" w:eastAsia="Times New Roman" w:cs="Arial"/>
          <w:sz w:val="18"/>
          <w:szCs w:val="18"/>
          <w:lang w:eastAsia="en-GB"/>
        </w:rPr>
        <w:t xml:space="preserve"> </w:t>
      </w:r>
      <w:r>
        <w:rPr>
          <w:rFonts w:ascii="Arial" w:hAnsi="Arial" w:eastAsia="Times New Roman" w:cs="Arial"/>
          <w:b/>
          <w:bCs/>
          <w:sz w:val="18"/>
          <w:szCs w:val="18"/>
          <w:lang w:eastAsia="en-GB"/>
        </w:rPr>
        <w:t>The Personal-Social- Emotional Subscale</w:t>
      </w:r>
    </w:p>
    <w:p w14:paraId="50B0476D">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Subscale D score was the second lowest and fell below the 50</w:t>
      </w:r>
      <w:r>
        <w:rPr>
          <w:rFonts w:ascii="Arial" w:hAnsi="Arial" w:eastAsia="Times New Roman" w:cs="Arial"/>
          <w:sz w:val="18"/>
          <w:szCs w:val="18"/>
          <w:vertAlign w:val="superscript"/>
          <w:lang w:eastAsia="en-GB"/>
        </w:rPr>
        <w:t>th</w:t>
      </w:r>
      <w:r>
        <w:rPr>
          <w:rFonts w:ascii="Arial" w:hAnsi="Arial" w:eastAsia="Times New Roman" w:cs="Arial"/>
          <w:sz w:val="18"/>
          <w:szCs w:val="18"/>
          <w:lang w:eastAsia="en-GB"/>
        </w:rPr>
        <w:t xml:space="preserve"> percentile. On a personal level JJ was able to respond to his name, knew his gender, is toilet trained and can partake in basic self-care tasks, However, he displays poor eye contact and did not refer to the words “I”, “me” and “mine” spontaneously. JJ’s parents confirmed this behaviour. One of the problems evidenced on this subscale was with JJ’s understanding of “perspective-taking” constructs. In Figure 1 the Quartile Chart indicates that 76-100% of typically developing children at age 4 can complete this item D4.1. On a social level JJ engages in parallel play, but he does not understand any type of rules needed for interactive play and socialisation. The construct that measures D4.4 ‘Shows Concern’ (2) was problematic; when resorting to the Quartile Charts to understand JJ’s functioning this indicates that 51-75% of typical developing children of 4 years of age pass this item. Emotionally, JJ has an inability to recognise and express thoughts and feelings about himself and others; consequentially he is unable to benefit from group learning that is interactive in nature. Moral reasoning constructs assessed on the measure remain problematic (see Figure 1, D4.7) and when the Quartile Charts are consulted, they indicate that this construct is achieved by 26-50% of 4-year-old typically functioning children. </w:t>
      </w:r>
    </w:p>
    <w:p w14:paraId="19A4B682">
      <w:pPr>
        <w:spacing w:after="0" w:line="240" w:lineRule="auto"/>
        <w:jc w:val="both"/>
        <w:textAlignment w:val="baseline"/>
        <w:rPr>
          <w:rFonts w:ascii="Arial" w:hAnsi="Arial" w:eastAsia="Times New Roman" w:cs="Arial"/>
          <w:b/>
          <w:bCs/>
          <w:sz w:val="18"/>
          <w:szCs w:val="18"/>
          <w:lang w:eastAsia="en-GB"/>
        </w:rPr>
      </w:pPr>
      <w:r>
        <w:rPr>
          <w:rFonts w:ascii="Arial" w:hAnsi="Arial" w:eastAsia="Times New Roman" w:cs="Arial"/>
          <w:b/>
          <w:bCs/>
          <w:sz w:val="18"/>
          <w:szCs w:val="18"/>
          <w:lang w:eastAsia="en-GB"/>
        </w:rPr>
        <w:t xml:space="preserve">3.7.5 Gross Motor Subscale </w:t>
      </w:r>
    </w:p>
    <w:p w14:paraId="15B1059B">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On Subscale E JJ was able to perform basic gross motor and visual-spatial coordination activities, such as throwing a tennis ball, kangaroo jumps and walking up and down stairs. However, JJ presented with difficulties with bilateral co-ordination and rhythm such as crossing feet when seated, sequential activities such as hop-jump-hop, basic balancing (walking forward on a tape), and marching to a rhythm dictated by a tambourine.  </w:t>
      </w:r>
    </w:p>
    <w:p w14:paraId="4330B917">
      <w:pPr>
        <w:spacing w:after="0" w:line="240" w:lineRule="auto"/>
        <w:jc w:val="both"/>
        <w:textAlignment w:val="baseline"/>
        <w:rPr>
          <w:rFonts w:ascii="Arial" w:hAnsi="Arial" w:eastAsia="Times New Roman" w:cs="Arial"/>
          <w:sz w:val="18"/>
          <w:szCs w:val="18"/>
          <w:lang w:eastAsia="en-GB"/>
        </w:rPr>
      </w:pPr>
    </w:p>
    <w:p w14:paraId="0ED2458F">
      <w:pPr>
        <w:spacing w:after="49" w:line="243" w:lineRule="auto"/>
        <w:ind w:left="-15" w:right="13"/>
        <w:jc w:val="both"/>
        <w:rPr>
          <w:rFonts w:ascii="Arial" w:hAnsi="Arial" w:eastAsia="Times New Roman" w:cs="Arial"/>
          <w:b/>
          <w:bCs/>
          <w:sz w:val="18"/>
          <w:szCs w:val="18"/>
          <w:lang w:eastAsia="en-GB"/>
        </w:rPr>
      </w:pPr>
      <w:r>
        <w:rPr>
          <w:rFonts w:ascii="Arial" w:hAnsi="Arial" w:eastAsia="Times New Roman" w:cs="Arial"/>
          <w:b/>
          <w:bCs/>
          <w:sz w:val="18"/>
          <w:szCs w:val="18"/>
          <w:lang w:eastAsia="en-GB"/>
        </w:rPr>
        <w:t>3.8 JJ’s current level of developmental functioning</w:t>
      </w:r>
    </w:p>
    <w:p w14:paraId="27AF9240">
      <w:pPr>
        <w:spacing w:after="49" w:line="243" w:lineRule="auto"/>
        <w:ind w:left="-15" w:right="13"/>
        <w:jc w:val="both"/>
        <w:rPr>
          <w:rFonts w:ascii="Arial" w:hAnsi="Arial" w:cs="Arial"/>
          <w:color w:val="323232"/>
          <w:sz w:val="18"/>
          <w:szCs w:val="18"/>
        </w:rPr>
      </w:pPr>
      <w:r>
        <w:rPr>
          <w:rFonts w:ascii="Arial" w:hAnsi="Arial" w:eastAsia="Times New Roman" w:cs="Arial"/>
          <w:sz w:val="18"/>
          <w:szCs w:val="18"/>
          <w:lang w:eastAsia="en-GB"/>
        </w:rPr>
        <w:t>The Griffiths Child Development Scales assessment indicates JJ’s current level of developmental functioning</w:t>
      </w:r>
      <w:r>
        <w:rPr>
          <w:rFonts w:ascii="Arial" w:hAnsi="Arial" w:eastAsia="Times New Roman" w:cs="Arial"/>
          <w:sz w:val="18"/>
          <w:szCs w:val="18"/>
          <w:lang w:val="en-ZA" w:eastAsia="en-GB"/>
        </w:rPr>
        <w:t xml:space="preserve"> and provides vital additional information to other forms of assessment, which can be used to expand his diagnosis. Previously, normed developmental measure scores have been of limited use when they fall below the 50</w:t>
      </w:r>
      <w:r>
        <w:rPr>
          <w:rFonts w:ascii="Arial" w:hAnsi="Arial" w:eastAsia="Times New Roman" w:cs="Arial"/>
          <w:sz w:val="18"/>
          <w:szCs w:val="18"/>
          <w:vertAlign w:val="superscript"/>
          <w:lang w:val="en-ZA" w:eastAsia="en-GB"/>
        </w:rPr>
        <w:t>th</w:t>
      </w:r>
      <w:r>
        <w:rPr>
          <w:rFonts w:ascii="Arial" w:hAnsi="Arial" w:eastAsia="Times New Roman" w:cs="Arial"/>
          <w:sz w:val="18"/>
          <w:szCs w:val="18"/>
          <w:lang w:val="en-ZA" w:eastAsia="en-GB"/>
        </w:rPr>
        <w:t xml:space="preserve"> percentile, and clinicians are challenged as to how to report findings in a manner that will enhance the learning process.</w:t>
      </w:r>
      <w:r>
        <w:rPr>
          <w:rFonts w:ascii="Arial" w:hAnsi="Arial" w:eastAsia="Times New Roman" w:cs="Arial"/>
          <w:sz w:val="18"/>
          <w:szCs w:val="18"/>
          <w:lang w:eastAsia="en-GB"/>
        </w:rPr>
        <w:t> </w:t>
      </w:r>
      <w:r>
        <w:rPr>
          <w:rFonts w:ascii="Arial" w:hAnsi="Arial" w:eastAsia="Arial" w:cs="Arial"/>
          <w:iCs/>
          <w:color w:val="323232"/>
          <w:sz w:val="18"/>
          <w:szCs w:val="18"/>
        </w:rPr>
        <w:t>Disaggregating data</w:t>
      </w:r>
      <w:r>
        <w:rPr>
          <w:rFonts w:ascii="Arial" w:hAnsi="Arial" w:cs="Arial"/>
          <w:color w:val="323232"/>
          <w:sz w:val="18"/>
          <w:szCs w:val="18"/>
        </w:rPr>
        <w:t xml:space="preserve"> is a critical step to gaining increased knowledge from collective or aggregated information. In a standardised test, data is aggregated to produce a statistical comparison with the standardisation sample. Developmental age uses aggregation with a mean value. Disaggregating data involves delving more deeply into a set of results to highlight issues that pertain to individual subsets of results. Qualitative and descriptive analysis are also ways to disaggregate test data Green &amp; Stroud (2022). </w:t>
      </w:r>
    </w:p>
    <w:p w14:paraId="4F76E9CB">
      <w:pPr>
        <w:pStyle w:val="67"/>
        <w:jc w:val="both"/>
        <w:rPr>
          <w:sz w:val="18"/>
          <w:szCs w:val="18"/>
        </w:rPr>
      </w:pPr>
      <w:r>
        <w:rPr>
          <w:sz w:val="18"/>
          <w:szCs w:val="18"/>
        </w:rPr>
        <w:t xml:space="preserve">Disaggregation of data has been shown to be effective in Aboriginal Health </w:t>
      </w:r>
      <w:r>
        <w:rPr>
          <w:color w:val="262626"/>
          <w:sz w:val="18"/>
          <w:szCs w:val="18"/>
        </w:rPr>
        <w:t xml:space="preserve">National Collaborating Centre for Aboriginal Health (2009), in mental health </w:t>
      </w:r>
      <w:r>
        <w:rPr>
          <w:sz w:val="18"/>
          <w:szCs w:val="18"/>
        </w:rPr>
        <w:t>National Center for Mental Health Promotion and Youth Violence Prevention National Center Brief (2012), during a Pandemic Avendano et al (2018), to display race when in smaller numbers in a group</w:t>
      </w:r>
      <w:r>
        <w:rPr>
          <w:rStyle w:val="72"/>
          <w:sz w:val="18"/>
          <w:szCs w:val="18"/>
        </w:rPr>
        <w:t xml:space="preserve"> Kocher et al</w:t>
      </w:r>
      <w:r>
        <w:rPr>
          <w:sz w:val="18"/>
          <w:szCs w:val="18"/>
        </w:rPr>
        <w:t xml:space="preserve">. (2021), Sharpe (2019), in cancer care Vo &amp; Shing (2022), </w:t>
      </w:r>
      <w:r>
        <w:rPr>
          <w:color w:val="323232"/>
          <w:sz w:val="18"/>
          <w:szCs w:val="18"/>
        </w:rPr>
        <w:t xml:space="preserve">and in Child Health </w:t>
      </w:r>
      <w:r>
        <w:rPr>
          <w:sz w:val="18"/>
          <w:szCs w:val="18"/>
        </w:rPr>
        <w:t>Devakumar et al (2023).</w:t>
      </w:r>
    </w:p>
    <w:p w14:paraId="1FF3E711">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With Griffiths III, individual test item scores may be used in a disaggregated manner enabling the tester to visualise the item and associated construct and whether that item was passed or failed on Year charts displaying the test items in a quartile distribution of item difficulty. A qualitative report using the Griffiths III item information can be produced to enhance information about a child’s development below the normed score of 50 DQ. Disaggregated data has been shown to display patterns hidden by the clumping together (aggregation).</w:t>
      </w:r>
    </w:p>
    <w:p w14:paraId="66114995">
      <w:pPr>
        <w:spacing w:after="0" w:line="240" w:lineRule="auto"/>
        <w:jc w:val="both"/>
        <w:textAlignment w:val="baseline"/>
        <w:rPr>
          <w:rFonts w:ascii="Arial" w:hAnsi="Arial" w:eastAsia="Times New Roman" w:cs="Arial"/>
          <w:sz w:val="18"/>
          <w:szCs w:val="18"/>
          <w:lang w:eastAsia="en-GB"/>
        </w:rPr>
      </w:pPr>
    </w:p>
    <w:p w14:paraId="10AA29BE">
      <w:pPr>
        <w:spacing w:after="0" w:line="240" w:lineRule="auto"/>
        <w:jc w:val="both"/>
        <w:textAlignment w:val="baseline"/>
        <w:rPr>
          <w:rFonts w:ascii="Arial" w:hAnsi="Arial" w:eastAsia="Times New Roman" w:cs="Arial"/>
          <w:b/>
          <w:bCs/>
          <w:sz w:val="18"/>
          <w:szCs w:val="18"/>
          <w:lang w:eastAsia="en-GB"/>
        </w:rPr>
      </w:pPr>
      <w:r>
        <w:rPr>
          <w:rFonts w:ascii="Arial" w:hAnsi="Arial" w:eastAsia="Times New Roman" w:cs="Arial"/>
          <w:b/>
          <w:bCs/>
          <w:sz w:val="18"/>
          <w:szCs w:val="18"/>
          <w:lang w:eastAsia="en-GB"/>
        </w:rPr>
        <w:t>3.9 ESSENCE theory</w:t>
      </w:r>
    </w:p>
    <w:p w14:paraId="4E0AC783">
      <w:pPr>
        <w:spacing w:after="0" w:line="240" w:lineRule="auto"/>
        <w:jc w:val="both"/>
        <w:textAlignment w:val="baseline"/>
        <w:rPr>
          <w:rFonts w:ascii="Times New Roman" w:hAnsi="Times New Roman" w:eastAsia="Times New Roman" w:cs="Times New Roman"/>
          <w:lang w:eastAsia="en-ZA"/>
        </w:rPr>
      </w:pPr>
      <w:r>
        <w:rPr>
          <w:rFonts w:ascii="Arial" w:hAnsi="Arial" w:eastAsia="Times New Roman" w:cs="Arial"/>
          <w:sz w:val="18"/>
          <w:szCs w:val="18"/>
          <w:lang w:eastAsia="en-ZA"/>
        </w:rPr>
        <w:t>JJ’s developmental history aligns closely with Gillberg’s ESSENCE theory, which emphasises the early onset and overlap of neurodevelopmental difficulties across multiple domains. From an early age, JJ displayed significant delays in reaching developmental milestones, particularly in communication, as well as marked challenges with emotional regulation and behavioural control. These early concerns span several functional areas like social interaction, mood stability, attention, and language reflecting the core principle that such symptoms rarely occur in isolation. The involvement of various professionals, including a paediatrician, speech therapist, audiologist, and psychologists, underscores the need for a broad, interdisciplinary approach to assessment and intervention, as advocated by the ESSENCE framework. The co-occurring features of possible ASD and ADHD in JJ further exemplify the theory’s focus on symptom overlap and diagnostic complexity in young children, reinforcing the importance of early, comprehensive evaluation to guide effective support</w:t>
      </w:r>
      <w:r>
        <w:rPr>
          <w:rFonts w:ascii="Times New Roman" w:hAnsi="Times New Roman" w:eastAsia="Times New Roman" w:cs="Times New Roman"/>
          <w:lang w:eastAsia="en-ZA"/>
        </w:rPr>
        <w:t>.</w:t>
      </w:r>
    </w:p>
    <w:p w14:paraId="0F1E4EC0">
      <w:pPr>
        <w:spacing w:after="0" w:line="240" w:lineRule="auto"/>
        <w:jc w:val="both"/>
        <w:textAlignment w:val="baseline"/>
        <w:rPr>
          <w:rFonts w:ascii="Times New Roman" w:hAnsi="Times New Roman" w:eastAsia="Times New Roman" w:cs="Times New Roman"/>
          <w:lang w:eastAsia="en-ZA"/>
        </w:rPr>
      </w:pPr>
    </w:p>
    <w:p w14:paraId="30069806">
      <w:pPr>
        <w:spacing w:after="0" w:line="240" w:lineRule="auto"/>
        <w:jc w:val="both"/>
        <w:textAlignment w:val="baseline"/>
        <w:rPr>
          <w:rFonts w:ascii="Arial" w:hAnsi="Arial" w:eastAsia="Times New Roman" w:cs="Arial"/>
          <w:b/>
          <w:bCs/>
          <w:sz w:val="18"/>
          <w:szCs w:val="18"/>
          <w:lang w:eastAsia="en-GB"/>
        </w:rPr>
      </w:pPr>
      <w:r>
        <w:rPr>
          <w:rFonts w:ascii="Arial" w:hAnsi="Arial" w:eastAsia="Times New Roman" w:cs="Arial"/>
          <w:b/>
          <w:bCs/>
          <w:sz w:val="18"/>
          <w:szCs w:val="18"/>
          <w:lang w:eastAsia="en-ZA"/>
        </w:rPr>
        <w:t>3.10 Depth to the assessment process</w:t>
      </w:r>
    </w:p>
    <w:p w14:paraId="33EC8124">
      <w:pPr>
        <w:pStyle w:val="19"/>
        <w:spacing w:line="240" w:lineRule="auto"/>
        <w:jc w:val="both"/>
        <w:rPr>
          <w:rFonts w:ascii="Arial" w:hAnsi="Arial" w:cs="Arial"/>
          <w:sz w:val="18"/>
          <w:szCs w:val="18"/>
        </w:rPr>
      </w:pPr>
      <w:r>
        <w:rPr>
          <w:rFonts w:ascii="Arial" w:hAnsi="Arial" w:cs="Arial"/>
          <w:sz w:val="18"/>
          <w:szCs w:val="18"/>
        </w:rPr>
        <w:t>Assessment using the Griffiths III added valuable depth to the diagnostic process, particularly in domains where normative scores fell at or below DQ 50. Evaluating children with multiple neurodevelopmental disorders presents challenges in early childhood, where scores alone may not reflect the full extent of the child’s needs. A thorough evaluation is essential when presenting behaviours impede typical development, as it supports the creation of tailored, individualised support plans. This study cautions against a narrow diagnostic lens and underscores the importance of ongoing, broad-based assessments for children presenting with complex or overlapping developmental concerns.</w:t>
      </w:r>
    </w:p>
    <w:p w14:paraId="4C70FB67">
      <w:pPr>
        <w:pStyle w:val="19"/>
        <w:spacing w:after="0" w:line="240" w:lineRule="auto"/>
        <w:jc w:val="both"/>
        <w:rPr>
          <w:rFonts w:ascii="Arial" w:hAnsi="Arial" w:cs="Arial"/>
          <w:b/>
          <w:bCs/>
          <w:sz w:val="18"/>
          <w:szCs w:val="18"/>
        </w:rPr>
      </w:pPr>
      <w:r>
        <w:rPr>
          <w:rFonts w:ascii="Arial" w:hAnsi="Arial" w:cs="Arial"/>
          <w:b/>
          <w:bCs/>
          <w:sz w:val="18"/>
          <w:szCs w:val="18"/>
        </w:rPr>
        <w:t xml:space="preserve">3.11 JJ meets the criteria for ASD </w:t>
      </w:r>
    </w:p>
    <w:p w14:paraId="31E171F9">
      <w:pPr>
        <w:pStyle w:val="19"/>
        <w:spacing w:after="0" w:line="240" w:lineRule="auto"/>
        <w:jc w:val="both"/>
        <w:rPr>
          <w:rFonts w:ascii="Arial" w:hAnsi="Arial" w:eastAsia="Times New Roman" w:cs="Arial"/>
          <w:sz w:val="18"/>
          <w:szCs w:val="18"/>
          <w:lang w:eastAsia="en-GB"/>
        </w:rPr>
      </w:pPr>
      <w:r>
        <w:rPr>
          <w:rFonts w:ascii="Arial" w:hAnsi="Arial" w:eastAsia="Times New Roman" w:cs="Arial"/>
          <w:sz w:val="18"/>
          <w:szCs w:val="18"/>
          <w:lang w:eastAsia="en-GB"/>
        </w:rPr>
        <w:t xml:space="preserve">As JJ meets the criteria for ASD, it is critical to understand the thinking patterns of young children with ASD. For the purposes of this article, </w:t>
      </w:r>
      <w:commentRangeStart w:id="3"/>
      <w:r>
        <w:rPr>
          <w:rFonts w:ascii="Arial" w:hAnsi="Arial" w:eastAsia="Times New Roman" w:cs="Arial"/>
          <w:sz w:val="18"/>
          <w:szCs w:val="18"/>
          <w:lang w:eastAsia="en-GB"/>
        </w:rPr>
        <w:t xml:space="preserve">Theory of Mind (ToM) </w:t>
      </w:r>
      <w:commentRangeEnd w:id="3"/>
      <w:r>
        <w:commentReference w:id="3"/>
      </w:r>
      <w:r>
        <w:rPr>
          <w:rFonts w:ascii="Arial" w:hAnsi="Arial" w:eastAsia="Times New Roman" w:cs="Arial"/>
          <w:sz w:val="18"/>
          <w:szCs w:val="18"/>
          <w:lang w:eastAsia="en-GB"/>
        </w:rPr>
        <w:t>is suggested as it best explains the present case study. This theory encapsulates the thinking of autistic children succinctly, and in a manner that details many of the thought processes of an autistic child, thus guiding tuition. </w:t>
      </w:r>
    </w:p>
    <w:p w14:paraId="3FBD0C41">
      <w:pPr>
        <w:pStyle w:val="19"/>
        <w:spacing w:after="0" w:line="240" w:lineRule="auto"/>
        <w:jc w:val="both"/>
        <w:rPr>
          <w:rFonts w:ascii="Arial" w:hAnsi="Arial" w:eastAsia="Times New Roman" w:cs="Arial"/>
          <w:b/>
          <w:bCs/>
          <w:sz w:val="18"/>
          <w:szCs w:val="18"/>
          <w:lang w:eastAsia="en-GB"/>
        </w:rPr>
      </w:pPr>
      <w:r>
        <w:rPr>
          <w:rFonts w:ascii="Arial" w:hAnsi="Arial" w:eastAsia="Times New Roman" w:cs="Arial"/>
          <w:b/>
          <w:bCs/>
          <w:sz w:val="18"/>
          <w:szCs w:val="18"/>
          <w:lang w:eastAsia="en-GB"/>
        </w:rPr>
        <w:t>Theory of Mind (ToM)</w:t>
      </w:r>
    </w:p>
    <w:p w14:paraId="358509C9">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According to Bogdashina (2005), ToM appears to occur spontaneously in childhood. However, children with autism have impairments of ToM and, in extreme cases, some autistic children may not have the concept of mind at all. ToM deficits affect daily social and academic life in an individual with ASD. However, according to Tager-Flusberg (2007) social communication impairments cannot be explained based on ToM impairment, although ToM is a crucial factor in the sociocognitive development of children. Baron-Cohen (2009) extended the ToM deficit hypothesis and suggested that sociocommunicative deficits in ASD derive from a delay in the development of the empathising system, whereas their intact abilities in systemising (the ability to construct and analyse systems) may explain the non-social aspects of ASD such as their repetitive behaviours and narrow interests.   </w:t>
      </w:r>
      <w:r>
        <w:rPr>
          <w:rFonts w:ascii="Arial" w:hAnsi="Arial" w:eastAsia="Times New Roman" w:cs="Arial"/>
          <w:sz w:val="18"/>
          <w:szCs w:val="18"/>
          <w:lang w:eastAsia="en-GB"/>
        </w:rPr>
        <w:t> </w:t>
      </w:r>
    </w:p>
    <w:p w14:paraId="3BDECFC3">
      <w:pPr>
        <w:spacing w:after="0" w:line="240" w:lineRule="auto"/>
        <w:jc w:val="both"/>
        <w:textAlignment w:val="baseline"/>
        <w:rPr>
          <w:rFonts w:ascii="Arial" w:hAnsi="Arial" w:eastAsia="Times New Roman" w:cs="Arial"/>
          <w:b/>
          <w:bCs/>
          <w:sz w:val="18"/>
          <w:szCs w:val="18"/>
          <w:lang w:val="en-ZA" w:eastAsia="en-GB"/>
        </w:rPr>
      </w:pPr>
      <w:r>
        <w:rPr>
          <w:rFonts w:ascii="Arial" w:hAnsi="Arial" w:eastAsia="Times New Roman" w:cs="Arial"/>
          <w:b/>
          <w:bCs/>
          <w:sz w:val="18"/>
          <w:szCs w:val="18"/>
          <w:lang w:val="en-ZA" w:eastAsia="en-GB"/>
        </w:rPr>
        <w:t>ToM series of 10 skills</w:t>
      </w:r>
    </w:p>
    <w:p w14:paraId="4BD54726">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Hartly and Branthwalte (2000) state that ToM does not refer to one specific skill but relates to a series of unfolding level of ten skills. These skills are: (1) the appearance-reality distinction, (2) first-order false belief tests, (3) “seeing leads to knowing”, (4) recognising mental state words, (6) spontaneous pretend play, (7) understanding causes of emotions, (8) inferring from gaze direction, (9) deception, and lastly (10) second-order false beliefs. These skills will be briefly discussed using the results obtained from JJ’s assessment. </w:t>
      </w:r>
      <w:r>
        <w:rPr>
          <w:rFonts w:ascii="Arial" w:hAnsi="Arial" w:eastAsia="Times New Roman" w:cs="Arial"/>
          <w:sz w:val="18"/>
          <w:szCs w:val="18"/>
          <w:lang w:eastAsia="en-GB"/>
        </w:rPr>
        <w:t> </w:t>
      </w:r>
    </w:p>
    <w:p w14:paraId="5017628F">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i/>
          <w:iCs/>
          <w:sz w:val="18"/>
          <w:szCs w:val="18"/>
          <w:lang w:val="en-ZA" w:eastAsia="en-GB"/>
        </w:rPr>
        <w:t>The appearance-reality distinction</w:t>
      </w:r>
      <w:r>
        <w:rPr>
          <w:rFonts w:ascii="Arial" w:hAnsi="Arial" w:eastAsia="Times New Roman" w:cs="Arial"/>
          <w:sz w:val="18"/>
          <w:szCs w:val="18"/>
          <w:lang w:val="en-ZA" w:eastAsia="en-GB"/>
        </w:rPr>
        <w:t xml:space="preserve"> is one of the unfolding skills described in ToM. From about the age of 4 years old, typically developing children can distinguish between appearance and reality. This can be understood as talking about objects that may have misleading identities (Hartly &amp; Branthwalte, 2000). For example, a child is presented with an object that is different from its original appearance such as a sponge looking like a rock (Hamilton, Hoogenhout &amp; Malcom-Smith, 2016). Children with autism generally do not capture this dual identity; instead, they indicate the object is really a sponge or a rock (Hartly &amp; Branthwalte, 2000). This was the case with JJ, who was unable to understand “Ways of Thinking” constructs on the Griffiths III and this, combined with limited language abilities, precluded him from understanding conceptual aspects of thinking. </w:t>
      </w:r>
      <w:r>
        <w:rPr>
          <w:rFonts w:ascii="Arial" w:hAnsi="Arial" w:eastAsia="Times New Roman" w:cs="Arial"/>
          <w:sz w:val="18"/>
          <w:szCs w:val="18"/>
          <w:lang w:eastAsia="en-GB"/>
        </w:rPr>
        <w:t> </w:t>
      </w:r>
    </w:p>
    <w:p w14:paraId="2C2CD50D">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 xml:space="preserve">Another skill is that of </w:t>
      </w:r>
      <w:r>
        <w:rPr>
          <w:rFonts w:ascii="Arial" w:hAnsi="Arial" w:eastAsia="Times New Roman" w:cs="Arial"/>
          <w:i/>
          <w:iCs/>
          <w:sz w:val="18"/>
          <w:szCs w:val="18"/>
          <w:lang w:val="en-ZA" w:eastAsia="en-GB"/>
        </w:rPr>
        <w:t>First-order false belief</w:t>
      </w:r>
      <w:r>
        <w:rPr>
          <w:rFonts w:ascii="Arial" w:hAnsi="Arial" w:eastAsia="Times New Roman" w:cs="Arial"/>
          <w:sz w:val="18"/>
          <w:szCs w:val="18"/>
          <w:lang w:val="en-ZA" w:eastAsia="en-GB"/>
        </w:rPr>
        <w:t xml:space="preserve"> which is a hallmark task coined by Baron-Cohen, Leslie and Frith (1985). It requires a child to distinguish between the world as it really is and the way it may be represented (incorrectly) in the mind of another. This task measures a child’s understanding of the fact that people can have different thoughts about the same situation. Children with ASD have difficulty in shifting their perspectives to what other people might be thinking. A minority of ASD children do pass first-order false belief tests (Hartly &amp; Branthwalte, 2000). However, individuals who have better language skills are more likely to succeed at this task. JJ currently uses three-word utterances mainly to express his biological needs and is unable to understand or use conceptual language concepts. </w:t>
      </w:r>
      <w:r>
        <w:rPr>
          <w:rFonts w:ascii="Arial" w:hAnsi="Arial" w:eastAsia="Times New Roman" w:cs="Arial"/>
          <w:sz w:val="18"/>
          <w:szCs w:val="18"/>
          <w:lang w:eastAsia="en-GB"/>
        </w:rPr>
        <w:t> </w:t>
      </w:r>
    </w:p>
    <w:p w14:paraId="688E71D9">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Various studies have found causal relationships between language and ToM development, (Astington &amp; Jenkins, 1999; Steele, Joseph &amp; Tager-Flusberg, 2003). ASD children can often pass false-belief tasks, but their success is dependent on their language skills; yet even the majority of ASD children are unable to act spontaneously according to that knowledge (Senju, 2012). Studies have also shown causal relationships between executive functions and ToM in both typical and atypical children (Pellicano, 2010). It is thus unsurprising that children with ASD, who have difficulties in executive function and cognitive shifting, also show difficulties in predicting false beliefs. Peterson, Garnett, Kelly and Attwood (2009) found that ASD children who passed the false-belief tasks exhibited fewer everyday social and conversational difficulties. JJ was unable to pass both first and second order false belief tests on the Griffiths III indicating limited thoughts about similar situations. </w:t>
      </w:r>
      <w:r>
        <w:rPr>
          <w:rFonts w:ascii="Arial" w:hAnsi="Arial" w:eastAsia="Times New Roman" w:cs="Arial"/>
          <w:sz w:val="18"/>
          <w:szCs w:val="18"/>
          <w:lang w:eastAsia="en-GB"/>
        </w:rPr>
        <w:t> </w:t>
      </w:r>
    </w:p>
    <w:p w14:paraId="54B7A510">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i/>
          <w:iCs/>
          <w:sz w:val="18"/>
          <w:szCs w:val="18"/>
          <w:lang w:val="en-ZA" w:eastAsia="en-GB"/>
        </w:rPr>
        <w:t>Seeing leads to knowing</w:t>
      </w:r>
      <w:r>
        <w:rPr>
          <w:rFonts w:ascii="Arial" w:hAnsi="Arial" w:eastAsia="Times New Roman" w:cs="Arial"/>
          <w:sz w:val="18"/>
          <w:szCs w:val="18"/>
          <w:lang w:val="en-ZA" w:eastAsia="en-GB"/>
        </w:rPr>
        <w:t xml:space="preserve"> is an understanding of where knowledge comes from in order for children to work out who knows what and who does now know and is the foundation of the false belief tests.</w:t>
      </w:r>
      <w:r>
        <w:rPr>
          <w:rFonts w:ascii="Arial" w:hAnsi="Arial" w:eastAsia="Times New Roman" w:cs="Arial"/>
          <w:b/>
          <w:bCs/>
          <w:sz w:val="18"/>
          <w:szCs w:val="18"/>
          <w:lang w:val="en-ZA" w:eastAsia="en-GB"/>
        </w:rPr>
        <w:t xml:space="preserve"> </w:t>
      </w:r>
      <w:r>
        <w:rPr>
          <w:rFonts w:ascii="Arial" w:hAnsi="Arial" w:eastAsia="Times New Roman" w:cs="Arial"/>
          <w:sz w:val="18"/>
          <w:szCs w:val="18"/>
          <w:lang w:val="en-ZA" w:eastAsia="en-GB"/>
        </w:rPr>
        <w:t>This reinforces appropriate communication such as telling people what they do not know. For example, in a story of two characters, whereby one looks into a box and another touches a box, children can work out that it is only the one that looked in the box who knows what is in the box, but children with autism perform mainly at chance on this test (Hartly &amp; Branthwalte, 2000). JJ’s thought processes indicate that he cannot predict future actions from prior knowledge, therefore he is unable to generalise knowledge learned.  The item assessing this concept indicates that JJ also failed the perspective taking test D5.3 in Subscale D of the Griffiths Scales.</w:t>
      </w:r>
      <w:r>
        <w:rPr>
          <w:rFonts w:ascii="Arial" w:hAnsi="Arial" w:eastAsia="Times New Roman" w:cs="Arial"/>
          <w:sz w:val="18"/>
          <w:szCs w:val="18"/>
          <w:lang w:eastAsia="en-GB"/>
        </w:rPr>
        <w:t> </w:t>
      </w:r>
    </w:p>
    <w:p w14:paraId="24443214">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 xml:space="preserve"> Another emerging skill necessary to develop a normal ToM is </w:t>
      </w:r>
      <w:r>
        <w:rPr>
          <w:rFonts w:ascii="Arial" w:hAnsi="Arial" w:eastAsia="Times New Roman" w:cs="Arial"/>
          <w:i/>
          <w:iCs/>
          <w:sz w:val="18"/>
          <w:szCs w:val="18"/>
          <w:lang w:val="en-ZA" w:eastAsia="en-GB"/>
        </w:rPr>
        <w:t>recognising mental state words</w:t>
      </w:r>
      <w:r>
        <w:rPr>
          <w:rFonts w:ascii="Arial" w:hAnsi="Arial" w:eastAsia="Times New Roman" w:cs="Arial"/>
          <w:sz w:val="18"/>
          <w:szCs w:val="18"/>
          <w:lang w:val="en-ZA" w:eastAsia="en-GB"/>
        </w:rPr>
        <w:t xml:space="preserve"> such as think, know, dream, pretend, imagine and wish. These are easily distinguishable from other non-mental verbs such as jump, eat or move. JJ was able to understand concrete verbs such as jump and kick both receptively and expressively. Thus, he was able to follow the instructions on Subscale E. However, he had no comprehension of conceptual verbs such as wishing and thinking. He also did not understand rules for social interaction resulting in limited interactive play with others. </w:t>
      </w:r>
      <w:r>
        <w:rPr>
          <w:rFonts w:ascii="Arial" w:hAnsi="Arial" w:eastAsia="Times New Roman" w:cs="Arial"/>
          <w:sz w:val="18"/>
          <w:szCs w:val="18"/>
          <w:lang w:eastAsia="en-GB"/>
        </w:rPr>
        <w:t> </w:t>
      </w:r>
    </w:p>
    <w:p w14:paraId="6741E5E1">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i/>
          <w:iCs/>
          <w:sz w:val="18"/>
          <w:szCs w:val="18"/>
          <w:lang w:val="en-ZA" w:eastAsia="en-GB"/>
        </w:rPr>
        <w:t>Spontaneous pretend</w:t>
      </w:r>
      <w:r>
        <w:rPr>
          <w:rFonts w:ascii="Arial" w:hAnsi="Arial" w:eastAsia="Times New Roman" w:cs="Arial"/>
          <w:sz w:val="18"/>
          <w:szCs w:val="18"/>
          <w:lang w:val="en-ZA" w:eastAsia="en-GB"/>
        </w:rPr>
        <w:t xml:space="preserve"> </w:t>
      </w:r>
      <w:r>
        <w:rPr>
          <w:rFonts w:ascii="Arial" w:hAnsi="Arial" w:eastAsia="Times New Roman" w:cs="Arial"/>
          <w:i/>
          <w:iCs/>
          <w:sz w:val="18"/>
          <w:szCs w:val="18"/>
          <w:lang w:val="en-ZA" w:eastAsia="en-GB"/>
        </w:rPr>
        <w:t>play</w:t>
      </w:r>
      <w:r>
        <w:rPr>
          <w:rFonts w:ascii="Arial" w:hAnsi="Arial" w:eastAsia="Times New Roman" w:cs="Arial"/>
          <w:sz w:val="18"/>
          <w:szCs w:val="18"/>
          <w:lang w:val="en-ZA" w:eastAsia="en-GB"/>
        </w:rPr>
        <w:t xml:space="preserve"> is another unfolding skill necessary for healthy development. Symbolic play is relevant because it requires children to decouple the primary representation of an object from its pretend representation. For example, a banana cannot be a banana if one pretends it’s a telephone (Leslie, 1987). Children with ASD have such marked impairments in symbolic and pretend play that these deficits become part of the diagnostic criteria for autistic disorders in the </w:t>
      </w:r>
      <w:r>
        <w:rPr>
          <w:rFonts w:ascii="Arial" w:hAnsi="Arial" w:eastAsia="Times New Roman" w:cs="Arial"/>
          <w:i/>
          <w:iCs/>
          <w:sz w:val="18"/>
          <w:szCs w:val="18"/>
          <w:lang w:val="en-ZA" w:eastAsia="en-GB"/>
        </w:rPr>
        <w:t xml:space="preserve">Diagnostic and Statistical Manual of Mental Disorders, Fourth Edition </w:t>
      </w:r>
      <w:r>
        <w:rPr>
          <w:rFonts w:ascii="Arial" w:hAnsi="Arial" w:eastAsia="Times New Roman" w:cs="Arial"/>
          <w:sz w:val="18"/>
          <w:szCs w:val="18"/>
          <w:lang w:val="en-ZA" w:eastAsia="en-GB"/>
        </w:rPr>
        <w:t>(American Psychiatric Association, 1994), and these criteria remained in the next edition. Lam and Yueng (2011) found that the symbolic play of a small group of pre-schoolers with ASD had difficulty mentalising others’ perspectives and this was the root of their difficulties in pretend and symbolic play. There is thus a low rate of both interactive and fantasy play in children with autism. This might be because children with autism fail to reflect their own imagination (Hartly &amp; Branthwalte, 2000). </w:t>
      </w:r>
      <w:r>
        <w:rPr>
          <w:rFonts w:ascii="Arial" w:hAnsi="Arial" w:eastAsia="Times New Roman" w:cs="Arial"/>
          <w:sz w:val="18"/>
          <w:szCs w:val="18"/>
          <w:lang w:eastAsia="en-GB"/>
        </w:rPr>
        <w:t> </w:t>
      </w:r>
    </w:p>
    <w:p w14:paraId="661CE6EA">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JJ’s parents report that he tends to isolate himself in his room and that he resorts to pencil and paper drawing tasks rather than fantasy play. He also displays limited reciprocity during play, preferring to engage in senseless games such as banging a hammer on the ground until the activity is stopped by another person. Dangerous behaviours such as jumping on moving vehicles are also evident.</w:t>
      </w:r>
      <w:r>
        <w:rPr>
          <w:rFonts w:ascii="Arial" w:hAnsi="Arial" w:eastAsia="Times New Roman" w:cs="Arial"/>
          <w:sz w:val="18"/>
          <w:szCs w:val="18"/>
          <w:lang w:eastAsia="en-GB"/>
        </w:rPr>
        <w:t> </w:t>
      </w:r>
    </w:p>
    <w:p w14:paraId="7DD39AB6">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i/>
          <w:iCs/>
          <w:sz w:val="18"/>
          <w:szCs w:val="18"/>
          <w:lang w:val="en-ZA" w:eastAsia="en-GB"/>
        </w:rPr>
        <w:t>Understanding causes of emotions</w:t>
      </w:r>
      <w:r>
        <w:rPr>
          <w:rFonts w:ascii="Arial" w:hAnsi="Arial" w:eastAsia="Times New Roman" w:cs="Arial"/>
          <w:sz w:val="18"/>
          <w:szCs w:val="18"/>
          <w:lang w:val="en-ZA" w:eastAsia="en-GB"/>
        </w:rPr>
        <w:t xml:space="preserve"> refers to the fact that emotions can be caused by physical events such as falling and then crying or that it can refer to mental states such as one’s desires. Children with autism have difficulty in understanding the causes of emotions (Hartly &amp; Branthwalte, 2000). The CARS2 indicates that JJ is relatively withdrawn, has flat affect, and has difficulty controlling his intense anger and frustration. He was unable to regulate emotional experiences, and</w:t>
      </w:r>
      <w:r>
        <w:rPr>
          <w:rFonts w:ascii="Arial" w:hAnsi="Arial" w:eastAsia="Times New Roman" w:cs="Arial"/>
          <w:color w:val="1C1D1E"/>
          <w:sz w:val="18"/>
          <w:szCs w:val="18"/>
          <w:shd w:val="clear" w:color="auto" w:fill="FFFFFF"/>
          <w:lang w:val="en-ZA" w:eastAsia="en-GB"/>
        </w:rPr>
        <w:t xml:space="preserve"> he lacked an understanding of emotional expression, emotional understanding and moral reasoning (see these items on the quartile chart, D4.1; D4.4; D4.7.)</w:t>
      </w:r>
      <w:r>
        <w:rPr>
          <w:rFonts w:ascii="Arial" w:hAnsi="Arial" w:eastAsia="Times New Roman" w:cs="Arial"/>
          <w:color w:val="1C1D1E"/>
          <w:sz w:val="18"/>
          <w:szCs w:val="18"/>
          <w:lang w:eastAsia="en-GB"/>
        </w:rPr>
        <w:t> </w:t>
      </w:r>
    </w:p>
    <w:p w14:paraId="39E3340D">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i/>
          <w:iCs/>
          <w:sz w:val="18"/>
          <w:szCs w:val="18"/>
          <w:lang w:val="en-ZA" w:eastAsia="en-GB"/>
        </w:rPr>
        <w:t>Inferring from gaze direction</w:t>
      </w:r>
      <w:r>
        <w:rPr>
          <w:rFonts w:ascii="Arial" w:hAnsi="Arial" w:eastAsia="Times New Roman" w:cs="Arial"/>
          <w:sz w:val="18"/>
          <w:szCs w:val="18"/>
          <w:lang w:val="en-ZA" w:eastAsia="en-GB"/>
        </w:rPr>
        <w:t xml:space="preserve"> is another unfolding skill.</w:t>
      </w:r>
      <w:r>
        <w:rPr>
          <w:rFonts w:ascii="Arial" w:hAnsi="Arial" w:eastAsia="Times New Roman" w:cs="Arial"/>
          <w:b/>
          <w:bCs/>
          <w:sz w:val="18"/>
          <w:szCs w:val="18"/>
          <w:lang w:val="en-ZA" w:eastAsia="en-GB"/>
        </w:rPr>
        <w:t xml:space="preserve"> </w:t>
      </w:r>
      <w:r>
        <w:rPr>
          <w:rFonts w:ascii="Arial" w:hAnsi="Arial" w:eastAsia="Times New Roman" w:cs="Arial"/>
          <w:sz w:val="18"/>
          <w:szCs w:val="18"/>
          <w:lang w:val="en-ZA" w:eastAsia="en-GB"/>
        </w:rPr>
        <w:t>Typically developing children can understand when someone is thinking about something else such as a gaze directed upwards or away. In contrast, children with autism are relatively blind to such information. Eye gaze is a salient social cue that plays an important role in social interaction and communication, Gaze perception activates a network of brain regions including the posterior temporal sulcus and amygdala, which are central to the biological motion and social cognition (Baron-Cohen 1985). Gaze activates communicative intent. JJ did not make eye contact directly during any part of the assessment and he had a habit of looking at things from an angle or from the corner of his eye. He was unable to read non-verbal gestures, and he mainly interacted in his own world. The items in the Griffiths III relating to eye gaze are in Year one so were not tested during JJ’s assessment.</w:t>
      </w:r>
      <w:r>
        <w:rPr>
          <w:rFonts w:ascii="Arial" w:hAnsi="Arial" w:eastAsia="Times New Roman" w:cs="Arial"/>
          <w:sz w:val="18"/>
          <w:szCs w:val="18"/>
          <w:lang w:eastAsia="en-GB"/>
        </w:rPr>
        <w:t> </w:t>
      </w:r>
    </w:p>
    <w:p w14:paraId="5C509AFB">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b/>
          <w:bCs/>
          <w:sz w:val="18"/>
          <w:szCs w:val="18"/>
          <w:lang w:val="en-ZA" w:eastAsia="en-GB"/>
        </w:rPr>
        <w:t> </w:t>
      </w:r>
      <w:r>
        <w:rPr>
          <w:rFonts w:ascii="Arial" w:hAnsi="Arial" w:eastAsia="Times New Roman" w:cs="Arial"/>
          <w:i/>
          <w:iCs/>
          <w:sz w:val="18"/>
          <w:szCs w:val="18"/>
          <w:lang w:val="en-ZA" w:eastAsia="en-GB"/>
        </w:rPr>
        <w:t>Decepti</w:t>
      </w:r>
      <w:r>
        <w:rPr>
          <w:rFonts w:ascii="Arial" w:hAnsi="Arial" w:eastAsia="Times New Roman" w:cs="Arial"/>
          <w:sz w:val="18"/>
          <w:szCs w:val="18"/>
          <w:lang w:val="en-ZA" w:eastAsia="en-GB"/>
        </w:rPr>
        <w:t xml:space="preserve">on is a further sociocognitive milestone and is the ability to deceive and lie actively, as a distinct ability from recognising lies (Baron-Cohen 2002). What happens regarding this ability in ASD is that one intentionally instils a false belief in the minds of others and this is considered an important manifestation of ToM (Li, Kelly, Evans &amp; Lee, 2011) Studies have examined this task in the context of competition and found that ASD children show difficulty in deceiving. Deception can be explained as trying to make someone believe that something is true, when in fact it is false. </w:t>
      </w:r>
      <w:r>
        <w:rPr>
          <w:rFonts w:ascii="Arial" w:hAnsi="Arial" w:eastAsia="Times New Roman" w:cs="Arial"/>
          <w:color w:val="1C1D1E"/>
          <w:sz w:val="18"/>
          <w:szCs w:val="18"/>
          <w:shd w:val="clear" w:color="auto" w:fill="FFFFFF"/>
          <w:lang w:val="en-ZA" w:eastAsia="en-GB"/>
        </w:rPr>
        <w:t>Information provided by the CARS2 and Subscale D of the Griffiths III substantiate this aspect. JJ was unable to understand the moral reasoning constructs in the test battery. The results on the CARS-2 indicate that JJ’s social emotional understanding is moderately impaired when relating to people. Both JJ’s verbal and non-verbal communication are severely impaired, thus further limiting his understanding of deception.</w:t>
      </w:r>
      <w:r>
        <w:rPr>
          <w:rFonts w:ascii="Arial" w:hAnsi="Arial" w:eastAsia="Times New Roman" w:cs="Arial"/>
          <w:sz w:val="18"/>
          <w:szCs w:val="18"/>
          <w:lang w:val="en-ZA" w:eastAsia="en-GB"/>
        </w:rPr>
        <w:t> </w:t>
      </w:r>
      <w:r>
        <w:rPr>
          <w:rFonts w:ascii="Arial" w:hAnsi="Arial" w:eastAsia="Times New Roman" w:cs="Arial"/>
          <w:sz w:val="18"/>
          <w:szCs w:val="18"/>
          <w:lang w:eastAsia="en-GB"/>
        </w:rPr>
        <w:t> </w:t>
      </w:r>
    </w:p>
    <w:p w14:paraId="1B567B3C">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i/>
          <w:iCs/>
          <w:sz w:val="18"/>
          <w:szCs w:val="18"/>
          <w:lang w:val="en-ZA" w:eastAsia="en-GB"/>
        </w:rPr>
        <w:t>Second-order false belief skills</w:t>
      </w:r>
      <w:r>
        <w:rPr>
          <w:rFonts w:ascii="Arial" w:hAnsi="Arial" w:eastAsia="Times New Roman" w:cs="Arial"/>
          <w:sz w:val="18"/>
          <w:szCs w:val="18"/>
          <w:lang w:val="en-ZA" w:eastAsia="en-GB"/>
        </w:rPr>
        <w:t xml:space="preserve"> forms part of ToM and involves considering embedded mental states such as one person’s thoughts about another person’s thoughts. Children with autism tend to fail second-order false belief tests, but those who pass these tests still display social and communication impairments (Hartly &amp; Branthwalte, 2000). JJ’s limited language, together with his way of thinking, precluded him from understanding this concept resulting in an inability to complete this item. </w:t>
      </w:r>
      <w:r>
        <w:rPr>
          <w:rFonts w:ascii="Arial" w:hAnsi="Arial" w:eastAsia="Times New Roman" w:cs="Arial"/>
          <w:sz w:val="18"/>
          <w:szCs w:val="18"/>
          <w:lang w:eastAsia="en-GB"/>
        </w:rPr>
        <w:t> </w:t>
      </w:r>
    </w:p>
    <w:p w14:paraId="5FC25D6C">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i/>
          <w:iCs/>
          <w:color w:val="1C1D1E"/>
          <w:sz w:val="18"/>
          <w:szCs w:val="18"/>
          <w:shd w:val="clear" w:color="auto" w:fill="FFFFFF"/>
          <w:lang w:val="en-ZA" w:eastAsia="en-GB"/>
        </w:rPr>
        <w:t>ToM interventions:</w:t>
      </w:r>
      <w:r>
        <w:rPr>
          <w:rFonts w:ascii="Arial" w:hAnsi="Arial" w:eastAsia="Times New Roman" w:cs="Arial"/>
          <w:color w:val="1C1D1E"/>
          <w:sz w:val="18"/>
          <w:szCs w:val="18"/>
          <w:shd w:val="clear" w:color="auto" w:fill="FFFFFF"/>
          <w:lang w:val="en-ZA" w:eastAsia="en-GB"/>
        </w:rPr>
        <w:t xml:space="preserve"> These can be divided into </w:t>
      </w:r>
      <w:r>
        <w:rPr>
          <w:rFonts w:ascii="Arial" w:hAnsi="Arial" w:eastAsia="Times New Roman" w:cs="Arial"/>
          <w:i/>
          <w:iCs/>
          <w:color w:val="1C1D1E"/>
          <w:sz w:val="18"/>
          <w:szCs w:val="18"/>
          <w:shd w:val="clear" w:color="auto" w:fill="FFFFFF"/>
          <w:lang w:val="en-ZA" w:eastAsia="en-GB"/>
        </w:rPr>
        <w:t xml:space="preserve">specific interventions, general interventions and multimodal </w:t>
      </w:r>
      <w:r>
        <w:rPr>
          <w:rFonts w:ascii="Arial" w:hAnsi="Arial" w:eastAsia="Times New Roman" w:cs="Arial"/>
          <w:color w:val="1C1D1E"/>
          <w:sz w:val="18"/>
          <w:szCs w:val="18"/>
          <w:shd w:val="clear" w:color="auto" w:fill="FFFFFF"/>
          <w:lang w:val="en-ZA" w:eastAsia="en-GB"/>
        </w:rPr>
        <w:t xml:space="preserve">interventions. The most important issue in ToM training is the assessment of whether training generalises into other tasks, and more importantly into real life. General findings have demonstrated that improvement in ToM skills following specific interventions does not appear to correspond with improved social capabilities (Hadwin, Baron-Cohen, Howlin &amp; Hill, 1996). </w:t>
      </w:r>
      <w:r>
        <w:rPr>
          <w:rFonts w:ascii="Arial" w:hAnsi="Arial" w:eastAsia="Times New Roman" w:cs="Arial"/>
          <w:i/>
          <w:iCs/>
          <w:color w:val="1C1D1E"/>
          <w:sz w:val="18"/>
          <w:szCs w:val="18"/>
          <w:shd w:val="clear" w:color="auto" w:fill="FFFFFF"/>
          <w:lang w:val="en-ZA" w:eastAsia="en-GB"/>
        </w:rPr>
        <w:t>Specific interventions</w:t>
      </w:r>
      <w:r>
        <w:rPr>
          <w:rFonts w:ascii="Arial" w:hAnsi="Arial" w:eastAsia="Times New Roman" w:cs="Arial"/>
          <w:color w:val="1C1D1E"/>
          <w:sz w:val="18"/>
          <w:szCs w:val="18"/>
          <w:shd w:val="clear" w:color="auto" w:fill="FFFFFF"/>
          <w:lang w:val="en-ZA" w:eastAsia="en-GB"/>
        </w:rPr>
        <w:t xml:space="preserve"> are based on teaching internal, subjective mental representations in oneself and others, which may include role-playing, picturing, thought bubbles and perspective taking (Gould, Tarbox, O’Hara, Noone &amp; Bergstrom, 2011; Paynter &amp; Peterson, 2013). It is important to note that not all skills learned during these interventions can be generalised. </w:t>
      </w:r>
      <w:r>
        <w:rPr>
          <w:rFonts w:ascii="Arial" w:hAnsi="Arial" w:eastAsia="Times New Roman" w:cs="Arial"/>
          <w:i/>
          <w:iCs/>
          <w:color w:val="1C1D1E"/>
          <w:sz w:val="18"/>
          <w:szCs w:val="18"/>
          <w:shd w:val="clear" w:color="auto" w:fill="FFFFFF"/>
          <w:lang w:val="en-ZA" w:eastAsia="en-GB"/>
        </w:rPr>
        <w:t>  </w:t>
      </w:r>
      <w:r>
        <w:rPr>
          <w:rFonts w:ascii="Arial" w:hAnsi="Arial" w:eastAsia="Times New Roman" w:cs="Arial"/>
          <w:color w:val="1C1D1E"/>
          <w:sz w:val="18"/>
          <w:szCs w:val="18"/>
          <w:lang w:eastAsia="en-GB"/>
        </w:rPr>
        <w:t> </w:t>
      </w:r>
    </w:p>
    <w:p w14:paraId="3E86F404">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i/>
          <w:iCs/>
          <w:color w:val="1C1D1E"/>
          <w:sz w:val="18"/>
          <w:szCs w:val="18"/>
          <w:shd w:val="clear" w:color="auto" w:fill="FFFFFF"/>
          <w:lang w:val="en-ZA" w:eastAsia="en-GB"/>
        </w:rPr>
        <w:t>General interve</w:t>
      </w:r>
      <w:r>
        <w:rPr>
          <w:rFonts w:ascii="Arial" w:hAnsi="Arial" w:eastAsia="Times New Roman" w:cs="Arial"/>
          <w:color w:val="1C1D1E"/>
          <w:sz w:val="18"/>
          <w:szCs w:val="18"/>
          <w:shd w:val="clear" w:color="auto" w:fill="FFFFFF"/>
          <w:lang w:val="en-ZA" w:eastAsia="en-GB"/>
        </w:rPr>
        <w:t>ntions that incorporate ToM principles and include other social skills seem to be more likely to generalise to other settings (Begeer, Malle, Nieuwland &amp; Keysar, 2010). Parents also reported that social skills are more likely to generalise to other settings</w:t>
      </w:r>
      <w:r>
        <w:rPr>
          <w:rFonts w:ascii="Arial" w:hAnsi="Arial" w:eastAsia="Times New Roman" w:cs="Arial"/>
          <w:i/>
          <w:iCs/>
          <w:color w:val="1C1D1E"/>
          <w:sz w:val="18"/>
          <w:szCs w:val="18"/>
          <w:shd w:val="clear" w:color="auto" w:fill="FFFFFF"/>
          <w:lang w:val="en-ZA" w:eastAsia="en-GB"/>
        </w:rPr>
        <w:t> </w:t>
      </w:r>
      <w:r>
        <w:rPr>
          <w:rFonts w:ascii="Arial" w:hAnsi="Arial" w:eastAsia="Times New Roman" w:cs="Arial"/>
          <w:color w:val="1C1D1E"/>
          <w:sz w:val="18"/>
          <w:szCs w:val="18"/>
          <w:lang w:eastAsia="en-GB"/>
        </w:rPr>
        <w:t> </w:t>
      </w:r>
    </w:p>
    <w:p w14:paraId="5A4C19FD">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i/>
          <w:iCs/>
          <w:color w:val="1C1D1E"/>
          <w:sz w:val="18"/>
          <w:szCs w:val="18"/>
          <w:shd w:val="clear" w:color="auto" w:fill="FFFFFF"/>
          <w:lang w:val="en-ZA" w:eastAsia="en-GB"/>
        </w:rPr>
        <w:t xml:space="preserve">Multimodal Interventions </w:t>
      </w:r>
      <w:r>
        <w:rPr>
          <w:rFonts w:ascii="Arial" w:hAnsi="Arial" w:eastAsia="Times New Roman" w:cs="Arial"/>
          <w:color w:val="1C1D1E"/>
          <w:sz w:val="18"/>
          <w:szCs w:val="18"/>
          <w:shd w:val="clear" w:color="auto" w:fill="FFFFFF"/>
          <w:lang w:val="en-ZA" w:eastAsia="en-GB"/>
        </w:rPr>
        <w:t>are more sophisticated and, combined with sociocognitive training, aimed at augmenting the holistic functioning of the child (Bauminger, 2007). This type of training has been found to enhance target skills, but generalisation to other skills have been found to be minimal. </w:t>
      </w:r>
      <w:r>
        <w:rPr>
          <w:rFonts w:ascii="Arial" w:hAnsi="Arial" w:eastAsia="Times New Roman" w:cs="Arial"/>
          <w:color w:val="1C1D1E"/>
          <w:sz w:val="18"/>
          <w:szCs w:val="18"/>
          <w:lang w:eastAsia="en-GB"/>
        </w:rPr>
        <w:t> </w:t>
      </w:r>
    </w:p>
    <w:p w14:paraId="348DE543">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color w:val="1C1D1E"/>
          <w:sz w:val="18"/>
          <w:szCs w:val="18"/>
          <w:shd w:val="clear" w:color="auto" w:fill="FFFFFF"/>
          <w:lang w:val="en-ZA" w:eastAsia="en-GB"/>
        </w:rPr>
        <w:t>All these principles need to be born in mind when dealing with ASD children.</w:t>
      </w:r>
      <w:r>
        <w:rPr>
          <w:rFonts w:ascii="Arial" w:hAnsi="Arial" w:eastAsia="Times New Roman" w:cs="Arial"/>
          <w:sz w:val="18"/>
          <w:szCs w:val="18"/>
          <w:lang w:eastAsia="en-GB"/>
        </w:rPr>
        <w:t xml:space="preserve"> JJ’s cognitive, social and emotional aspects of functioning need multimodal intervention. Cognitively, his communication needs to be remediated by the educator and speech therapist. His unusual behaviour patterns such as running into traffic need to be contained by placing him in school that caters for children with autism so that he can follow an individualised programme to cater for his specific needs. Interaction with others needs to be encouraged within the school setting. His relative strengths such as gross and fine motor coordination need to be used as rewarding activities when compiling a program for him. </w:t>
      </w:r>
    </w:p>
    <w:p w14:paraId="256F5D32">
      <w:pPr>
        <w:spacing w:after="0" w:line="240" w:lineRule="auto"/>
        <w:jc w:val="both"/>
        <w:textAlignment w:val="baseline"/>
        <w:rPr>
          <w:rFonts w:ascii="Arial" w:hAnsi="Arial" w:eastAsia="Times New Roman" w:cs="Arial"/>
          <w:sz w:val="18"/>
          <w:szCs w:val="18"/>
          <w:lang w:eastAsia="en-GB"/>
        </w:rPr>
      </w:pPr>
    </w:p>
    <w:p w14:paraId="42A119D3">
      <w:pPr>
        <w:spacing w:after="0" w:line="240" w:lineRule="auto"/>
        <w:jc w:val="both"/>
        <w:textAlignment w:val="baseline"/>
        <w:rPr>
          <w:rFonts w:ascii="Arial" w:hAnsi="Arial" w:eastAsia="Times New Roman" w:cs="Arial"/>
          <w:sz w:val="20"/>
          <w:szCs w:val="20"/>
          <w:lang w:eastAsia="en-GB"/>
        </w:rPr>
      </w:pPr>
      <w:r>
        <w:rPr>
          <w:rFonts w:ascii="Arial" w:hAnsi="Arial" w:eastAsia="Times New Roman" w:cs="Arial"/>
          <w:b/>
          <w:bCs/>
          <w:color w:val="212121"/>
          <w:sz w:val="20"/>
          <w:szCs w:val="20"/>
          <w:shd w:val="clear" w:color="auto" w:fill="FFFFFF"/>
          <w:lang w:val="en-ZA" w:eastAsia="en-GB"/>
        </w:rPr>
        <w:t>4. CONCLUSION</w:t>
      </w:r>
      <w:r>
        <w:rPr>
          <w:rFonts w:ascii="Arial" w:hAnsi="Arial" w:eastAsia="Times New Roman" w:cs="Arial"/>
          <w:color w:val="212121"/>
          <w:sz w:val="20"/>
          <w:szCs w:val="20"/>
          <w:lang w:eastAsia="en-GB"/>
        </w:rPr>
        <w:t> </w:t>
      </w:r>
    </w:p>
    <w:p w14:paraId="39688F5E">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color w:val="212121"/>
          <w:sz w:val="18"/>
          <w:szCs w:val="18"/>
          <w:shd w:val="clear" w:color="auto" w:fill="FFFFFF"/>
          <w:lang w:val="en-ZA" w:eastAsia="en-GB"/>
        </w:rPr>
        <w:t>Assessment using the Griffiths III has highlighted JJ’s specific difficulties in a number of areas and clarified the nature of his learning difficulties where he is functioning below the 50</w:t>
      </w:r>
      <w:r>
        <w:rPr>
          <w:rFonts w:ascii="Arial" w:hAnsi="Arial" w:eastAsia="Times New Roman" w:cs="Arial"/>
          <w:color w:val="212121"/>
          <w:sz w:val="18"/>
          <w:szCs w:val="18"/>
          <w:shd w:val="clear" w:color="auto" w:fill="FFFFFF"/>
          <w:vertAlign w:val="superscript"/>
          <w:lang w:val="en-ZA" w:eastAsia="en-GB"/>
        </w:rPr>
        <w:t>th</w:t>
      </w:r>
      <w:r>
        <w:rPr>
          <w:rFonts w:ascii="Arial" w:hAnsi="Arial" w:eastAsia="Times New Roman" w:cs="Arial"/>
          <w:color w:val="212121"/>
          <w:sz w:val="18"/>
          <w:szCs w:val="18"/>
          <w:shd w:val="clear" w:color="auto" w:fill="FFFFFF"/>
          <w:lang w:val="en-ZA" w:eastAsia="en-GB"/>
        </w:rPr>
        <w:t xml:space="preserve"> percentile. Autism is a complex, disabling disorder that is physically and emotionally demanding on both the patient and their family. </w:t>
      </w:r>
      <w:r>
        <w:rPr>
          <w:rFonts w:ascii="Arial" w:hAnsi="Arial" w:eastAsia="Times New Roman" w:cs="Arial"/>
          <w:sz w:val="18"/>
          <w:szCs w:val="18"/>
          <w:lang w:val="en-ZA" w:eastAsia="en-GB"/>
        </w:rPr>
        <w:t>The delayed diagnosis of ASD in children imposes negative impact on the outcome and developmental learning of these children, and studies have shown that early diagnosis and consequential early intervention result in better outcomes for the young child. Therefore, it is critical to highlight the importance of providing better diagnostic and intervention facilities and learning strategies to ASD children. </w:t>
      </w:r>
      <w:r>
        <w:rPr>
          <w:rFonts w:ascii="Arial" w:hAnsi="Arial" w:eastAsia="Times New Roman" w:cs="Arial"/>
          <w:sz w:val="18"/>
          <w:szCs w:val="18"/>
          <w:lang w:eastAsia="en-GB"/>
        </w:rPr>
        <w:t> JJ meets the criteria of other developmental disorders, and the total effect of his developmental problems have been highlighted by the Griffiths III assessment.</w:t>
      </w:r>
    </w:p>
    <w:p w14:paraId="7B50C935">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This case study shows that there are no single role players in the diagnosis, assessment and treatment of children with ASD, thus making this process multi-disciplinary in nature. The assessment must be able to inform parents and educators in a manner that will guide them as to how to use diagnostic results and assessment effectively in order to develop a meaningful support programme for the child assessed. In order for this to happen the assessment must be executed and reported in a manner that will highlight the child’s strengths and weaknesses in behavioural and cognitive functioning. This information will serve as a basis for intervention by all professionals that interact with the child. </w:t>
      </w:r>
      <w:r>
        <w:rPr>
          <w:rFonts w:ascii="Arial" w:hAnsi="Arial" w:eastAsia="Times New Roman" w:cs="Arial"/>
          <w:sz w:val="18"/>
          <w:szCs w:val="18"/>
          <w:lang w:eastAsia="en-GB"/>
        </w:rPr>
        <w:t> </w:t>
      </w:r>
    </w:p>
    <w:p w14:paraId="65440211">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val="en-ZA" w:eastAsia="en-GB"/>
        </w:rPr>
        <w:t>The assessment tool of choice to determine JJ’s cognitive level was the Griffiths III, together with the quartile charts which supplement the developmental measure in order to derive a better understanding of atypical children when their scores fall below the 50</w:t>
      </w:r>
      <w:r>
        <w:rPr>
          <w:rFonts w:ascii="Arial" w:hAnsi="Arial" w:eastAsia="Times New Roman" w:cs="Arial"/>
          <w:sz w:val="18"/>
          <w:szCs w:val="18"/>
          <w:vertAlign w:val="superscript"/>
          <w:lang w:val="en-ZA" w:eastAsia="en-GB"/>
        </w:rPr>
        <w:t>th</w:t>
      </w:r>
      <w:r>
        <w:rPr>
          <w:rFonts w:ascii="Arial" w:hAnsi="Arial" w:eastAsia="Times New Roman" w:cs="Arial"/>
          <w:sz w:val="18"/>
          <w:szCs w:val="18"/>
          <w:lang w:val="en-ZA" w:eastAsia="en-GB"/>
        </w:rPr>
        <w:t xml:space="preserve"> percentile. The aim of these additional charts are to assist professionals using the Griffiths III to make more meaning of scores falling below the 50</w:t>
      </w:r>
      <w:r>
        <w:rPr>
          <w:rFonts w:ascii="Arial" w:hAnsi="Arial" w:eastAsia="Times New Roman" w:cs="Arial"/>
          <w:sz w:val="18"/>
          <w:szCs w:val="18"/>
          <w:vertAlign w:val="superscript"/>
          <w:lang w:val="en-ZA" w:eastAsia="en-GB"/>
        </w:rPr>
        <w:t>th</w:t>
      </w:r>
      <w:r>
        <w:rPr>
          <w:rFonts w:ascii="Arial" w:hAnsi="Arial" w:eastAsia="Times New Roman" w:cs="Arial"/>
          <w:sz w:val="18"/>
          <w:szCs w:val="18"/>
          <w:lang w:val="en-ZA" w:eastAsia="en-GB"/>
        </w:rPr>
        <w:t xml:space="preserve"> percentile, as well as to examine the constructs the child is unable to achieve. These charts can assist by indicating at what age a typical child would have managed to complete items, as well as identifying items in the domains that have not been achieved. By using the results creatively, both the constructs evaluated on the Griffiths III, supplemented by the quartile charts, can assist in planning the way forward educationally for a young autistic child. In order to understand the process of thinking of this particular child, ToM was used to assist professionals working with the child in understanding the cognition processes that take place in ASD children.</w:t>
      </w:r>
      <w:r>
        <w:rPr>
          <w:rFonts w:ascii="Arial" w:hAnsi="Arial" w:eastAsia="Times New Roman" w:cs="Arial"/>
          <w:sz w:val="18"/>
          <w:szCs w:val="18"/>
          <w:lang w:eastAsia="en-GB"/>
        </w:rPr>
        <w:t> </w:t>
      </w:r>
    </w:p>
    <w:p w14:paraId="7D104447">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color w:val="1C1D1E"/>
          <w:sz w:val="18"/>
          <w:szCs w:val="18"/>
          <w:shd w:val="clear" w:color="auto" w:fill="FFFFFF"/>
          <w:lang w:val="en-ZA" w:eastAsia="en-GB"/>
        </w:rPr>
        <w:t>We can conclude that the Griffiths III, together with other measures, is an appropriate assessment tool to assist with the diagnosis and assessment of atypical children, especially autism. Appropriate placement and appropriate support for both the parents and children can then follow.</w:t>
      </w:r>
      <w:r>
        <w:rPr>
          <w:rFonts w:ascii="Arial" w:hAnsi="Arial" w:eastAsia="Times New Roman" w:cs="Arial"/>
          <w:sz w:val="18"/>
          <w:szCs w:val="18"/>
          <w:lang w:val="en-ZA" w:eastAsia="en-GB"/>
        </w:rPr>
        <w:t> </w:t>
      </w:r>
      <w:r>
        <w:rPr>
          <w:rFonts w:ascii="Arial" w:hAnsi="Arial" w:eastAsia="Times New Roman" w:cs="Arial"/>
          <w:sz w:val="18"/>
          <w:szCs w:val="18"/>
          <w:lang w:eastAsia="en-GB"/>
        </w:rPr>
        <w:t> </w:t>
      </w:r>
    </w:p>
    <w:p w14:paraId="74184C87">
      <w:pPr>
        <w:spacing w:after="0" w:line="240" w:lineRule="auto"/>
        <w:jc w:val="both"/>
        <w:textAlignment w:val="baseline"/>
        <w:rPr>
          <w:rFonts w:ascii="Arial" w:hAnsi="Arial" w:eastAsia="Times New Roman" w:cs="Arial"/>
          <w:sz w:val="18"/>
          <w:szCs w:val="18"/>
          <w:lang w:eastAsia="en-GB"/>
        </w:rPr>
      </w:pPr>
      <w:r>
        <w:rPr>
          <w:rFonts w:ascii="Arial" w:hAnsi="Arial" w:eastAsia="Times New Roman" w:cs="Arial"/>
          <w:sz w:val="18"/>
          <w:szCs w:val="18"/>
          <w:lang w:eastAsia="en-GB"/>
        </w:rPr>
        <w:t>  </w:t>
      </w:r>
    </w:p>
    <w:p w14:paraId="219A9F15">
      <w:pPr>
        <w:spacing w:after="0" w:line="240" w:lineRule="auto"/>
        <w:jc w:val="both"/>
        <w:rPr>
          <w:rFonts w:ascii="Arial" w:hAnsi="Arial" w:eastAsia="Times New Roman" w:cs="Arial"/>
          <w:sz w:val="18"/>
          <w:szCs w:val="18"/>
        </w:rPr>
      </w:pPr>
    </w:p>
    <w:p w14:paraId="43D5B8BA">
      <w:pPr>
        <w:spacing w:after="0" w:line="240" w:lineRule="auto"/>
        <w:jc w:val="both"/>
        <w:rPr>
          <w:rFonts w:ascii="Arial" w:hAnsi="Arial" w:eastAsia="Times New Roman" w:cs="Arial"/>
          <w:sz w:val="18"/>
          <w:szCs w:val="18"/>
        </w:rPr>
      </w:pPr>
    </w:p>
    <w:p w14:paraId="791C9813">
      <w:pPr>
        <w:spacing w:after="0" w:line="240" w:lineRule="auto"/>
        <w:jc w:val="both"/>
        <w:rPr>
          <w:rFonts w:ascii="Arial" w:hAnsi="Arial" w:eastAsia="Times New Roman" w:cs="Arial"/>
          <w:b/>
          <w:bCs/>
          <w:caps/>
          <w:sz w:val="20"/>
          <w:szCs w:val="20"/>
        </w:rPr>
      </w:pPr>
      <w:r>
        <w:rPr>
          <w:rFonts w:ascii="Arial" w:hAnsi="Arial" w:eastAsia="Times New Roman" w:cs="Arial"/>
          <w:b/>
          <w:bCs/>
          <w:caps/>
          <w:sz w:val="20"/>
          <w:szCs w:val="20"/>
        </w:rPr>
        <w:t xml:space="preserve">Consent </w:t>
      </w:r>
    </w:p>
    <w:p w14:paraId="59030F4E">
      <w:pPr>
        <w:spacing w:after="0" w:line="240" w:lineRule="auto"/>
        <w:jc w:val="both"/>
        <w:rPr>
          <w:rFonts w:ascii="Arial" w:hAnsi="Arial" w:eastAsia="Times New Roman" w:cs="Arial"/>
          <w:b/>
          <w:bCs/>
          <w:caps/>
          <w:sz w:val="18"/>
          <w:szCs w:val="18"/>
        </w:rPr>
      </w:pPr>
    </w:p>
    <w:p w14:paraId="5D272DB6">
      <w:pPr>
        <w:spacing w:after="0" w:line="240" w:lineRule="auto"/>
        <w:jc w:val="both"/>
        <w:rPr>
          <w:rFonts w:ascii="Arial" w:hAnsi="Arial" w:eastAsia="Times New Roman" w:cs="Arial"/>
          <w:sz w:val="18"/>
          <w:szCs w:val="18"/>
        </w:rPr>
      </w:pPr>
      <w:r>
        <w:rPr>
          <w:rFonts w:ascii="Arial" w:hAnsi="Arial" w:eastAsia="Times New Roman" w:cs="Arial"/>
          <w:sz w:val="18"/>
          <w:szCs w:val="18"/>
        </w:rPr>
        <w:t>JJ’s family gave consent for the original publication from which this chapter is developed.</w:t>
      </w:r>
    </w:p>
    <w:p w14:paraId="39768946">
      <w:pPr>
        <w:spacing w:after="0" w:line="240" w:lineRule="auto"/>
        <w:jc w:val="both"/>
        <w:rPr>
          <w:rFonts w:ascii="Arial" w:hAnsi="Arial" w:eastAsia="Times New Roman" w:cs="Arial"/>
          <w:sz w:val="18"/>
          <w:szCs w:val="18"/>
        </w:rPr>
      </w:pPr>
    </w:p>
    <w:p w14:paraId="137D27D0">
      <w:pPr>
        <w:spacing w:after="0" w:line="240" w:lineRule="auto"/>
        <w:jc w:val="both"/>
        <w:rPr>
          <w:rFonts w:ascii="Arial" w:hAnsi="Arial" w:eastAsia="Times New Roman" w:cs="Arial"/>
          <w:b/>
          <w:caps/>
          <w:sz w:val="18"/>
          <w:szCs w:val="18"/>
        </w:rPr>
      </w:pPr>
    </w:p>
    <w:p w14:paraId="436D00D2">
      <w:pPr>
        <w:spacing w:after="0" w:line="240" w:lineRule="auto"/>
        <w:jc w:val="both"/>
        <w:rPr>
          <w:rFonts w:ascii="Arial" w:hAnsi="Arial" w:eastAsia="Times New Roman" w:cs="Arial"/>
          <w:b/>
          <w:caps/>
          <w:sz w:val="20"/>
          <w:szCs w:val="20"/>
        </w:rPr>
      </w:pPr>
      <w:r>
        <w:rPr>
          <w:rFonts w:ascii="Arial" w:hAnsi="Arial" w:eastAsia="Times New Roman" w:cs="Arial"/>
          <w:b/>
          <w:caps/>
          <w:sz w:val="20"/>
          <w:szCs w:val="20"/>
        </w:rPr>
        <w:t>References</w:t>
      </w:r>
    </w:p>
    <w:p w14:paraId="47C56336">
      <w:pPr>
        <w:pStyle w:val="60"/>
        <w:spacing w:before="0" w:beforeAutospacing="0" w:after="0" w:afterAutospacing="0"/>
        <w:jc w:val="both"/>
        <w:textAlignment w:val="baseline"/>
        <w:rPr>
          <w:rStyle w:val="62"/>
          <w:rFonts w:ascii="Arial" w:hAnsi="Arial" w:cs="Arial"/>
          <w:sz w:val="18"/>
          <w:szCs w:val="18"/>
        </w:rPr>
      </w:pPr>
      <w:r>
        <w:rPr>
          <w:rStyle w:val="61"/>
          <w:rFonts w:ascii="Arial" w:hAnsi="Arial" w:cs="Arial"/>
          <w:sz w:val="18"/>
          <w:szCs w:val="18"/>
          <w:lang w:val="en-ZA"/>
        </w:rPr>
        <w:t>Conners, C. K. (2008). Conners 3 - Parent and Teacher Surveys, Long Form (Conners 3) </w:t>
      </w:r>
      <w:r>
        <w:rPr>
          <w:rStyle w:val="62"/>
          <w:rFonts w:ascii="Arial" w:hAnsi="Arial" w:cs="Arial"/>
          <w:sz w:val="18"/>
          <w:szCs w:val="18"/>
        </w:rPr>
        <w:t> </w:t>
      </w:r>
      <w:r>
        <w:rPr>
          <w:rStyle w:val="61"/>
          <w:rFonts w:ascii="Arial" w:hAnsi="Arial" w:cs="Arial"/>
          <w:sz w:val="18"/>
          <w:szCs w:val="18"/>
          <w:lang w:val="en-ZA"/>
        </w:rPr>
        <w:t>Conners 3rd edition manual. Toronto, Ontario, Canada: Multi-Health System.</w:t>
      </w:r>
      <w:r>
        <w:rPr>
          <w:rStyle w:val="62"/>
          <w:rFonts w:ascii="Arial" w:hAnsi="Arial" w:cs="Arial"/>
          <w:sz w:val="18"/>
          <w:szCs w:val="18"/>
        </w:rPr>
        <w:t> </w:t>
      </w:r>
    </w:p>
    <w:p w14:paraId="7A7BF02C">
      <w:pPr>
        <w:pStyle w:val="60"/>
        <w:spacing w:before="0" w:beforeAutospacing="0" w:after="0" w:afterAutospacing="0"/>
        <w:jc w:val="both"/>
        <w:textAlignment w:val="baseline"/>
        <w:rPr>
          <w:rStyle w:val="62"/>
          <w:rFonts w:ascii="Arial" w:hAnsi="Arial" w:cs="Arial"/>
          <w:sz w:val="18"/>
          <w:szCs w:val="18"/>
        </w:rPr>
      </w:pPr>
    </w:p>
    <w:p w14:paraId="7FB9B4DA">
      <w:pPr>
        <w:pStyle w:val="60"/>
        <w:spacing w:before="0" w:beforeAutospacing="0" w:after="0" w:afterAutospacing="0"/>
        <w:jc w:val="both"/>
        <w:textAlignment w:val="baseline"/>
        <w:rPr>
          <w:rStyle w:val="62"/>
          <w:rFonts w:ascii="Arial" w:hAnsi="Arial" w:cs="Arial"/>
          <w:sz w:val="18"/>
          <w:szCs w:val="18"/>
        </w:rPr>
      </w:pPr>
      <w:r>
        <w:rPr>
          <w:rFonts w:ascii="Arial" w:hAnsi="Arial" w:cs="Arial"/>
          <w:sz w:val="18"/>
          <w:szCs w:val="18"/>
        </w:rPr>
        <w:t xml:space="preserve">Ansbacher, H. L. (1952). The Goodenough Draw-A-Man Test and primary mental abilities. </w:t>
      </w:r>
      <w:r>
        <w:rPr>
          <w:rStyle w:val="11"/>
          <w:rFonts w:ascii="Arial" w:hAnsi="Arial" w:cs="Arial"/>
          <w:i w:val="0"/>
          <w:iCs w:val="0"/>
          <w:sz w:val="18"/>
          <w:szCs w:val="18"/>
        </w:rPr>
        <w:t>Journal of Consulting Psychology, 16</w:t>
      </w:r>
      <w:r>
        <w:rPr>
          <w:rFonts w:ascii="Arial" w:hAnsi="Arial" w:cs="Arial"/>
          <w:i/>
          <w:iCs/>
          <w:sz w:val="18"/>
          <w:szCs w:val="18"/>
        </w:rPr>
        <w:t>(</w:t>
      </w:r>
      <w:r>
        <w:rPr>
          <w:rFonts w:ascii="Arial" w:hAnsi="Arial" w:cs="Arial"/>
          <w:sz w:val="18"/>
          <w:szCs w:val="18"/>
        </w:rPr>
        <w:t xml:space="preserve">3), 176–180. </w:t>
      </w:r>
      <w:r>
        <w:fldChar w:fldCharType="begin"/>
      </w:r>
      <w:r>
        <w:instrText xml:space="preserve"> HYPERLINK "https://psycnet.apa.org/doi/10.1037/h0054866" \t "_blank" </w:instrText>
      </w:r>
      <w:r>
        <w:fldChar w:fldCharType="separate"/>
      </w:r>
      <w:r>
        <w:rPr>
          <w:rStyle w:val="17"/>
          <w:rFonts w:ascii="Arial" w:hAnsi="Arial" w:cs="Arial"/>
          <w:sz w:val="18"/>
          <w:szCs w:val="18"/>
        </w:rPr>
        <w:t>https://doi.org/10.1037/h0054866</w:t>
      </w:r>
      <w:r>
        <w:rPr>
          <w:rStyle w:val="17"/>
          <w:rFonts w:ascii="Arial" w:hAnsi="Arial" w:cs="Arial"/>
          <w:sz w:val="18"/>
          <w:szCs w:val="18"/>
        </w:rPr>
        <w:fldChar w:fldCharType="end"/>
      </w:r>
      <w:r>
        <w:rPr>
          <w:rFonts w:ascii="Arial" w:hAnsi="Arial" w:cs="Arial"/>
          <w:sz w:val="18"/>
          <w:szCs w:val="18"/>
        </w:rPr>
        <w:t xml:space="preserve"> </w:t>
      </w:r>
      <w:r>
        <w:rPr>
          <w:rStyle w:val="61"/>
          <w:rFonts w:ascii="Arial" w:hAnsi="Arial" w:cs="Arial"/>
          <w:sz w:val="18"/>
          <w:szCs w:val="18"/>
          <w:lang w:val="en-ZA"/>
        </w:rPr>
        <w:t> </w:t>
      </w:r>
      <w:r>
        <w:rPr>
          <w:rStyle w:val="62"/>
          <w:rFonts w:ascii="Arial" w:hAnsi="Arial" w:cs="Arial"/>
          <w:sz w:val="18"/>
          <w:szCs w:val="18"/>
        </w:rPr>
        <w:t> </w:t>
      </w:r>
    </w:p>
    <w:p w14:paraId="125C0C8E">
      <w:pPr>
        <w:pStyle w:val="60"/>
        <w:spacing w:before="0" w:beforeAutospacing="0" w:after="0" w:afterAutospacing="0"/>
        <w:jc w:val="both"/>
        <w:textAlignment w:val="baseline"/>
        <w:rPr>
          <w:rStyle w:val="62"/>
          <w:rFonts w:ascii="Arial" w:hAnsi="Arial" w:cs="Arial"/>
          <w:sz w:val="18"/>
          <w:szCs w:val="18"/>
        </w:rPr>
      </w:pPr>
    </w:p>
    <w:p w14:paraId="705A52B7">
      <w:pPr>
        <w:pStyle w:val="60"/>
        <w:spacing w:before="0" w:beforeAutospacing="0" w:after="0" w:afterAutospacing="0"/>
        <w:jc w:val="both"/>
        <w:textAlignment w:val="baseline"/>
        <w:rPr>
          <w:rStyle w:val="61"/>
          <w:rFonts w:ascii="Arial" w:hAnsi="Arial" w:cs="Arial"/>
          <w:sz w:val="18"/>
          <w:szCs w:val="18"/>
          <w:lang w:val="en-ZA"/>
        </w:rPr>
      </w:pPr>
      <w:r>
        <w:rPr>
          <w:rStyle w:val="61"/>
          <w:rFonts w:ascii="Arial" w:hAnsi="Arial" w:cs="Arial"/>
          <w:sz w:val="18"/>
          <w:szCs w:val="18"/>
          <w:lang w:val="nl-NL"/>
        </w:rPr>
        <w:t xml:space="preserve">Schopler, E, Van Bourgondien, M.E, Wellman, G.J., and </w:t>
      </w:r>
      <w:r>
        <w:rPr>
          <w:rStyle w:val="61"/>
          <w:rFonts w:ascii="Arial" w:hAnsi="Arial" w:cs="Arial"/>
          <w:sz w:val="18"/>
          <w:szCs w:val="18"/>
          <w:lang w:val="en-ZA"/>
        </w:rPr>
        <w:t>Love, SR (2010).</w:t>
      </w:r>
      <w:r>
        <w:rPr>
          <w:rStyle w:val="61"/>
          <w:rFonts w:ascii="Arial" w:hAnsi="Arial" w:cs="Arial"/>
          <w:b/>
          <w:bCs/>
          <w:sz w:val="18"/>
          <w:szCs w:val="18"/>
          <w:lang w:val="en-ZA"/>
        </w:rPr>
        <w:t xml:space="preserve"> </w:t>
      </w:r>
      <w:r>
        <w:rPr>
          <w:rStyle w:val="61"/>
          <w:rFonts w:ascii="Arial" w:hAnsi="Arial" w:cs="Arial"/>
          <w:sz w:val="18"/>
          <w:szCs w:val="18"/>
          <w:lang w:val="en-ZA"/>
        </w:rPr>
        <w:t>The Childhood Autism Rating Scale, 2nd Edition- (CARS2</w:t>
      </w:r>
      <w:r>
        <w:rPr>
          <w:rStyle w:val="61"/>
          <w:rFonts w:ascii="Arial" w:hAnsi="Arial" w:cs="Arial"/>
          <w:b/>
          <w:bCs/>
          <w:sz w:val="18"/>
          <w:szCs w:val="18"/>
          <w:lang w:val="en-ZA"/>
        </w:rPr>
        <w:t>)</w:t>
      </w:r>
      <w:r>
        <w:rPr>
          <w:rStyle w:val="61"/>
          <w:rFonts w:ascii="Arial" w:hAnsi="Arial" w:cs="Arial"/>
          <w:sz w:val="18"/>
          <w:szCs w:val="18"/>
          <w:lang w:val="en-ZA"/>
        </w:rPr>
        <w:t>, Northumberland United Kingdom:  Ann Arbour.</w:t>
      </w:r>
    </w:p>
    <w:p w14:paraId="542419FC">
      <w:pPr>
        <w:pStyle w:val="60"/>
        <w:spacing w:before="0" w:beforeAutospacing="0" w:after="0" w:afterAutospacing="0"/>
        <w:jc w:val="both"/>
        <w:textAlignment w:val="baseline"/>
        <w:rPr>
          <w:rFonts w:ascii="Arial" w:hAnsi="Arial" w:cs="Arial"/>
          <w:sz w:val="18"/>
          <w:szCs w:val="18"/>
        </w:rPr>
      </w:pPr>
    </w:p>
    <w:p w14:paraId="0805BAC8">
      <w:pPr>
        <w:spacing w:line="240" w:lineRule="auto"/>
        <w:rPr>
          <w:rFonts w:ascii="Arial" w:hAnsi="Arial" w:cs="Arial"/>
          <w:sz w:val="18"/>
          <w:szCs w:val="18"/>
        </w:rPr>
      </w:pPr>
      <w:r>
        <w:rPr>
          <w:rFonts w:ascii="Arial" w:hAnsi="Arial" w:cs="Arial"/>
          <w:sz w:val="18"/>
          <w:szCs w:val="18"/>
        </w:rPr>
        <w:t>American Psychiatric Association. (2013). Diagnostic and statistical manual of mental disorders (5thEd). Arlington, VA: America Psychiatric Association. </w:t>
      </w:r>
    </w:p>
    <w:p w14:paraId="5EDB4327">
      <w:pPr>
        <w:spacing w:line="240" w:lineRule="auto"/>
        <w:rPr>
          <w:rFonts w:ascii="Arial" w:hAnsi="Arial" w:cs="Arial"/>
          <w:sz w:val="18"/>
          <w:szCs w:val="18"/>
        </w:rPr>
      </w:pPr>
      <w:r>
        <w:rPr>
          <w:rFonts w:ascii="Arial" w:hAnsi="Arial" w:cs="Arial"/>
          <w:sz w:val="18"/>
          <w:szCs w:val="18"/>
        </w:rPr>
        <w:t>Green, E., Stroud, E., Bloomfield, S., Cronje, J., Foxcroft, C., Hurter, K et. al. (2016). The Griffiths Scales of Childhood Development, 3rd Edition. Oxford, UK: Hogrefe Ltd.  </w:t>
      </w:r>
    </w:p>
    <w:p w14:paraId="1CAC075C">
      <w:pPr>
        <w:rPr>
          <w:rStyle w:val="61"/>
          <w:rFonts w:ascii="Arial" w:hAnsi="Arial" w:cs="Arial"/>
          <w:sz w:val="18"/>
          <w:szCs w:val="18"/>
          <w:shd w:val="clear" w:color="auto" w:fill="E7E7E7"/>
          <w:lang w:val="nb-NO"/>
        </w:rPr>
      </w:pPr>
      <w:r>
        <w:rPr>
          <w:rFonts w:ascii="Arial" w:hAnsi="Arial" w:cs="Arial"/>
          <w:sz w:val="18"/>
          <w:szCs w:val="18"/>
        </w:rPr>
        <w:t xml:space="preserve">Association for Research in Infant and Child Development (2020) </w:t>
      </w:r>
      <w:r>
        <w:rPr>
          <w:rStyle w:val="61"/>
          <w:rFonts w:ascii="Arial" w:hAnsi="Arial" w:cs="Arial"/>
          <w:sz w:val="18"/>
          <w:szCs w:val="18"/>
          <w:shd w:val="clear" w:color="auto" w:fill="E7E7E7"/>
          <w:lang w:val="en-ZA"/>
        </w:rPr>
        <w:t xml:space="preserve">Griffiths III Year Four Items grouped by Quartile level of difficulty. </w:t>
      </w:r>
      <w:r>
        <w:fldChar w:fldCharType="begin"/>
      </w:r>
      <w:r>
        <w:instrText xml:space="preserve"> HYPERLINK "https://www.aricd.ac.uk/wp-content/uploads/2022/06/Quartile-Charts" </w:instrText>
      </w:r>
      <w:r>
        <w:fldChar w:fldCharType="separate"/>
      </w:r>
      <w:r>
        <w:rPr>
          <w:rStyle w:val="17"/>
          <w:rFonts w:ascii="Arial" w:hAnsi="Arial" w:cs="Arial"/>
          <w:sz w:val="18"/>
          <w:szCs w:val="18"/>
          <w:shd w:val="clear" w:color="auto" w:fill="E7E7E7"/>
          <w:lang w:val="nb-NO"/>
        </w:rPr>
        <w:t>https://www.aricd.ac.uk/wp-content/uploads/2022/06/Quartile-Charts</w:t>
      </w:r>
      <w:r>
        <w:rPr>
          <w:rStyle w:val="17"/>
          <w:rFonts w:ascii="Arial" w:hAnsi="Arial" w:cs="Arial"/>
          <w:sz w:val="18"/>
          <w:szCs w:val="18"/>
          <w:shd w:val="clear" w:color="auto" w:fill="E7E7E7"/>
          <w:lang w:val="nb-NO"/>
        </w:rPr>
        <w:fldChar w:fldCharType="end"/>
      </w:r>
    </w:p>
    <w:p w14:paraId="0EA3263F">
      <w:pPr>
        <w:pStyle w:val="67"/>
        <w:rPr>
          <w:sz w:val="18"/>
          <w:szCs w:val="18"/>
        </w:rPr>
      </w:pPr>
      <w:r>
        <w:rPr>
          <w:sz w:val="18"/>
          <w:szCs w:val="18"/>
          <w:lang w:val="nb-NO"/>
        </w:rPr>
        <w:t xml:space="preserve">Green EM et al (2022). </w:t>
      </w:r>
      <w:r>
        <w:rPr>
          <w:sz w:val="18"/>
          <w:szCs w:val="18"/>
        </w:rPr>
        <w:t xml:space="preserve">What are the Options for Reporting Development Below the Floor of a Standardized Test? Themes From the Past 15 Years Literature. Global Journal of Intellectual and </w:t>
      </w:r>
      <w:r>
        <w:rPr>
          <w:rStyle w:val="69"/>
          <w:sz w:val="18"/>
          <w:szCs w:val="18"/>
        </w:rPr>
        <w:t>Developmental Disabilities 9 (4): 555766.</w:t>
      </w:r>
      <w:r>
        <w:rPr>
          <w:rStyle w:val="69"/>
          <w:b/>
          <w:bCs/>
          <w:sz w:val="18"/>
          <w:szCs w:val="18"/>
        </w:rPr>
        <w:t xml:space="preserve"> </w:t>
      </w:r>
      <w:r>
        <w:fldChar w:fldCharType="begin"/>
      </w:r>
      <w:r>
        <w:instrText xml:space="preserve"> HYPERLINK "https://doi.org/10.19080/JGIDD.2022.09.555766" </w:instrText>
      </w:r>
      <w:r>
        <w:fldChar w:fldCharType="separate"/>
      </w:r>
      <w:r>
        <w:rPr>
          <w:rStyle w:val="17"/>
          <w:sz w:val="18"/>
          <w:szCs w:val="18"/>
        </w:rPr>
        <w:t>https://doi.org/10.19080/JGIDD.2022.09.555766</w:t>
      </w:r>
      <w:r>
        <w:rPr>
          <w:rStyle w:val="17"/>
          <w:sz w:val="18"/>
          <w:szCs w:val="18"/>
        </w:rPr>
        <w:fldChar w:fldCharType="end"/>
      </w:r>
    </w:p>
    <w:p w14:paraId="08AA142F">
      <w:pPr>
        <w:rPr>
          <w:rFonts w:ascii="Arial" w:hAnsi="Arial" w:cs="Arial"/>
          <w:sz w:val="18"/>
          <w:szCs w:val="18"/>
        </w:rPr>
      </w:pPr>
    </w:p>
    <w:p w14:paraId="7FD4F536">
      <w:pPr>
        <w:spacing w:after="0" w:line="240" w:lineRule="auto"/>
        <w:rPr>
          <w:rFonts w:ascii="Arial" w:hAnsi="Arial" w:eastAsia="Times New Roman" w:cs="Arial"/>
          <w:color w:val="262626"/>
          <w:sz w:val="18"/>
          <w:szCs w:val="18"/>
          <w:lang w:val="en-GB" w:eastAsia="en-GB"/>
        </w:rPr>
      </w:pPr>
      <w:r>
        <w:rPr>
          <w:rFonts w:ascii="Arial" w:hAnsi="Arial" w:eastAsia="Times New Roman" w:cs="Arial"/>
          <w:color w:val="262626"/>
          <w:sz w:val="18"/>
          <w:szCs w:val="18"/>
          <w:lang w:val="en-GB" w:eastAsia="en-GB"/>
        </w:rPr>
        <w:t>National Collaborating Centre for Aboriginal Health (2009). The importance of disaggregated data. Prince</w:t>
      </w:r>
    </w:p>
    <w:p w14:paraId="27D003EB">
      <w:pPr>
        <w:spacing w:after="0" w:line="240" w:lineRule="auto"/>
        <w:rPr>
          <w:rFonts w:ascii="Arial" w:hAnsi="Arial" w:eastAsia="Times New Roman" w:cs="Arial"/>
          <w:color w:val="262626"/>
          <w:sz w:val="18"/>
          <w:szCs w:val="18"/>
          <w:lang w:val="en-GB" w:eastAsia="en-GB"/>
        </w:rPr>
      </w:pPr>
      <w:r>
        <w:rPr>
          <w:rFonts w:ascii="Arial" w:hAnsi="Arial" w:eastAsia="Times New Roman" w:cs="Arial"/>
          <w:color w:val="262626"/>
          <w:sz w:val="18"/>
          <w:szCs w:val="18"/>
          <w:lang w:val="en-GB" w:eastAsia="en-GB"/>
        </w:rPr>
        <w:t>George, BC: University of British Columbia</w:t>
      </w:r>
      <w:r>
        <w:rPr>
          <w:rFonts w:ascii="Arial" w:hAnsi="Arial" w:eastAsia="Times New Roman" w:cs="Arial"/>
          <w:color w:val="000000"/>
          <w:sz w:val="18"/>
          <w:szCs w:val="18"/>
          <w:lang w:val="en-GB" w:eastAsia="en-GB"/>
        </w:rPr>
        <w:t>.</w:t>
      </w:r>
    </w:p>
    <w:p w14:paraId="7233060A">
      <w:pPr>
        <w:spacing w:after="0" w:line="240" w:lineRule="auto"/>
        <w:rPr>
          <w:rFonts w:ascii="Arial" w:hAnsi="Arial" w:eastAsia="Times New Roman" w:cs="Arial"/>
          <w:color w:val="0000FF"/>
          <w:sz w:val="18"/>
          <w:szCs w:val="18"/>
          <w:lang w:val="en-GB" w:eastAsia="en-GB"/>
        </w:rPr>
      </w:pPr>
      <w:r>
        <w:fldChar w:fldCharType="begin"/>
      </w:r>
      <w:r>
        <w:instrText xml:space="preserve"> HYPERLINK "https://www.nccih.ca/495/The_importance_of_disaggregated_data.nccih?id=9" </w:instrText>
      </w:r>
      <w:r>
        <w:fldChar w:fldCharType="separate"/>
      </w:r>
      <w:r>
        <w:rPr>
          <w:rStyle w:val="17"/>
          <w:rFonts w:ascii="Arial" w:hAnsi="Arial" w:eastAsia="Times New Roman" w:cs="Arial"/>
          <w:sz w:val="18"/>
          <w:szCs w:val="18"/>
          <w:lang w:val="en-GB" w:eastAsia="en-GB"/>
        </w:rPr>
        <w:t>https://www.nccih.ca/495/The_importance_of_disaggregated_data.nccih?id=9</w:t>
      </w:r>
      <w:r>
        <w:rPr>
          <w:rStyle w:val="17"/>
          <w:rFonts w:ascii="Arial" w:hAnsi="Arial" w:eastAsia="Times New Roman" w:cs="Arial"/>
          <w:sz w:val="18"/>
          <w:szCs w:val="18"/>
          <w:lang w:val="en-GB" w:eastAsia="en-GB"/>
        </w:rPr>
        <w:fldChar w:fldCharType="end"/>
      </w:r>
    </w:p>
    <w:p w14:paraId="2A7BAC43">
      <w:pPr>
        <w:spacing w:after="0" w:line="240" w:lineRule="auto"/>
        <w:rPr>
          <w:rFonts w:ascii="Arial" w:hAnsi="Arial" w:eastAsia="Times New Roman" w:cs="Arial"/>
          <w:color w:val="0000FF"/>
          <w:sz w:val="18"/>
          <w:szCs w:val="18"/>
          <w:lang w:val="en-GB" w:eastAsia="en-GB"/>
        </w:rPr>
      </w:pPr>
    </w:p>
    <w:p w14:paraId="658C5F47">
      <w:pPr>
        <w:pStyle w:val="67"/>
        <w:rPr>
          <w:sz w:val="18"/>
          <w:szCs w:val="18"/>
        </w:rPr>
      </w:pPr>
      <w:r>
        <w:rPr>
          <w:sz w:val="18"/>
          <w:szCs w:val="18"/>
        </w:rPr>
        <w:t>National Center for Mental Health Promotion and Youth Violence Prevention National Center Brief (2012). The Importance of Disaggregating Student Data. Accessed 29.5.23. Available from</w:t>
      </w:r>
    </w:p>
    <w:p w14:paraId="553017EF">
      <w:pPr>
        <w:pStyle w:val="68"/>
        <w:rPr>
          <w:sz w:val="18"/>
          <w:szCs w:val="18"/>
        </w:rPr>
      </w:pPr>
      <w:r>
        <w:fldChar w:fldCharType="begin"/>
      </w:r>
      <w:r>
        <w:instrText xml:space="preserve"> HYPERLINK "http://www.educationnewyork.com/files/The%20importance%20of%20disaggregating_0.pdf" </w:instrText>
      </w:r>
      <w:r>
        <w:fldChar w:fldCharType="separate"/>
      </w:r>
      <w:r>
        <w:rPr>
          <w:rStyle w:val="17"/>
          <w:sz w:val="18"/>
          <w:szCs w:val="18"/>
        </w:rPr>
        <w:t>http://www.educationnewyork.com/files/The%20importance%20of%20disaggregating_0.pdf</w:t>
      </w:r>
      <w:r>
        <w:rPr>
          <w:rStyle w:val="17"/>
          <w:sz w:val="18"/>
          <w:szCs w:val="18"/>
        </w:rPr>
        <w:fldChar w:fldCharType="end"/>
      </w:r>
    </w:p>
    <w:p w14:paraId="3113104E">
      <w:pPr>
        <w:pStyle w:val="68"/>
        <w:rPr>
          <w:sz w:val="18"/>
          <w:szCs w:val="18"/>
        </w:rPr>
      </w:pPr>
    </w:p>
    <w:p w14:paraId="43654A11">
      <w:pPr>
        <w:pStyle w:val="67"/>
        <w:rPr>
          <w:rStyle w:val="69"/>
          <w:sz w:val="18"/>
          <w:szCs w:val="18"/>
        </w:rPr>
      </w:pPr>
      <w:r>
        <w:rPr>
          <w:sz w:val="18"/>
          <w:szCs w:val="18"/>
          <w:lang w:val="pt-BR"/>
        </w:rPr>
        <w:t xml:space="preserve">Avendano R, Culey C, Balitrand C (2018). </w:t>
      </w:r>
      <w:r>
        <w:rPr>
          <w:sz w:val="18"/>
          <w:szCs w:val="18"/>
        </w:rPr>
        <w:t>Chapter 5. Data and diagnostics to leave no one behind. In Development Co-operation Report 2018</w:t>
      </w:r>
      <w:r>
        <w:rPr>
          <w:b/>
          <w:bCs/>
          <w:sz w:val="18"/>
          <w:szCs w:val="18"/>
        </w:rPr>
        <w:t xml:space="preserve"> </w:t>
      </w:r>
      <w:r>
        <w:rPr>
          <w:sz w:val="18"/>
          <w:szCs w:val="18"/>
        </w:rPr>
        <w:t xml:space="preserve">Joining Forces to Leave No One Behind. OECD Publishing </w:t>
      </w:r>
      <w:r>
        <w:rPr>
          <w:rStyle w:val="69"/>
          <w:sz w:val="18"/>
          <w:szCs w:val="18"/>
        </w:rPr>
        <w:t xml:space="preserve">Paris. </w:t>
      </w:r>
    </w:p>
    <w:p w14:paraId="1FD73DD4">
      <w:pPr>
        <w:pStyle w:val="67"/>
        <w:rPr>
          <w:sz w:val="18"/>
          <w:szCs w:val="18"/>
        </w:rPr>
      </w:pPr>
      <w:r>
        <w:fldChar w:fldCharType="begin"/>
      </w:r>
      <w:r>
        <w:instrText xml:space="preserve"> HYPERLINK "https://doi.org/10.1787/dcr-2018-en" </w:instrText>
      </w:r>
      <w:r>
        <w:fldChar w:fldCharType="separate"/>
      </w:r>
      <w:r>
        <w:rPr>
          <w:rStyle w:val="17"/>
          <w:sz w:val="18"/>
          <w:szCs w:val="18"/>
        </w:rPr>
        <w:t>https://doi.org/10.1787/dcr-2018-en</w:t>
      </w:r>
      <w:r>
        <w:rPr>
          <w:rStyle w:val="17"/>
          <w:sz w:val="18"/>
          <w:szCs w:val="18"/>
        </w:rPr>
        <w:fldChar w:fldCharType="end"/>
      </w:r>
    </w:p>
    <w:p w14:paraId="1F6BA4B7">
      <w:pPr>
        <w:pStyle w:val="67"/>
        <w:rPr>
          <w:sz w:val="18"/>
          <w:szCs w:val="18"/>
        </w:rPr>
      </w:pPr>
    </w:p>
    <w:p w14:paraId="7F9ACAE1">
      <w:pPr>
        <w:pStyle w:val="71"/>
        <w:rPr>
          <w:sz w:val="18"/>
          <w:szCs w:val="18"/>
        </w:rPr>
      </w:pPr>
      <w:r>
        <w:rPr>
          <w:sz w:val="18"/>
          <w:szCs w:val="18"/>
        </w:rPr>
        <w:t>Pan American Health Organisation (2020). Why data disaggregation is key during a pandemic.</w:t>
      </w:r>
      <w:r>
        <w:rPr>
          <w:rStyle w:val="69"/>
          <w:sz w:val="18"/>
          <w:szCs w:val="18"/>
        </w:rPr>
        <w:t xml:space="preserve"> Accessed 2023</w:t>
      </w:r>
      <w:r>
        <w:rPr>
          <w:rStyle w:val="72"/>
          <w:sz w:val="18"/>
          <w:szCs w:val="18"/>
        </w:rPr>
        <w:t xml:space="preserve">. Available at </w:t>
      </w:r>
      <w:r>
        <w:fldChar w:fldCharType="begin"/>
      </w:r>
      <w:r>
        <w:instrText xml:space="preserve"> HYPERLINK "https://iris.paho.org/bitstream/handle/10665.2/52002/Data-Disaggregation-Factsheet-eng.pdf?sequence=19" </w:instrText>
      </w:r>
      <w:r>
        <w:fldChar w:fldCharType="separate"/>
      </w:r>
      <w:r>
        <w:rPr>
          <w:rStyle w:val="17"/>
          <w:sz w:val="18"/>
          <w:szCs w:val="18"/>
        </w:rPr>
        <w:t>https://iris.paho.org/bitstream/handle/10665.2/52002/Data-Disaggregation-Factsheet-eng.pdf?sequence=19</w:t>
      </w:r>
      <w:r>
        <w:rPr>
          <w:rStyle w:val="17"/>
          <w:sz w:val="18"/>
          <w:szCs w:val="18"/>
        </w:rPr>
        <w:fldChar w:fldCharType="end"/>
      </w:r>
    </w:p>
    <w:p w14:paraId="70662819">
      <w:pPr>
        <w:pStyle w:val="71"/>
        <w:rPr>
          <w:color w:val="000000"/>
          <w:sz w:val="18"/>
          <w:szCs w:val="18"/>
        </w:rPr>
      </w:pPr>
    </w:p>
    <w:p w14:paraId="1A1D4BC8">
      <w:pPr>
        <w:pStyle w:val="67"/>
        <w:rPr>
          <w:sz w:val="18"/>
          <w:szCs w:val="18"/>
        </w:rPr>
      </w:pPr>
      <w:r>
        <w:rPr>
          <w:rStyle w:val="72"/>
          <w:sz w:val="18"/>
          <w:szCs w:val="18"/>
        </w:rPr>
        <w:t>Kocher KM, Delot</w:t>
      </w:r>
      <w:r>
        <w:rPr>
          <w:sz w:val="18"/>
          <w:szCs w:val="18"/>
        </w:rPr>
        <w:t>-Vilain A, Spencer D’A, LoTempio J, Delot EC. (2021). Paucity and disparity of publicly</w:t>
      </w:r>
    </w:p>
    <w:p w14:paraId="70F10581">
      <w:pPr>
        <w:pStyle w:val="67"/>
        <w:rPr>
          <w:sz w:val="18"/>
          <w:szCs w:val="18"/>
        </w:rPr>
      </w:pPr>
      <w:r>
        <w:rPr>
          <w:sz w:val="18"/>
          <w:szCs w:val="18"/>
        </w:rPr>
        <w:t>available sex-aggregated data for the COVID-19 epidemic hamper evidence-based decision-making.</w:t>
      </w:r>
    </w:p>
    <w:p w14:paraId="696D1B80">
      <w:pPr>
        <w:pStyle w:val="68"/>
        <w:rPr>
          <w:rStyle w:val="69"/>
          <w:sz w:val="18"/>
          <w:szCs w:val="18"/>
        </w:rPr>
      </w:pPr>
      <w:r>
        <w:rPr>
          <w:rStyle w:val="69"/>
          <w:i/>
          <w:iCs/>
          <w:sz w:val="18"/>
          <w:szCs w:val="18"/>
        </w:rPr>
        <w:t xml:space="preserve">Archives of Sexual Behavior </w:t>
      </w:r>
      <w:r>
        <w:rPr>
          <w:rStyle w:val="69"/>
          <w:sz w:val="18"/>
          <w:szCs w:val="18"/>
        </w:rPr>
        <w:t xml:space="preserve">50, 407-426. </w:t>
      </w:r>
    </w:p>
    <w:p w14:paraId="19C4DE3C">
      <w:pPr>
        <w:pStyle w:val="68"/>
        <w:rPr>
          <w:color w:val="000000"/>
          <w:sz w:val="18"/>
          <w:szCs w:val="18"/>
        </w:rPr>
      </w:pPr>
      <w:r>
        <w:fldChar w:fldCharType="begin"/>
      </w:r>
      <w:r>
        <w:instrText xml:space="preserve"> HYPERLINK "https://doi.org/10.1007/s10508-020-01882-w" </w:instrText>
      </w:r>
      <w:r>
        <w:fldChar w:fldCharType="separate"/>
      </w:r>
      <w:r>
        <w:rPr>
          <w:rStyle w:val="17"/>
          <w:sz w:val="18"/>
          <w:szCs w:val="18"/>
        </w:rPr>
        <w:t>https://doi.org/10.1007/s10508-020-01882-w</w:t>
      </w:r>
      <w:r>
        <w:rPr>
          <w:rStyle w:val="17"/>
          <w:sz w:val="18"/>
          <w:szCs w:val="18"/>
        </w:rPr>
        <w:fldChar w:fldCharType="end"/>
      </w:r>
    </w:p>
    <w:p w14:paraId="308E6A61">
      <w:pPr>
        <w:pStyle w:val="68"/>
        <w:rPr>
          <w:sz w:val="18"/>
          <w:szCs w:val="18"/>
        </w:rPr>
      </w:pPr>
    </w:p>
    <w:p w14:paraId="6293E91F">
      <w:pPr>
        <w:pStyle w:val="71"/>
        <w:rPr>
          <w:sz w:val="18"/>
          <w:szCs w:val="18"/>
        </w:rPr>
      </w:pPr>
      <w:r>
        <w:rPr>
          <w:sz w:val="18"/>
          <w:szCs w:val="18"/>
        </w:rPr>
        <w:t xml:space="preserve">Sharpe, R.V. 2019 Disaggregating by race allows for more accurate research. </w:t>
      </w:r>
      <w:r>
        <w:rPr>
          <w:i/>
          <w:iCs/>
          <w:sz w:val="18"/>
          <w:szCs w:val="18"/>
        </w:rPr>
        <w:t>Nature Human Behaviour</w:t>
      </w:r>
    </w:p>
    <w:p w14:paraId="5F633AF4">
      <w:pPr>
        <w:pStyle w:val="68"/>
        <w:rPr>
          <w:sz w:val="18"/>
          <w:szCs w:val="18"/>
        </w:rPr>
      </w:pPr>
      <w:r>
        <w:rPr>
          <w:rStyle w:val="72"/>
          <w:sz w:val="18"/>
          <w:szCs w:val="18"/>
        </w:rPr>
        <w:t xml:space="preserve">3: 1240. </w:t>
      </w:r>
      <w:r>
        <w:fldChar w:fldCharType="begin"/>
      </w:r>
      <w:r>
        <w:instrText xml:space="preserve"> HYPERLINK "https://doi.org/10.1038/s41562-019-0696-1" </w:instrText>
      </w:r>
      <w:r>
        <w:fldChar w:fldCharType="separate"/>
      </w:r>
      <w:r>
        <w:rPr>
          <w:rStyle w:val="17"/>
          <w:sz w:val="18"/>
          <w:szCs w:val="18"/>
        </w:rPr>
        <w:t>https://doi.org/10.1038/s41562-019-0696-1</w:t>
      </w:r>
      <w:r>
        <w:rPr>
          <w:rStyle w:val="17"/>
          <w:sz w:val="18"/>
          <w:szCs w:val="18"/>
        </w:rPr>
        <w:fldChar w:fldCharType="end"/>
      </w:r>
    </w:p>
    <w:p w14:paraId="7CD983AB">
      <w:pPr>
        <w:pStyle w:val="68"/>
        <w:rPr>
          <w:sz w:val="18"/>
          <w:szCs w:val="18"/>
        </w:rPr>
      </w:pPr>
    </w:p>
    <w:p w14:paraId="3F9D3FF1">
      <w:pPr>
        <w:pStyle w:val="67"/>
        <w:rPr>
          <w:sz w:val="18"/>
          <w:szCs w:val="18"/>
        </w:rPr>
      </w:pPr>
      <w:r>
        <w:rPr>
          <w:sz w:val="18"/>
          <w:szCs w:val="18"/>
        </w:rPr>
        <w:t xml:space="preserve">Health Affairs Blog, </w:t>
      </w:r>
      <w:r>
        <w:rPr>
          <w:rStyle w:val="69"/>
          <w:sz w:val="18"/>
          <w:szCs w:val="18"/>
        </w:rPr>
        <w:t xml:space="preserve">November 29, 2021. </w:t>
      </w:r>
      <w:r>
        <w:rPr>
          <w:sz w:val="18"/>
          <w:szCs w:val="18"/>
        </w:rPr>
        <w:t xml:space="preserve">"Racial Equity Will Not Be Achieved Without Investing In Data Disaggregation", </w:t>
      </w:r>
      <w:r>
        <w:fldChar w:fldCharType="begin"/>
      </w:r>
      <w:r>
        <w:instrText xml:space="preserve"> HYPERLINK "https://doi.org/10.1377/hblog20211123.426054" </w:instrText>
      </w:r>
      <w:r>
        <w:fldChar w:fldCharType="separate"/>
      </w:r>
      <w:r>
        <w:rPr>
          <w:rStyle w:val="17"/>
          <w:sz w:val="18"/>
          <w:szCs w:val="18"/>
        </w:rPr>
        <w:t>https://doi.org/10.1377/hblog20211123.426054</w:t>
      </w:r>
      <w:r>
        <w:rPr>
          <w:rStyle w:val="17"/>
          <w:sz w:val="18"/>
          <w:szCs w:val="18"/>
        </w:rPr>
        <w:fldChar w:fldCharType="end"/>
      </w:r>
    </w:p>
    <w:p w14:paraId="0EAACE1B">
      <w:pPr>
        <w:pStyle w:val="68"/>
        <w:rPr>
          <w:sz w:val="18"/>
          <w:szCs w:val="18"/>
        </w:rPr>
      </w:pPr>
    </w:p>
    <w:p w14:paraId="49B19536">
      <w:pPr>
        <w:pStyle w:val="67"/>
        <w:rPr>
          <w:rStyle w:val="69"/>
          <w:b/>
          <w:bCs/>
          <w:sz w:val="18"/>
          <w:szCs w:val="18"/>
        </w:rPr>
      </w:pPr>
      <w:r>
        <w:rPr>
          <w:sz w:val="18"/>
          <w:szCs w:val="18"/>
        </w:rPr>
        <w:t>Vo JB, Shing JZ (2022) Importance of Disaggregated Asian American Data. Accessed 29.5.23. Available a</w:t>
      </w:r>
      <w:r>
        <w:rPr>
          <w:rStyle w:val="69"/>
          <w:sz w:val="18"/>
          <w:szCs w:val="18"/>
        </w:rPr>
        <w:t>t</w:t>
      </w:r>
      <w:r>
        <w:rPr>
          <w:rStyle w:val="69"/>
          <w:b/>
          <w:bCs/>
          <w:sz w:val="18"/>
          <w:szCs w:val="18"/>
        </w:rPr>
        <w:t xml:space="preserve"> </w:t>
      </w:r>
    </w:p>
    <w:p w14:paraId="3CB60352">
      <w:pPr>
        <w:pStyle w:val="67"/>
        <w:rPr>
          <w:sz w:val="18"/>
          <w:szCs w:val="18"/>
        </w:rPr>
      </w:pPr>
      <w:r>
        <w:fldChar w:fldCharType="begin"/>
      </w:r>
      <w:r>
        <w:instrText xml:space="preserve"> HYPERLINK "https://dceg.cancer.gov/about/diversity-inclusion/inclusivity-minute/2022/disaggregated-asian-american-data" </w:instrText>
      </w:r>
      <w:r>
        <w:fldChar w:fldCharType="separate"/>
      </w:r>
      <w:r>
        <w:rPr>
          <w:rStyle w:val="17"/>
          <w:sz w:val="18"/>
          <w:szCs w:val="18"/>
        </w:rPr>
        <w:t>https://dceg.cancer.gov/about/diversity-inclusion/inclusivity-minute/2022/disaggregated-asian-american-data</w:t>
      </w:r>
      <w:r>
        <w:rPr>
          <w:rStyle w:val="17"/>
          <w:sz w:val="18"/>
          <w:szCs w:val="18"/>
        </w:rPr>
        <w:fldChar w:fldCharType="end"/>
      </w:r>
    </w:p>
    <w:p w14:paraId="2DAA3E4D">
      <w:pPr>
        <w:pStyle w:val="67"/>
        <w:rPr>
          <w:sz w:val="18"/>
          <w:szCs w:val="18"/>
        </w:rPr>
      </w:pPr>
    </w:p>
    <w:p w14:paraId="7724DDD2">
      <w:pPr>
        <w:pStyle w:val="68"/>
      </w:pPr>
      <w:r>
        <w:rPr>
          <w:color w:val="000000" w:themeColor="text1"/>
          <w:sz w:val="18"/>
          <w:szCs w:val="18"/>
          <w:lang w:val="nb-NO"/>
        </w:rPr>
        <w:t xml:space="preserve">Devakumar D, Rajagopalan S, Strong KL, Requejo J, Diaz T, Gram L et al. </w:t>
      </w:r>
      <w:r>
        <w:rPr>
          <w:color w:val="000000" w:themeColor="text1"/>
          <w:sz w:val="18"/>
          <w:szCs w:val="18"/>
        </w:rPr>
        <w:t xml:space="preserve">(2023). Racism, xenophobia,and discrimination: data disaggregation is a complex but crucial step to improving child health. The </w:t>
      </w:r>
      <w:r>
        <w:rPr>
          <w:rStyle w:val="69"/>
          <w:color w:val="000000" w:themeColor="text1"/>
          <w:sz w:val="18"/>
          <w:szCs w:val="18"/>
        </w:rPr>
        <w:t>Lancet, 401</w:t>
      </w:r>
      <w:r>
        <w:rPr>
          <w:rStyle w:val="69"/>
          <w:i/>
          <w:iCs/>
          <w:sz w:val="18"/>
          <w:szCs w:val="18"/>
        </w:rPr>
        <w:t xml:space="preserve">, </w:t>
      </w:r>
      <w:r>
        <w:rPr>
          <w:rStyle w:val="69"/>
          <w:sz w:val="18"/>
          <w:szCs w:val="18"/>
        </w:rPr>
        <w:t xml:space="preserve">1321-1323. </w:t>
      </w:r>
      <w:r>
        <w:fldChar w:fldCharType="begin"/>
      </w:r>
      <w:r>
        <w:instrText xml:space="preserve"> HYPERLINK "https://doi.org/10.1016/S0140-6736(23)00618-9" </w:instrText>
      </w:r>
      <w:r>
        <w:fldChar w:fldCharType="separate"/>
      </w:r>
      <w:r>
        <w:rPr>
          <w:rStyle w:val="17"/>
          <w:sz w:val="18"/>
          <w:szCs w:val="18"/>
        </w:rPr>
        <w:t>https://doi.org/10.1016/S0140-6736(23)00618-9</w:t>
      </w:r>
      <w:r>
        <w:rPr>
          <w:rStyle w:val="17"/>
          <w:sz w:val="18"/>
          <w:szCs w:val="18"/>
        </w:rPr>
        <w:fldChar w:fldCharType="end"/>
      </w:r>
    </w:p>
    <w:p w14:paraId="429CE050">
      <w:pPr>
        <w:pStyle w:val="68"/>
      </w:pPr>
    </w:p>
    <w:p w14:paraId="61677324">
      <w:pPr>
        <w:spacing w:after="0" w:line="240" w:lineRule="auto"/>
        <w:rPr>
          <w:color w:val="141413"/>
          <w:sz w:val="18"/>
          <w:szCs w:val="18"/>
        </w:rPr>
      </w:pPr>
      <w:r>
        <w:rPr>
          <w:rFonts w:ascii="Helvetica" w:hAnsi="Helvetica" w:eastAsia="Times New Roman" w:cs="Times New Roman"/>
          <w:color w:val="141413"/>
          <w:sz w:val="18"/>
          <w:szCs w:val="18"/>
          <w:lang w:val="en-GB" w:eastAsia="en-GB"/>
        </w:rPr>
        <w:t>Höglund Carlsson L, Norrelgen F,</w:t>
      </w:r>
      <w:r>
        <w:rPr>
          <w:rFonts w:ascii="Helvetica" w:hAnsi="Helvetica" w:eastAsia="Times New Roman" w:cs="Times New Roman"/>
          <w:color w:val="141413"/>
          <w:sz w:val="12"/>
          <w:szCs w:val="12"/>
          <w:lang w:val="en-GB" w:eastAsia="en-GB"/>
        </w:rPr>
        <w:t xml:space="preserve"> </w:t>
      </w:r>
      <w:r>
        <w:rPr>
          <w:rFonts w:ascii="Helvetica" w:hAnsi="Helvetica" w:eastAsia="Times New Roman" w:cs="Times New Roman"/>
          <w:color w:val="141413"/>
          <w:sz w:val="18"/>
          <w:szCs w:val="18"/>
          <w:lang w:val="en-GB" w:eastAsia="en-GB"/>
        </w:rPr>
        <w:t>Kjellmer L,</w:t>
      </w:r>
      <w:r>
        <w:rPr>
          <w:rFonts w:ascii="Helvetica" w:hAnsi="Helvetica" w:eastAsia="Times New Roman" w:cs="Times New Roman"/>
          <w:color w:val="141413"/>
          <w:sz w:val="12"/>
          <w:szCs w:val="12"/>
          <w:lang w:val="en-GB" w:eastAsia="en-GB"/>
        </w:rPr>
        <w:t xml:space="preserve"> </w:t>
      </w:r>
      <w:r>
        <w:rPr>
          <w:rFonts w:ascii="Helvetica" w:hAnsi="Helvetica" w:eastAsia="Times New Roman" w:cs="Times New Roman"/>
          <w:color w:val="141413"/>
          <w:sz w:val="18"/>
          <w:szCs w:val="18"/>
          <w:lang w:val="en-GB" w:eastAsia="en-GB"/>
        </w:rPr>
        <w:t>Westerlund J, Gillberg,C, Fernell E.</w:t>
      </w:r>
      <w:r>
        <w:rPr>
          <w:rFonts w:ascii="Helvetica" w:hAnsi="Helvetica" w:cs="Times New Roman"/>
          <w:color w:val="141413"/>
          <w:sz w:val="18"/>
          <w:szCs w:val="18"/>
        </w:rPr>
        <w:t xml:space="preserve"> </w:t>
      </w:r>
      <w:r>
        <w:rPr>
          <w:rFonts w:ascii="Helvetica" w:hAnsi="Helvetica" w:eastAsia="Times New Roman" w:cs="Times New Roman"/>
          <w:color w:val="141413"/>
          <w:sz w:val="18"/>
          <w:szCs w:val="18"/>
          <w:lang w:val="en-GB" w:eastAsia="en-GB"/>
        </w:rPr>
        <w:t xml:space="preserve">(2013). </w:t>
      </w:r>
      <w:r>
        <w:rPr>
          <w:rFonts w:ascii="Arial" w:hAnsi="Arial" w:cs="Arial"/>
          <w:color w:val="141413"/>
          <w:sz w:val="18"/>
          <w:szCs w:val="18"/>
        </w:rPr>
        <w:t>Coexisting Disorders and Problems in Preschool Children with</w:t>
      </w:r>
      <w:r>
        <w:rPr>
          <w:color w:val="141413"/>
          <w:sz w:val="18"/>
          <w:szCs w:val="18"/>
        </w:rPr>
        <w:t xml:space="preserve"> </w:t>
      </w:r>
      <w:r>
        <w:rPr>
          <w:rFonts w:ascii="Arial" w:hAnsi="Arial" w:eastAsia="Times New Roman" w:cs="Arial"/>
          <w:color w:val="141413"/>
          <w:sz w:val="18"/>
          <w:szCs w:val="18"/>
          <w:lang w:val="en-GB" w:eastAsia="en-GB"/>
        </w:rPr>
        <w:t>Autism Spectrum Disorders</w:t>
      </w:r>
      <w:r>
        <w:rPr>
          <w:color w:val="141413"/>
          <w:sz w:val="18"/>
          <w:szCs w:val="18"/>
        </w:rPr>
        <w:t xml:space="preserve">. </w:t>
      </w:r>
      <w:r>
        <w:rPr>
          <w:rFonts w:ascii="Arial" w:hAnsi="Arial" w:cs="Arial"/>
          <w:color w:val="141413"/>
          <w:sz w:val="18"/>
          <w:szCs w:val="18"/>
        </w:rPr>
        <w:t>The</w:t>
      </w:r>
      <w:r>
        <w:rPr>
          <w:color w:val="141413"/>
          <w:sz w:val="18"/>
          <w:szCs w:val="18"/>
        </w:rPr>
        <w:t xml:space="preserve"> </w:t>
      </w:r>
      <w:r>
        <w:rPr>
          <w:rFonts w:ascii="Arial" w:hAnsi="Arial" w:cs="Arial"/>
          <w:color w:val="141413"/>
          <w:sz w:val="18"/>
          <w:szCs w:val="18"/>
        </w:rPr>
        <w:t>Scientific</w:t>
      </w:r>
      <w:r>
        <w:rPr>
          <w:color w:val="141413"/>
          <w:sz w:val="18"/>
          <w:szCs w:val="18"/>
        </w:rPr>
        <w:t xml:space="preserve"> </w:t>
      </w:r>
      <w:r>
        <w:rPr>
          <w:rFonts w:ascii="Arial" w:hAnsi="Arial" w:cs="Arial"/>
          <w:color w:val="141413"/>
          <w:sz w:val="18"/>
          <w:szCs w:val="18"/>
        </w:rPr>
        <w:t>World</w:t>
      </w:r>
      <w:r>
        <w:rPr>
          <w:color w:val="141413"/>
          <w:sz w:val="18"/>
          <w:szCs w:val="18"/>
        </w:rPr>
        <w:t xml:space="preserve"> </w:t>
      </w:r>
      <w:r>
        <w:rPr>
          <w:rFonts w:ascii="Arial" w:hAnsi="Arial" w:cs="Arial"/>
          <w:color w:val="141413"/>
          <w:sz w:val="18"/>
          <w:szCs w:val="18"/>
        </w:rPr>
        <w:t>Journal</w:t>
      </w:r>
      <w:r>
        <w:rPr>
          <w:color w:val="141413"/>
          <w:sz w:val="18"/>
          <w:szCs w:val="18"/>
        </w:rPr>
        <w:t xml:space="preserve">, </w:t>
      </w:r>
      <w:r>
        <w:rPr>
          <w:rFonts w:ascii="Arial" w:hAnsi="Arial" w:eastAsia="Times New Roman" w:cs="Arial"/>
          <w:color w:val="141413"/>
          <w:sz w:val="18"/>
          <w:szCs w:val="18"/>
          <w:lang w:val="en-GB" w:eastAsia="en-GB"/>
        </w:rPr>
        <w:t>Vol</w:t>
      </w:r>
      <w:r>
        <w:rPr>
          <w:color w:val="141413"/>
          <w:sz w:val="18"/>
          <w:szCs w:val="18"/>
        </w:rPr>
        <w:t xml:space="preserve"> </w:t>
      </w:r>
      <w:r>
        <w:rPr>
          <w:rFonts w:ascii="Arial" w:hAnsi="Arial" w:eastAsia="Times New Roman" w:cs="Arial"/>
          <w:color w:val="141413"/>
          <w:sz w:val="18"/>
          <w:szCs w:val="18"/>
          <w:lang w:val="en-GB" w:eastAsia="en-GB"/>
        </w:rPr>
        <w:t>2013, Article</w:t>
      </w:r>
      <w:r>
        <w:rPr>
          <w:color w:val="141413"/>
          <w:sz w:val="18"/>
          <w:szCs w:val="18"/>
        </w:rPr>
        <w:t xml:space="preserve"> </w:t>
      </w:r>
      <w:r>
        <w:rPr>
          <w:rFonts w:ascii="Arial" w:hAnsi="Arial" w:eastAsia="Times New Roman" w:cs="Arial"/>
          <w:color w:val="141413"/>
          <w:sz w:val="18"/>
          <w:szCs w:val="18"/>
          <w:lang w:val="en-GB" w:eastAsia="en-GB"/>
        </w:rPr>
        <w:t>ID</w:t>
      </w:r>
      <w:r>
        <w:rPr>
          <w:color w:val="141413"/>
          <w:sz w:val="18"/>
          <w:szCs w:val="18"/>
        </w:rPr>
        <w:t xml:space="preserve"> </w:t>
      </w:r>
      <w:r>
        <w:rPr>
          <w:rFonts w:ascii="Arial" w:hAnsi="Arial" w:eastAsia="Times New Roman" w:cs="Arial"/>
          <w:color w:val="141413"/>
          <w:sz w:val="18"/>
          <w:szCs w:val="18"/>
          <w:lang w:val="en-GB" w:eastAsia="en-GB"/>
        </w:rPr>
        <w:t>213979,</w:t>
      </w:r>
      <w:r>
        <w:rPr>
          <w:rFonts w:ascii="Arial" w:hAnsi="Arial" w:eastAsia="Times New Roman" w:cs="Arial"/>
          <w:color w:val="000000"/>
          <w:sz w:val="18"/>
          <w:szCs w:val="18"/>
          <w:lang w:val="en-GB" w:eastAsia="en-GB"/>
        </w:rPr>
        <w:t>6</w:t>
      </w:r>
      <w:r>
        <w:rPr>
          <w:sz w:val="18"/>
          <w:szCs w:val="18"/>
        </w:rPr>
        <w:t xml:space="preserve"> </w:t>
      </w:r>
      <w:r>
        <w:rPr>
          <w:rFonts w:ascii="Arial" w:hAnsi="Arial" w:eastAsia="Times New Roman" w:cs="Arial"/>
          <w:color w:val="141413"/>
          <w:sz w:val="18"/>
          <w:szCs w:val="18"/>
          <w:lang w:val="en-GB" w:eastAsia="en-GB"/>
        </w:rPr>
        <w:t>pages</w:t>
      </w:r>
      <w:r>
        <w:rPr>
          <w:color w:val="141413"/>
          <w:sz w:val="18"/>
          <w:szCs w:val="18"/>
        </w:rPr>
        <w:t>.</w:t>
      </w:r>
    </w:p>
    <w:p w14:paraId="3AC8FBCF">
      <w:pPr>
        <w:spacing w:after="0" w:line="240" w:lineRule="auto"/>
        <w:rPr>
          <w:rFonts w:ascii="Arial" w:hAnsi="Arial" w:cs="Arial"/>
          <w:color w:val="000000"/>
          <w:sz w:val="18"/>
          <w:szCs w:val="18"/>
          <w:lang w:val="en-GB"/>
        </w:rPr>
      </w:pPr>
      <w:r>
        <w:fldChar w:fldCharType="begin"/>
      </w:r>
      <w:r>
        <w:instrText xml:space="preserve"> HYPERLINK "http://dx.doi.org/10.1155/2013/213979" </w:instrText>
      </w:r>
      <w:r>
        <w:fldChar w:fldCharType="separate"/>
      </w:r>
      <w:r>
        <w:rPr>
          <w:rStyle w:val="17"/>
          <w:rFonts w:ascii="Arial" w:hAnsi="Arial" w:cs="Arial"/>
          <w:sz w:val="18"/>
          <w:szCs w:val="18"/>
          <w:lang w:val="en-GB"/>
        </w:rPr>
        <w:t>http://dx.doi.org/10.1155/2013/213979</w:t>
      </w:r>
      <w:r>
        <w:rPr>
          <w:rStyle w:val="17"/>
          <w:rFonts w:ascii="Arial" w:hAnsi="Arial" w:cs="Arial"/>
          <w:sz w:val="18"/>
          <w:szCs w:val="18"/>
          <w:lang w:val="en-GB"/>
        </w:rPr>
        <w:fldChar w:fldCharType="end"/>
      </w:r>
    </w:p>
    <w:p w14:paraId="389C82D5">
      <w:pPr>
        <w:pStyle w:val="67"/>
      </w:pPr>
    </w:p>
    <w:p w14:paraId="6753EBF6">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Bogdashina, O. (2005).  Theory of mind and the triads of perspectives on autism and Aspergers syndrome: A view from the bridge</w:t>
      </w:r>
      <w:r>
        <w:rPr>
          <w:rStyle w:val="61"/>
          <w:rFonts w:ascii="Arial" w:hAnsi="Arial" w:cs="Arial"/>
          <w:i/>
          <w:iCs/>
          <w:sz w:val="18"/>
          <w:szCs w:val="18"/>
          <w:lang w:val="en-ZA"/>
        </w:rPr>
        <w:t>.</w:t>
      </w:r>
      <w:r>
        <w:rPr>
          <w:rStyle w:val="61"/>
          <w:rFonts w:ascii="Arial" w:hAnsi="Arial" w:cs="Arial"/>
          <w:sz w:val="18"/>
          <w:szCs w:val="18"/>
          <w:lang w:val="en-ZA"/>
        </w:rPr>
        <w:t xml:space="preserve"> London:  Jessica Kingsley.</w:t>
      </w:r>
      <w:r>
        <w:rPr>
          <w:rStyle w:val="62"/>
          <w:rFonts w:ascii="Arial" w:hAnsi="Arial" w:cs="Arial"/>
          <w:sz w:val="18"/>
          <w:szCs w:val="18"/>
        </w:rPr>
        <w:t> </w:t>
      </w:r>
    </w:p>
    <w:p w14:paraId="19901A41">
      <w:pPr>
        <w:pStyle w:val="60"/>
        <w:spacing w:before="0" w:beforeAutospacing="0" w:after="0" w:afterAutospacing="0"/>
        <w:textAlignment w:val="baseline"/>
        <w:rPr>
          <w:rFonts w:ascii="Arial" w:hAnsi="Arial" w:cs="Arial"/>
          <w:sz w:val="18"/>
          <w:szCs w:val="18"/>
        </w:rPr>
      </w:pPr>
    </w:p>
    <w:p w14:paraId="484BF9F1">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Tager-Flusberg, H. (2007). Evaluating the theory-of-mind hypothesis of autism. Current Directions in Psychological Science, 16</w:t>
      </w:r>
      <w:r>
        <w:rPr>
          <w:rStyle w:val="61"/>
          <w:rFonts w:ascii="Arial" w:hAnsi="Arial" w:cs="Arial"/>
          <w:i/>
          <w:iCs/>
          <w:sz w:val="18"/>
          <w:szCs w:val="18"/>
          <w:lang w:val="en-ZA"/>
        </w:rPr>
        <w:t>,</w:t>
      </w:r>
      <w:r>
        <w:rPr>
          <w:rStyle w:val="61"/>
          <w:rFonts w:ascii="Arial" w:hAnsi="Arial" w:cs="Arial"/>
          <w:sz w:val="18"/>
          <w:szCs w:val="18"/>
          <w:lang w:val="en-ZA"/>
        </w:rPr>
        <w:t xml:space="preserve"> 311-316.</w:t>
      </w:r>
      <w:r>
        <w:rPr>
          <w:rStyle w:val="62"/>
          <w:rFonts w:ascii="Arial" w:hAnsi="Arial" w:cs="Arial"/>
          <w:sz w:val="18"/>
          <w:szCs w:val="18"/>
        </w:rPr>
        <w:t> </w:t>
      </w:r>
    </w:p>
    <w:p w14:paraId="25C07396">
      <w:pPr>
        <w:pStyle w:val="60"/>
        <w:spacing w:before="0" w:beforeAutospacing="0" w:after="0" w:afterAutospacing="0"/>
        <w:textAlignment w:val="baseline"/>
        <w:rPr>
          <w:rStyle w:val="62"/>
          <w:rFonts w:ascii="Arial" w:hAnsi="Arial" w:cs="Arial"/>
          <w:sz w:val="18"/>
          <w:szCs w:val="18"/>
        </w:rPr>
      </w:pPr>
    </w:p>
    <w:p w14:paraId="631EFD95">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Baron-Cohen, S. (2009). Autism: The empathizing-systemizing theory (E-S theory) Annals of the New York Academy of Sciences</w:t>
      </w:r>
      <w:r>
        <w:rPr>
          <w:rStyle w:val="61"/>
          <w:rFonts w:ascii="Arial" w:hAnsi="Arial" w:cs="Arial"/>
          <w:i/>
          <w:iCs/>
          <w:sz w:val="18"/>
          <w:szCs w:val="18"/>
          <w:lang w:val="en-ZA"/>
        </w:rPr>
        <w:t xml:space="preserve">, </w:t>
      </w:r>
      <w:r>
        <w:rPr>
          <w:rStyle w:val="61"/>
          <w:rFonts w:ascii="Arial" w:hAnsi="Arial" w:cs="Arial"/>
          <w:sz w:val="18"/>
          <w:szCs w:val="18"/>
          <w:lang w:val="en-ZA"/>
        </w:rPr>
        <w:t>1156, 68-80.</w:t>
      </w:r>
    </w:p>
    <w:p w14:paraId="36F330E5">
      <w:pPr>
        <w:pStyle w:val="60"/>
        <w:spacing w:before="0" w:beforeAutospacing="0" w:after="0" w:afterAutospacing="0"/>
        <w:textAlignment w:val="baseline"/>
        <w:rPr>
          <w:rFonts w:ascii="Arial" w:hAnsi="Arial" w:cs="Arial"/>
          <w:sz w:val="18"/>
          <w:szCs w:val="18"/>
        </w:rPr>
      </w:pPr>
    </w:p>
    <w:p w14:paraId="2AA78D05">
      <w:pPr>
        <w:pStyle w:val="60"/>
        <w:spacing w:before="0" w:beforeAutospacing="0" w:after="0" w:afterAutospacing="0"/>
        <w:textAlignment w:val="baseline"/>
      </w:pPr>
      <w:r>
        <w:rPr>
          <w:rStyle w:val="61"/>
          <w:rFonts w:ascii="Arial" w:hAnsi="Arial" w:cs="Arial"/>
          <w:sz w:val="18"/>
          <w:szCs w:val="18"/>
          <w:lang w:val="en-ZA"/>
        </w:rPr>
        <w:t>Hartly, J. &amp; Branthwalte, A. (2000). The Applied Psychologist. (2</w:t>
      </w:r>
      <w:r>
        <w:rPr>
          <w:rStyle w:val="61"/>
          <w:rFonts w:ascii="Arial" w:hAnsi="Arial" w:cs="Arial"/>
          <w:sz w:val="18"/>
          <w:szCs w:val="18"/>
          <w:vertAlign w:val="superscript"/>
          <w:lang w:val="en-ZA"/>
        </w:rPr>
        <w:t>nd</w:t>
      </w:r>
      <w:r>
        <w:rPr>
          <w:rStyle w:val="61"/>
          <w:rFonts w:ascii="Arial" w:hAnsi="Arial" w:cs="Arial"/>
          <w:sz w:val="18"/>
          <w:szCs w:val="18"/>
          <w:lang w:val="en-ZA"/>
        </w:rPr>
        <w:t xml:space="preserve"> Edition).  Buckingham, U.K.: Open University Press</w:t>
      </w:r>
      <w:r>
        <w:t xml:space="preserve"> </w:t>
      </w:r>
    </w:p>
    <w:p w14:paraId="78D9CBC2">
      <w:pPr>
        <w:pStyle w:val="60"/>
        <w:spacing w:before="0" w:beforeAutospacing="0" w:after="0" w:afterAutospacing="0"/>
        <w:textAlignment w:val="baseline"/>
        <w:rPr>
          <w:rFonts w:ascii="Arial" w:hAnsi="Arial" w:cs="Arial"/>
          <w:sz w:val="18"/>
          <w:szCs w:val="18"/>
        </w:rPr>
      </w:pPr>
    </w:p>
    <w:p w14:paraId="566AD49A">
      <w:pPr>
        <w:pStyle w:val="60"/>
        <w:spacing w:before="0" w:beforeAutospacing="0" w:after="0" w:afterAutospacing="0"/>
        <w:textAlignment w:val="baseline"/>
        <w:rPr>
          <w:rStyle w:val="61"/>
          <w:rFonts w:ascii="Arial" w:hAnsi="Arial" w:cs="Arial"/>
          <w:sz w:val="18"/>
          <w:szCs w:val="18"/>
          <w:lang w:val="en-ZA"/>
        </w:rPr>
      </w:pPr>
      <w:r>
        <w:rPr>
          <w:rStyle w:val="61"/>
          <w:rFonts w:ascii="Arial" w:hAnsi="Arial" w:cs="Arial"/>
          <w:sz w:val="18"/>
          <w:szCs w:val="18"/>
          <w:lang w:val="en-ZA"/>
        </w:rPr>
        <w:t xml:space="preserve">Hamilton, K., Hoogenhout, M. &amp; Malcom-Smith, S. (2016). Neurocognitive considerations when assessing Theory of Mind in Autism Spectrum Disorder. Journal of Child and Adolescent Mental Health. 28(3), 233-241. </w:t>
      </w:r>
    </w:p>
    <w:p w14:paraId="5B6AECFD">
      <w:pPr>
        <w:pStyle w:val="60"/>
        <w:spacing w:before="0" w:beforeAutospacing="0" w:after="0" w:afterAutospacing="0"/>
        <w:textAlignment w:val="baseline"/>
        <w:rPr>
          <w:rStyle w:val="61"/>
          <w:rFonts w:ascii="Arial" w:hAnsi="Arial" w:cs="Arial"/>
          <w:sz w:val="18"/>
          <w:szCs w:val="18"/>
          <w:lang w:val="en-ZA"/>
        </w:rPr>
      </w:pPr>
      <w:r>
        <w:fldChar w:fldCharType="begin"/>
      </w:r>
      <w:r>
        <w:instrText xml:space="preserve"> HYPERLINK "http://doi.org/10.2989/17280583.2016.1268141" </w:instrText>
      </w:r>
      <w:r>
        <w:fldChar w:fldCharType="separate"/>
      </w:r>
      <w:r>
        <w:rPr>
          <w:rStyle w:val="17"/>
          <w:rFonts w:ascii="Arial" w:hAnsi="Arial" w:cs="Arial"/>
          <w:sz w:val="18"/>
          <w:szCs w:val="18"/>
          <w:lang w:val="en-ZA"/>
        </w:rPr>
        <w:t>http://doi.org/10.2989/17280583.2016.1268141</w:t>
      </w:r>
      <w:r>
        <w:rPr>
          <w:rStyle w:val="17"/>
          <w:rFonts w:ascii="Arial" w:hAnsi="Arial" w:cs="Arial"/>
          <w:sz w:val="18"/>
          <w:szCs w:val="18"/>
          <w:lang w:val="en-ZA"/>
        </w:rPr>
        <w:fldChar w:fldCharType="end"/>
      </w:r>
    </w:p>
    <w:p w14:paraId="301285F8">
      <w:pPr>
        <w:pStyle w:val="60"/>
        <w:spacing w:before="0" w:beforeAutospacing="0" w:after="0" w:afterAutospacing="0"/>
        <w:ind w:firstLine="270"/>
        <w:textAlignment w:val="baseline"/>
        <w:rPr>
          <w:rFonts w:ascii="Arial" w:hAnsi="Arial" w:cs="Arial"/>
          <w:sz w:val="18"/>
          <w:szCs w:val="18"/>
        </w:rPr>
      </w:pPr>
      <w:r>
        <w:rPr>
          <w:rStyle w:val="61"/>
          <w:rFonts w:ascii="Arial" w:hAnsi="Arial" w:cs="Arial"/>
          <w:sz w:val="18"/>
          <w:szCs w:val="18"/>
          <w:lang w:val="en-ZA"/>
        </w:rPr>
        <w:t>.</w:t>
      </w:r>
      <w:r>
        <w:rPr>
          <w:rStyle w:val="62"/>
          <w:rFonts w:ascii="Arial" w:hAnsi="Arial" w:cs="Arial"/>
          <w:sz w:val="18"/>
          <w:szCs w:val="18"/>
        </w:rPr>
        <w:t> </w:t>
      </w:r>
    </w:p>
    <w:p w14:paraId="51AA4FB0">
      <w:pPr>
        <w:pStyle w:val="60"/>
        <w:spacing w:before="0" w:beforeAutospacing="0" w:after="0" w:afterAutospacing="0"/>
        <w:textAlignment w:val="baseline"/>
        <w:rPr>
          <w:rFonts w:ascii="Arial" w:hAnsi="Arial" w:cs="Arial"/>
          <w:sz w:val="18"/>
          <w:szCs w:val="18"/>
        </w:rPr>
      </w:pPr>
      <w:r>
        <w:rPr>
          <w:rStyle w:val="61"/>
          <w:rFonts w:ascii="Arial" w:hAnsi="Arial" w:cs="Arial"/>
          <w:sz w:val="18"/>
          <w:szCs w:val="18"/>
          <w:lang w:val="fr-FR"/>
        </w:rPr>
        <w:t xml:space="preserve">Baron-Cohen, S., Leslie, A. M., &amp; Frith, U. (1985). </w:t>
      </w:r>
      <w:r>
        <w:rPr>
          <w:rStyle w:val="61"/>
          <w:rFonts w:ascii="Arial" w:hAnsi="Arial" w:cs="Arial"/>
          <w:sz w:val="18"/>
          <w:szCs w:val="18"/>
          <w:lang w:val="en-ZA"/>
        </w:rPr>
        <w:t>Does the autistic child have a “theory of mind”? Cognition, </w:t>
      </w:r>
      <w:r>
        <w:rPr>
          <w:rStyle w:val="61"/>
          <w:rFonts w:ascii="Arial" w:hAnsi="Arial" w:cs="Arial"/>
          <w:i/>
          <w:iCs/>
          <w:sz w:val="18"/>
          <w:szCs w:val="18"/>
          <w:lang w:val="en-ZA"/>
        </w:rPr>
        <w:t>21</w:t>
      </w:r>
      <w:r>
        <w:rPr>
          <w:rStyle w:val="61"/>
          <w:rFonts w:ascii="Arial" w:hAnsi="Arial" w:cs="Arial"/>
          <w:sz w:val="18"/>
          <w:szCs w:val="18"/>
          <w:lang w:val="en-ZA"/>
        </w:rPr>
        <w:t>(1), 37-46.</w:t>
      </w:r>
      <w:r>
        <w:rPr>
          <w:rStyle w:val="62"/>
          <w:rFonts w:ascii="Arial" w:hAnsi="Arial" w:cs="Arial"/>
          <w:sz w:val="18"/>
          <w:szCs w:val="18"/>
        </w:rPr>
        <w:t> </w:t>
      </w:r>
    </w:p>
    <w:p w14:paraId="0DBFEF8D">
      <w:pPr>
        <w:spacing w:line="240" w:lineRule="auto"/>
        <w:rPr>
          <w:rFonts w:ascii="Arial" w:hAnsi="Arial" w:cs="Arial"/>
          <w:sz w:val="18"/>
          <w:szCs w:val="18"/>
        </w:rPr>
      </w:pPr>
      <w:r>
        <w:fldChar w:fldCharType="begin"/>
      </w:r>
      <w:r>
        <w:instrText xml:space="preserve"> HYPERLINK "http://www.doi.org/10.1016/0010-0277(85)90022-8" </w:instrText>
      </w:r>
      <w:r>
        <w:fldChar w:fldCharType="separate"/>
      </w:r>
      <w:r>
        <w:rPr>
          <w:rStyle w:val="17"/>
          <w:rFonts w:ascii="Arial" w:hAnsi="Arial" w:cs="Arial"/>
          <w:sz w:val="18"/>
          <w:szCs w:val="18"/>
        </w:rPr>
        <w:t>http://www.doi.org/10.1016/0010-0277(85)90022-8</w:t>
      </w:r>
      <w:r>
        <w:rPr>
          <w:rStyle w:val="17"/>
          <w:rFonts w:ascii="Arial" w:hAnsi="Arial" w:cs="Arial"/>
          <w:sz w:val="18"/>
          <w:szCs w:val="18"/>
        </w:rPr>
        <w:fldChar w:fldCharType="end"/>
      </w:r>
    </w:p>
    <w:p w14:paraId="1755BB2F">
      <w:pPr>
        <w:spacing w:line="240" w:lineRule="auto"/>
        <w:rPr>
          <w:rFonts w:ascii="Arial" w:hAnsi="Arial" w:cs="Arial"/>
          <w:sz w:val="18"/>
          <w:szCs w:val="18"/>
        </w:rPr>
      </w:pPr>
      <w:r>
        <w:rPr>
          <w:rFonts w:ascii="Arial" w:hAnsi="Arial" w:cs="Arial"/>
          <w:sz w:val="18"/>
          <w:szCs w:val="18"/>
        </w:rPr>
        <w:t>Astington, J., &amp; Jenkins, J. (1999). A longitudinal study of the relation between language and theory of mind development. Developmental Psychology, 35, 1311-1320.</w:t>
      </w:r>
    </w:p>
    <w:p w14:paraId="4EFAAE13">
      <w:pPr>
        <w:spacing w:line="240" w:lineRule="auto"/>
        <w:rPr>
          <w:rFonts w:ascii="Arial" w:hAnsi="Arial" w:cs="Arial"/>
          <w:sz w:val="18"/>
          <w:szCs w:val="18"/>
        </w:rPr>
      </w:pPr>
      <w:r>
        <w:fldChar w:fldCharType="begin"/>
      </w:r>
      <w:r>
        <w:instrText xml:space="preserve"> HYPERLINK "https://doi.org/10.1037/0012-1649.35.5.1311" </w:instrText>
      </w:r>
      <w:r>
        <w:fldChar w:fldCharType="separate"/>
      </w:r>
      <w:r>
        <w:rPr>
          <w:rStyle w:val="17"/>
          <w:rFonts w:ascii="Arial" w:hAnsi="Arial" w:cs="Arial"/>
          <w:sz w:val="18"/>
          <w:szCs w:val="18"/>
        </w:rPr>
        <w:t>https://doi.org/10.1037/0012-1649.35.5.1311</w:t>
      </w:r>
      <w:r>
        <w:rPr>
          <w:rStyle w:val="17"/>
          <w:rFonts w:ascii="Arial" w:hAnsi="Arial" w:cs="Arial"/>
          <w:sz w:val="18"/>
          <w:szCs w:val="18"/>
        </w:rPr>
        <w:fldChar w:fldCharType="end"/>
      </w:r>
    </w:p>
    <w:p w14:paraId="01F4EAFE">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Steele, S., Joseph, R. M., &amp; Tager-Flusberg, H. (2003). Developmental change in theory of mind abilities in children with autism. Journal of Autism and Developmental Disorders</w:t>
      </w:r>
      <w:r>
        <w:rPr>
          <w:rStyle w:val="61"/>
          <w:rFonts w:ascii="Arial" w:hAnsi="Arial" w:cs="Arial"/>
          <w:i/>
          <w:iCs/>
          <w:sz w:val="18"/>
          <w:szCs w:val="18"/>
          <w:lang w:val="en-ZA"/>
        </w:rPr>
        <w:t xml:space="preserve">, </w:t>
      </w:r>
      <w:r>
        <w:rPr>
          <w:rStyle w:val="61"/>
          <w:rFonts w:ascii="Arial" w:hAnsi="Arial" w:cs="Arial"/>
          <w:sz w:val="18"/>
          <w:szCs w:val="18"/>
          <w:lang w:val="en-ZA"/>
        </w:rPr>
        <w:t>33</w:t>
      </w:r>
      <w:r>
        <w:rPr>
          <w:rStyle w:val="61"/>
          <w:rFonts w:ascii="Arial" w:hAnsi="Arial" w:cs="Arial"/>
          <w:i/>
          <w:iCs/>
          <w:sz w:val="18"/>
          <w:szCs w:val="18"/>
          <w:lang w:val="en-ZA"/>
        </w:rPr>
        <w:t>,</w:t>
      </w:r>
      <w:r>
        <w:rPr>
          <w:rStyle w:val="61"/>
          <w:rFonts w:ascii="Arial" w:hAnsi="Arial" w:cs="Arial"/>
          <w:sz w:val="18"/>
          <w:szCs w:val="18"/>
          <w:lang w:val="en-ZA"/>
        </w:rPr>
        <w:t xml:space="preserve"> 461-467.</w:t>
      </w:r>
      <w:r>
        <w:rPr>
          <w:rStyle w:val="62"/>
          <w:rFonts w:ascii="Arial" w:hAnsi="Arial" w:cs="Arial"/>
          <w:sz w:val="18"/>
          <w:szCs w:val="18"/>
        </w:rPr>
        <w:t> </w:t>
      </w:r>
    </w:p>
    <w:p w14:paraId="2BE7CED1">
      <w:pPr>
        <w:pStyle w:val="60"/>
        <w:spacing w:before="0" w:beforeAutospacing="0" w:after="0" w:afterAutospacing="0"/>
        <w:textAlignment w:val="baseline"/>
        <w:rPr>
          <w:rStyle w:val="62"/>
          <w:rFonts w:ascii="Arial" w:hAnsi="Arial" w:cs="Arial"/>
          <w:sz w:val="18"/>
          <w:szCs w:val="18"/>
        </w:rPr>
      </w:pPr>
      <w:r>
        <w:rPr>
          <w:rStyle w:val="62"/>
          <w:rFonts w:ascii="Arial" w:hAnsi="Arial" w:cs="Arial"/>
          <w:sz w:val="18"/>
          <w:szCs w:val="18"/>
        </w:rPr>
        <w:t>http://www.doi.org/</w:t>
      </w:r>
      <w:r>
        <w:fldChar w:fldCharType="begin"/>
      </w:r>
      <w:r>
        <w:instrText xml:space="preserve"> HYPERLINK "https://doi.org/10.1023/a:1025075115100" \t "_blank" </w:instrText>
      </w:r>
      <w:r>
        <w:fldChar w:fldCharType="separate"/>
      </w:r>
      <w:r>
        <w:rPr>
          <w:rStyle w:val="17"/>
          <w:rFonts w:ascii="Arial" w:hAnsi="Arial" w:cs="Arial"/>
          <w:sz w:val="18"/>
          <w:szCs w:val="18"/>
        </w:rPr>
        <w:t xml:space="preserve">10.1023/a:1025075115100 </w:t>
      </w:r>
      <w:r>
        <w:rPr>
          <w:rStyle w:val="17"/>
          <w:rFonts w:ascii="Arial" w:hAnsi="Arial" w:cs="Arial"/>
          <w:sz w:val="18"/>
          <w:szCs w:val="18"/>
        </w:rPr>
        <w:fldChar w:fldCharType="end"/>
      </w:r>
    </w:p>
    <w:p w14:paraId="76F5F8C6">
      <w:pPr>
        <w:pStyle w:val="60"/>
        <w:spacing w:before="0" w:beforeAutospacing="0" w:after="0" w:afterAutospacing="0"/>
        <w:textAlignment w:val="baseline"/>
        <w:rPr>
          <w:rStyle w:val="62"/>
          <w:rFonts w:ascii="Arial" w:hAnsi="Arial" w:cs="Arial"/>
          <w:sz w:val="18"/>
          <w:szCs w:val="18"/>
        </w:rPr>
      </w:pPr>
    </w:p>
    <w:p w14:paraId="5555B465">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Senju, A. (2012). Spontaneous theory of mind and its absence in autism spectrum disorders. The Neuroscientist, 18(2), 108-113.</w:t>
      </w:r>
      <w:r>
        <w:rPr>
          <w:rStyle w:val="62"/>
          <w:rFonts w:ascii="Arial" w:hAnsi="Arial" w:cs="Arial"/>
          <w:sz w:val="18"/>
          <w:szCs w:val="18"/>
        </w:rPr>
        <w:t> </w:t>
      </w:r>
    </w:p>
    <w:p w14:paraId="53F67942">
      <w:pPr>
        <w:pStyle w:val="60"/>
        <w:spacing w:before="0" w:beforeAutospacing="0" w:after="0" w:afterAutospacing="0"/>
        <w:textAlignment w:val="baseline"/>
        <w:rPr>
          <w:rStyle w:val="74"/>
          <w:rFonts w:ascii="Arial" w:hAnsi="Arial" w:cs="Arial"/>
          <w:sz w:val="18"/>
          <w:szCs w:val="18"/>
        </w:rPr>
      </w:pPr>
      <w:r>
        <w:fldChar w:fldCharType="begin"/>
      </w:r>
      <w:r>
        <w:instrText xml:space="preserve"> HYPERLINK "http://www.doi.org/10.1177/1073858410397208" </w:instrText>
      </w:r>
      <w:r>
        <w:fldChar w:fldCharType="separate"/>
      </w:r>
      <w:r>
        <w:rPr>
          <w:rStyle w:val="17"/>
          <w:rFonts w:ascii="Arial" w:hAnsi="Arial" w:cs="Arial"/>
          <w:sz w:val="18"/>
          <w:szCs w:val="18"/>
        </w:rPr>
        <w:t>http://www.doi.org/10.1177/1073858410397208</w:t>
      </w:r>
      <w:r>
        <w:rPr>
          <w:rStyle w:val="17"/>
          <w:rFonts w:ascii="Arial" w:hAnsi="Arial" w:cs="Arial"/>
          <w:sz w:val="18"/>
          <w:szCs w:val="18"/>
        </w:rPr>
        <w:fldChar w:fldCharType="end"/>
      </w:r>
      <w:r>
        <w:rPr>
          <w:rStyle w:val="74"/>
          <w:rFonts w:ascii="Arial" w:hAnsi="Arial" w:cs="Arial"/>
          <w:sz w:val="18"/>
          <w:szCs w:val="18"/>
        </w:rPr>
        <w:t>.</w:t>
      </w:r>
    </w:p>
    <w:p w14:paraId="3196A867">
      <w:pPr>
        <w:pStyle w:val="60"/>
        <w:spacing w:before="0" w:beforeAutospacing="0" w:after="0" w:afterAutospacing="0"/>
        <w:textAlignment w:val="baseline"/>
        <w:rPr>
          <w:rFonts w:ascii="Arial" w:hAnsi="Arial" w:cs="Arial"/>
          <w:sz w:val="18"/>
          <w:szCs w:val="18"/>
        </w:rPr>
      </w:pPr>
    </w:p>
    <w:p w14:paraId="7BC73F92">
      <w:pPr>
        <w:pStyle w:val="60"/>
        <w:spacing w:before="0" w:beforeAutospacing="0" w:after="0" w:afterAutospacing="0"/>
        <w:ind w:left="555" w:hanging="555"/>
        <w:textAlignment w:val="baseline"/>
        <w:rPr>
          <w:rStyle w:val="62"/>
          <w:rFonts w:ascii="Arial" w:hAnsi="Arial" w:cs="Arial"/>
          <w:sz w:val="18"/>
          <w:szCs w:val="18"/>
        </w:rPr>
      </w:pPr>
    </w:p>
    <w:p w14:paraId="25DEC12C">
      <w:pPr>
        <w:pStyle w:val="60"/>
        <w:spacing w:before="0" w:beforeAutospacing="0" w:after="0" w:afterAutospacing="0"/>
        <w:jc w:val="both"/>
        <w:textAlignment w:val="baseline"/>
        <w:rPr>
          <w:rStyle w:val="62"/>
          <w:rFonts w:ascii="Arial" w:hAnsi="Arial" w:cs="Arial"/>
          <w:sz w:val="18"/>
          <w:szCs w:val="18"/>
        </w:rPr>
      </w:pPr>
      <w:r>
        <w:rPr>
          <w:rStyle w:val="61"/>
          <w:rFonts w:ascii="Arial" w:hAnsi="Arial" w:cs="Arial"/>
          <w:sz w:val="18"/>
          <w:szCs w:val="18"/>
          <w:lang w:val="en-ZA"/>
        </w:rPr>
        <w:t>Pellicano, E. (2010). Individual differences in executive function and central coherence predict developmental changes in theory of mind in autism. Developmental psychology, 46(2), 530.</w:t>
      </w:r>
      <w:r>
        <w:rPr>
          <w:rStyle w:val="62"/>
          <w:rFonts w:ascii="Arial" w:hAnsi="Arial" w:cs="Arial"/>
          <w:sz w:val="18"/>
          <w:szCs w:val="18"/>
        </w:rPr>
        <w:t> </w:t>
      </w:r>
    </w:p>
    <w:p w14:paraId="6DA575A5">
      <w:pPr>
        <w:pStyle w:val="60"/>
        <w:spacing w:before="0" w:beforeAutospacing="0" w:after="0" w:afterAutospacing="0"/>
        <w:jc w:val="both"/>
        <w:textAlignment w:val="baseline"/>
        <w:rPr>
          <w:rFonts w:ascii="Arial" w:hAnsi="Arial" w:cs="Arial"/>
          <w:sz w:val="18"/>
          <w:szCs w:val="18"/>
        </w:rPr>
      </w:pPr>
      <w:r>
        <w:fldChar w:fldCharType="begin"/>
      </w:r>
      <w:r>
        <w:instrText xml:space="preserve"> HYPERLINK "http://www.doi.org/10.1037/a0018287" </w:instrText>
      </w:r>
      <w:r>
        <w:fldChar w:fldCharType="separate"/>
      </w:r>
      <w:r>
        <w:rPr>
          <w:rStyle w:val="17"/>
          <w:rFonts w:ascii="Arial" w:hAnsi="Arial" w:cs="Arial"/>
          <w:sz w:val="18"/>
          <w:szCs w:val="18"/>
        </w:rPr>
        <w:t>http://www.doi.org/10.1037/a0018287</w:t>
      </w:r>
      <w:r>
        <w:rPr>
          <w:rStyle w:val="17"/>
          <w:rFonts w:ascii="Arial" w:hAnsi="Arial" w:cs="Arial"/>
          <w:sz w:val="18"/>
          <w:szCs w:val="18"/>
        </w:rPr>
        <w:fldChar w:fldCharType="end"/>
      </w:r>
    </w:p>
    <w:p w14:paraId="7F9F31C6">
      <w:pPr>
        <w:pStyle w:val="60"/>
        <w:spacing w:before="0" w:beforeAutospacing="0" w:after="0" w:afterAutospacing="0"/>
        <w:ind w:left="555" w:hanging="555"/>
        <w:textAlignment w:val="baseline"/>
        <w:rPr>
          <w:rFonts w:ascii="Arial" w:hAnsi="Arial" w:cs="Arial"/>
          <w:sz w:val="18"/>
          <w:szCs w:val="18"/>
        </w:rPr>
      </w:pPr>
    </w:p>
    <w:p w14:paraId="19457C6E">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Peterson, C. C., Garnett, M., Kelly, A., &amp; Attwood, T. (2009). Everyday social and conversation applications of theory-of-mind understanding by children with autism-spectrum disorders or typical development. European child &amp; adolescent psychiatry, 18(2), 105-115.</w:t>
      </w:r>
      <w:r>
        <w:rPr>
          <w:rStyle w:val="62"/>
          <w:rFonts w:ascii="Arial" w:hAnsi="Arial" w:cs="Arial"/>
          <w:sz w:val="18"/>
          <w:szCs w:val="18"/>
        </w:rPr>
        <w:t> </w:t>
      </w:r>
    </w:p>
    <w:p w14:paraId="19C35969">
      <w:pPr>
        <w:pStyle w:val="60"/>
        <w:spacing w:before="0" w:beforeAutospacing="0" w:after="0" w:afterAutospacing="0"/>
        <w:textAlignment w:val="baseline"/>
        <w:rPr>
          <w:rStyle w:val="74"/>
          <w:rFonts w:ascii="Arial" w:hAnsi="Arial" w:cs="Arial"/>
          <w:sz w:val="18"/>
          <w:szCs w:val="18"/>
        </w:rPr>
      </w:pPr>
      <w:r>
        <w:fldChar w:fldCharType="begin"/>
      </w:r>
      <w:r>
        <w:instrText xml:space="preserve"> HYPERLINK "http://www.doi.org/10.1007/s00787-008-0711-y" </w:instrText>
      </w:r>
      <w:r>
        <w:fldChar w:fldCharType="separate"/>
      </w:r>
      <w:r>
        <w:rPr>
          <w:rStyle w:val="17"/>
          <w:rFonts w:ascii="Arial" w:hAnsi="Arial" w:cs="Arial"/>
          <w:sz w:val="18"/>
          <w:szCs w:val="18"/>
        </w:rPr>
        <w:t>http://www.doi.org/10.1007/s00787-008-0711-y</w:t>
      </w:r>
      <w:r>
        <w:rPr>
          <w:rStyle w:val="17"/>
          <w:rFonts w:ascii="Arial" w:hAnsi="Arial" w:cs="Arial"/>
          <w:sz w:val="18"/>
          <w:szCs w:val="18"/>
        </w:rPr>
        <w:fldChar w:fldCharType="end"/>
      </w:r>
      <w:r>
        <w:rPr>
          <w:rStyle w:val="74"/>
          <w:rFonts w:ascii="Arial" w:hAnsi="Arial" w:cs="Arial"/>
          <w:sz w:val="18"/>
          <w:szCs w:val="18"/>
        </w:rPr>
        <w:t>.</w:t>
      </w:r>
    </w:p>
    <w:p w14:paraId="52C0713E">
      <w:pPr>
        <w:pStyle w:val="60"/>
        <w:spacing w:before="0" w:beforeAutospacing="0" w:after="0" w:afterAutospacing="0"/>
        <w:textAlignment w:val="baseline"/>
        <w:rPr>
          <w:rStyle w:val="74"/>
          <w:rFonts w:ascii="Arial" w:hAnsi="Arial" w:cs="Arial"/>
          <w:sz w:val="18"/>
          <w:szCs w:val="18"/>
        </w:rPr>
      </w:pPr>
    </w:p>
    <w:p w14:paraId="7649D5A0">
      <w:pPr>
        <w:pStyle w:val="60"/>
        <w:spacing w:before="0" w:beforeAutospacing="0" w:after="0" w:afterAutospacing="0"/>
        <w:textAlignment w:val="baseline"/>
        <w:rPr>
          <w:rFonts w:ascii="Arial" w:hAnsi="Arial" w:cs="Arial"/>
          <w:sz w:val="18"/>
          <w:szCs w:val="18"/>
        </w:rPr>
      </w:pPr>
      <w:r>
        <w:rPr>
          <w:rStyle w:val="61"/>
          <w:rFonts w:ascii="Arial" w:hAnsi="Arial" w:cs="Arial"/>
          <w:sz w:val="18"/>
          <w:szCs w:val="18"/>
          <w:lang w:val="en-ZA"/>
        </w:rPr>
        <w:t>Leslie, A. M. (1987). Pretense and representation: The origin of “theory of mind.” Psychological Review, 94, 412-426.</w:t>
      </w:r>
      <w:r>
        <w:rPr>
          <w:rStyle w:val="62"/>
          <w:rFonts w:ascii="Arial" w:hAnsi="Arial" w:cs="Arial"/>
          <w:sz w:val="18"/>
          <w:szCs w:val="18"/>
        </w:rPr>
        <w:t> </w:t>
      </w:r>
    </w:p>
    <w:p w14:paraId="09955C15">
      <w:pPr>
        <w:pStyle w:val="60"/>
        <w:spacing w:before="0" w:beforeAutospacing="0" w:after="0" w:afterAutospacing="0"/>
        <w:ind w:left="555" w:hanging="555"/>
        <w:textAlignment w:val="baseline"/>
        <w:rPr>
          <w:rFonts w:ascii="Arial" w:hAnsi="Arial" w:cs="Arial"/>
          <w:sz w:val="18"/>
          <w:szCs w:val="18"/>
        </w:rPr>
      </w:pPr>
      <w:r>
        <w:fldChar w:fldCharType="begin"/>
      </w:r>
      <w:r>
        <w:instrText xml:space="preserve"> HYPERLINK "https://doi.org/10.1037/0033-295X" </w:instrText>
      </w:r>
      <w:r>
        <w:fldChar w:fldCharType="separate"/>
      </w:r>
      <w:r>
        <w:rPr>
          <w:rStyle w:val="17"/>
          <w:rFonts w:ascii="Arial" w:hAnsi="Arial" w:cs="Arial"/>
          <w:sz w:val="18"/>
          <w:szCs w:val="18"/>
        </w:rPr>
        <w:t>https://doi.org/10.1037/0033-295X</w:t>
      </w:r>
      <w:r>
        <w:rPr>
          <w:rStyle w:val="17"/>
          <w:rFonts w:ascii="Arial" w:hAnsi="Arial" w:cs="Arial"/>
          <w:sz w:val="18"/>
          <w:szCs w:val="18"/>
        </w:rPr>
        <w:fldChar w:fldCharType="end"/>
      </w:r>
    </w:p>
    <w:p w14:paraId="41FA35F8">
      <w:pPr>
        <w:pStyle w:val="60"/>
        <w:spacing w:before="0" w:beforeAutospacing="0" w:after="0" w:afterAutospacing="0"/>
        <w:jc w:val="both"/>
        <w:textAlignment w:val="baseline"/>
        <w:rPr>
          <w:rFonts w:ascii="Arial" w:hAnsi="Arial" w:cs="Arial"/>
          <w:sz w:val="18"/>
          <w:szCs w:val="18"/>
        </w:rPr>
      </w:pPr>
    </w:p>
    <w:p w14:paraId="36F5489B">
      <w:pPr>
        <w:spacing w:line="240" w:lineRule="auto"/>
      </w:pPr>
      <w:r>
        <w:rPr>
          <w:rStyle w:val="61"/>
          <w:rFonts w:ascii="Arial" w:hAnsi="Arial" w:cs="Arial"/>
          <w:sz w:val="18"/>
          <w:szCs w:val="18"/>
          <w:lang w:val="en-ZA"/>
        </w:rPr>
        <w:t>American Psychiatric Association. (1994) Diagnostic and statistical manual of mental disorders, (4</w:t>
      </w:r>
      <w:r>
        <w:rPr>
          <w:rStyle w:val="61"/>
          <w:rFonts w:ascii="Arial" w:hAnsi="Arial" w:cs="Arial"/>
          <w:sz w:val="18"/>
          <w:szCs w:val="18"/>
          <w:vertAlign w:val="superscript"/>
          <w:lang w:val="en-ZA"/>
        </w:rPr>
        <w:t>th</w:t>
      </w:r>
      <w:r>
        <w:rPr>
          <w:rStyle w:val="61"/>
          <w:rFonts w:ascii="Arial" w:hAnsi="Arial" w:cs="Arial"/>
          <w:sz w:val="18"/>
          <w:szCs w:val="18"/>
          <w:lang w:val="en-ZA"/>
        </w:rPr>
        <w:t xml:space="preserve"> Ed</w:t>
      </w:r>
      <w:r>
        <w:rPr>
          <w:rStyle w:val="61"/>
          <w:rFonts w:ascii="Arial" w:hAnsi="Arial" w:cs="Arial"/>
          <w:i/>
          <w:iCs/>
          <w:sz w:val="18"/>
          <w:szCs w:val="18"/>
          <w:lang w:val="en-ZA"/>
        </w:rPr>
        <w:t xml:space="preserve">). </w:t>
      </w:r>
      <w:r>
        <w:rPr>
          <w:rStyle w:val="61"/>
          <w:rFonts w:ascii="Arial" w:hAnsi="Arial" w:cs="Arial"/>
          <w:sz w:val="18"/>
          <w:szCs w:val="18"/>
          <w:lang w:val="en-ZA"/>
        </w:rPr>
        <w:t>Arlington, VA: American Psychiatric Association</w:t>
      </w:r>
    </w:p>
    <w:p w14:paraId="7AEF3028">
      <w:pPr>
        <w:pStyle w:val="60"/>
        <w:spacing w:before="0" w:beforeAutospacing="0" w:after="0" w:afterAutospacing="0"/>
        <w:textAlignment w:val="baseline"/>
        <w:rPr>
          <w:rFonts w:ascii="Arial" w:hAnsi="Arial" w:cs="Arial"/>
          <w:sz w:val="18"/>
          <w:szCs w:val="18"/>
        </w:rPr>
      </w:pPr>
      <w:r>
        <w:rPr>
          <w:rStyle w:val="61"/>
          <w:rFonts w:ascii="Arial" w:hAnsi="Arial" w:cs="Arial"/>
          <w:sz w:val="18"/>
          <w:szCs w:val="18"/>
          <w:lang w:val="fr-FR"/>
        </w:rPr>
        <w:t xml:space="preserve">Lam, Y. G., Yueng, S. S. (2011). </w:t>
      </w:r>
      <w:r>
        <w:rPr>
          <w:rStyle w:val="61"/>
          <w:rFonts w:ascii="Arial" w:hAnsi="Arial" w:cs="Arial"/>
          <w:sz w:val="18"/>
          <w:szCs w:val="18"/>
          <w:lang w:val="en-ZA"/>
        </w:rPr>
        <w:t>Cognitive deficits and symbolic play in pre-schooler with autism. Research in Autistic Spectrum Disorders, 6</w:t>
      </w:r>
      <w:r>
        <w:rPr>
          <w:rStyle w:val="61"/>
          <w:rFonts w:ascii="Arial" w:hAnsi="Arial" w:cs="Arial"/>
          <w:i/>
          <w:iCs/>
          <w:sz w:val="18"/>
          <w:szCs w:val="18"/>
          <w:lang w:val="en-ZA"/>
        </w:rPr>
        <w:t>,</w:t>
      </w:r>
      <w:r>
        <w:rPr>
          <w:rStyle w:val="61"/>
          <w:rFonts w:ascii="Arial" w:hAnsi="Arial" w:cs="Arial"/>
          <w:sz w:val="18"/>
          <w:szCs w:val="18"/>
          <w:lang w:val="en-ZA"/>
        </w:rPr>
        <w:t xml:space="preserve"> 560-564.</w:t>
      </w:r>
      <w:r>
        <w:rPr>
          <w:rStyle w:val="62"/>
          <w:rFonts w:ascii="Arial" w:hAnsi="Arial" w:cs="Arial"/>
          <w:sz w:val="18"/>
          <w:szCs w:val="18"/>
        </w:rPr>
        <w:t> </w:t>
      </w:r>
    </w:p>
    <w:p w14:paraId="4517642B">
      <w:pPr>
        <w:rPr>
          <w:rStyle w:val="62"/>
          <w:rFonts w:ascii="Arial" w:hAnsi="Arial" w:cs="Arial"/>
          <w:sz w:val="18"/>
          <w:szCs w:val="18"/>
        </w:rPr>
      </w:pPr>
      <w:r>
        <w:fldChar w:fldCharType="begin"/>
      </w:r>
      <w:r>
        <w:instrText xml:space="preserve"> HYPERLINK "https://doi.org/10.1177/23969415211063822" </w:instrText>
      </w:r>
      <w:r>
        <w:fldChar w:fldCharType="separate"/>
      </w:r>
      <w:r>
        <w:rPr>
          <w:rStyle w:val="17"/>
          <w:rFonts w:ascii="Arial" w:hAnsi="Arial" w:cs="Arial"/>
          <w:sz w:val="18"/>
          <w:szCs w:val="18"/>
        </w:rPr>
        <w:t>https://doi.org/10.1177/2396941521106</w:t>
      </w:r>
      <w:r>
        <w:rPr>
          <w:rStyle w:val="17"/>
          <w:rFonts w:ascii="Arial" w:hAnsi="Arial" w:cs="Arial"/>
          <w:sz w:val="18"/>
          <w:szCs w:val="18"/>
        </w:rPr>
        <w:fldChar w:fldCharType="end"/>
      </w:r>
    </w:p>
    <w:p w14:paraId="2D6AA65B">
      <w:pPr>
        <w:pStyle w:val="60"/>
        <w:spacing w:before="0" w:beforeAutospacing="0" w:after="0" w:afterAutospacing="0"/>
        <w:textAlignment w:val="baseline"/>
        <w:rPr>
          <w:rFonts w:ascii="Arial" w:hAnsi="Arial" w:cs="Arial"/>
          <w:sz w:val="18"/>
          <w:szCs w:val="18"/>
        </w:rPr>
      </w:pPr>
      <w:r>
        <w:rPr>
          <w:rStyle w:val="61"/>
          <w:rFonts w:ascii="Arial" w:hAnsi="Arial" w:cs="Arial"/>
          <w:sz w:val="18"/>
          <w:szCs w:val="18"/>
          <w:lang w:val="en-ZA"/>
        </w:rPr>
        <w:t xml:space="preserve">Baron-Cohen, S. (2002). The extreme male brain theory of autism. Trends in Cognitive Sciences, 6(6), 248–254. </w:t>
      </w:r>
    </w:p>
    <w:p w14:paraId="6F7CB7A3">
      <w:pPr>
        <w:pStyle w:val="60"/>
        <w:spacing w:before="0" w:beforeAutospacing="0" w:after="0" w:afterAutospacing="0"/>
        <w:textAlignment w:val="baseline"/>
        <w:rPr>
          <w:rStyle w:val="62"/>
          <w:rFonts w:ascii="Arial" w:hAnsi="Arial" w:cs="Arial"/>
          <w:sz w:val="18"/>
          <w:szCs w:val="18"/>
        </w:rPr>
      </w:pPr>
      <w:r>
        <w:fldChar w:fldCharType="begin"/>
      </w:r>
      <w:r>
        <w:instrText xml:space="preserve"> HYPERLINK "https://doi.org/10.1016/S1364-6613(02)01904-6" </w:instrText>
      </w:r>
      <w:r>
        <w:fldChar w:fldCharType="separate"/>
      </w:r>
      <w:r>
        <w:rPr>
          <w:rStyle w:val="17"/>
          <w:rFonts w:ascii="Arial" w:hAnsi="Arial" w:cs="Arial"/>
          <w:sz w:val="18"/>
          <w:szCs w:val="18"/>
          <w:lang w:val="en-ZA"/>
        </w:rPr>
        <w:t>https://doi.org/10.1016/S1364-6613(02)01904-6</w:t>
      </w:r>
      <w:r>
        <w:rPr>
          <w:rStyle w:val="17"/>
          <w:rFonts w:ascii="Arial" w:hAnsi="Arial" w:cs="Arial"/>
          <w:sz w:val="18"/>
          <w:szCs w:val="18"/>
          <w:lang w:val="en-ZA"/>
        </w:rPr>
        <w:fldChar w:fldCharType="end"/>
      </w:r>
    </w:p>
    <w:p w14:paraId="1E9DEC77">
      <w:pPr>
        <w:pStyle w:val="60"/>
        <w:spacing w:before="0" w:beforeAutospacing="0" w:after="0" w:afterAutospacing="0"/>
        <w:textAlignment w:val="baseline"/>
        <w:rPr>
          <w:rFonts w:ascii="Arial" w:hAnsi="Arial" w:cs="Arial"/>
          <w:sz w:val="18"/>
          <w:szCs w:val="18"/>
        </w:rPr>
      </w:pPr>
    </w:p>
    <w:p w14:paraId="2B855BA3">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Li, A. S., Kelly, E A., Evans, A. D. &amp; Lee, K. (2011). Exploring the ability to deceive in children with autism spectrum disorders. Journal of Autism and Developmental Disorders</w:t>
      </w:r>
      <w:r>
        <w:rPr>
          <w:rStyle w:val="61"/>
          <w:rFonts w:ascii="Arial" w:hAnsi="Arial" w:cs="Arial"/>
          <w:i/>
          <w:iCs/>
          <w:sz w:val="18"/>
          <w:szCs w:val="18"/>
          <w:lang w:val="en-ZA"/>
        </w:rPr>
        <w:t>, 41,</w:t>
      </w:r>
      <w:r>
        <w:rPr>
          <w:rStyle w:val="61"/>
          <w:rFonts w:ascii="Arial" w:hAnsi="Arial" w:cs="Arial"/>
          <w:sz w:val="18"/>
          <w:szCs w:val="18"/>
          <w:lang w:val="en-ZA"/>
        </w:rPr>
        <w:t xml:space="preserve"> 185-195.</w:t>
      </w:r>
      <w:r>
        <w:rPr>
          <w:rStyle w:val="62"/>
          <w:rFonts w:ascii="Arial" w:hAnsi="Arial" w:cs="Arial"/>
          <w:sz w:val="18"/>
          <w:szCs w:val="18"/>
        </w:rPr>
        <w:t> </w:t>
      </w:r>
    </w:p>
    <w:p w14:paraId="36193DDA">
      <w:pPr>
        <w:pStyle w:val="60"/>
        <w:spacing w:before="0" w:beforeAutospacing="0" w:after="0" w:afterAutospacing="0"/>
        <w:textAlignment w:val="baseline"/>
        <w:rPr>
          <w:rStyle w:val="74"/>
          <w:rFonts w:ascii="Arial" w:hAnsi="Arial" w:cs="Arial"/>
          <w:sz w:val="18"/>
          <w:szCs w:val="18"/>
        </w:rPr>
      </w:pPr>
      <w:r>
        <w:fldChar w:fldCharType="begin"/>
      </w:r>
      <w:r>
        <w:instrText xml:space="preserve"> HYPERLINK "http://www.doi.org/10.1007/s10803-010-1045-4" </w:instrText>
      </w:r>
      <w:r>
        <w:fldChar w:fldCharType="separate"/>
      </w:r>
      <w:r>
        <w:rPr>
          <w:rStyle w:val="17"/>
          <w:rFonts w:ascii="Arial" w:hAnsi="Arial" w:cs="Arial"/>
          <w:sz w:val="18"/>
          <w:szCs w:val="18"/>
        </w:rPr>
        <w:t>http://www.doi.org/10.1007/s10803-010-1045-4</w:t>
      </w:r>
      <w:r>
        <w:rPr>
          <w:rStyle w:val="17"/>
          <w:rFonts w:ascii="Arial" w:hAnsi="Arial" w:cs="Arial"/>
          <w:sz w:val="18"/>
          <w:szCs w:val="18"/>
        </w:rPr>
        <w:fldChar w:fldCharType="end"/>
      </w:r>
      <w:r>
        <w:rPr>
          <w:rStyle w:val="74"/>
          <w:rFonts w:ascii="Arial" w:hAnsi="Arial" w:cs="Arial"/>
          <w:sz w:val="18"/>
          <w:szCs w:val="18"/>
        </w:rPr>
        <w:t>.</w:t>
      </w:r>
    </w:p>
    <w:p w14:paraId="0166B289">
      <w:pPr>
        <w:pStyle w:val="60"/>
        <w:spacing w:before="0" w:beforeAutospacing="0" w:after="0" w:afterAutospacing="0"/>
        <w:ind w:left="555" w:hanging="555"/>
        <w:textAlignment w:val="baseline"/>
        <w:rPr>
          <w:rFonts w:ascii="Arial" w:hAnsi="Arial" w:cs="Arial"/>
          <w:sz w:val="18"/>
          <w:szCs w:val="18"/>
        </w:rPr>
      </w:pPr>
    </w:p>
    <w:p w14:paraId="5BDBD92E">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Hadwin, J. A., Baron-Cohen, S., Howlin, P., &amp; Hill, K. (1966). Can we teach children with autism to understand emotions, belief, or pretense. Development and Psychopathology</w:t>
      </w:r>
      <w:r>
        <w:rPr>
          <w:rStyle w:val="61"/>
          <w:rFonts w:ascii="Arial" w:hAnsi="Arial" w:cs="Arial"/>
          <w:i/>
          <w:iCs/>
          <w:sz w:val="18"/>
          <w:szCs w:val="18"/>
          <w:lang w:val="en-ZA"/>
        </w:rPr>
        <w:t>, 8,</w:t>
      </w:r>
      <w:r>
        <w:rPr>
          <w:rStyle w:val="61"/>
          <w:rFonts w:ascii="Arial" w:hAnsi="Arial" w:cs="Arial"/>
          <w:sz w:val="18"/>
          <w:szCs w:val="18"/>
          <w:lang w:val="en-ZA"/>
        </w:rPr>
        <w:t xml:space="preserve"> 345-365.</w:t>
      </w:r>
      <w:r>
        <w:rPr>
          <w:rStyle w:val="62"/>
          <w:rFonts w:ascii="Arial" w:hAnsi="Arial" w:cs="Arial"/>
          <w:sz w:val="18"/>
          <w:szCs w:val="18"/>
        </w:rPr>
        <w:t> </w:t>
      </w:r>
    </w:p>
    <w:p w14:paraId="1C27A862">
      <w:pPr>
        <w:pStyle w:val="60"/>
        <w:spacing w:before="0" w:beforeAutospacing="0" w:after="0" w:afterAutospacing="0"/>
        <w:textAlignment w:val="baseline"/>
        <w:rPr>
          <w:rFonts w:ascii="Arial" w:hAnsi="Arial" w:cs="Arial"/>
          <w:sz w:val="18"/>
          <w:szCs w:val="18"/>
        </w:rPr>
      </w:pPr>
      <w:r>
        <w:fldChar w:fldCharType="begin"/>
      </w:r>
      <w:r>
        <w:instrText xml:space="preserve"> HYPERLINK "https://doi.org/10.1023/A:1025826009731" </w:instrText>
      </w:r>
      <w:r>
        <w:fldChar w:fldCharType="separate"/>
      </w:r>
      <w:r>
        <w:rPr>
          <w:rStyle w:val="17"/>
          <w:rFonts w:ascii="Arial" w:hAnsi="Arial" w:cs="Arial"/>
          <w:sz w:val="18"/>
          <w:szCs w:val="18"/>
        </w:rPr>
        <w:t>https://doi.org/10.1023/A:1025826009731</w:t>
      </w:r>
      <w:r>
        <w:rPr>
          <w:rStyle w:val="17"/>
          <w:rFonts w:ascii="Arial" w:hAnsi="Arial" w:cs="Arial"/>
          <w:sz w:val="18"/>
          <w:szCs w:val="18"/>
        </w:rPr>
        <w:fldChar w:fldCharType="end"/>
      </w:r>
    </w:p>
    <w:p w14:paraId="38738168">
      <w:pPr>
        <w:pStyle w:val="60"/>
        <w:spacing w:before="0" w:beforeAutospacing="0" w:after="0" w:afterAutospacing="0"/>
        <w:textAlignment w:val="baseline"/>
        <w:rPr>
          <w:rFonts w:ascii="Arial" w:hAnsi="Arial" w:cs="Arial"/>
          <w:sz w:val="18"/>
          <w:szCs w:val="18"/>
        </w:rPr>
      </w:pPr>
    </w:p>
    <w:p w14:paraId="42384966">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Gould, E., Tarbox, J., O’Hara, D., Noone, S., &amp; Bergstrom, R. (2011). Teaching children with autism a basic component skill of perspective taking. Behavior Intervention</w:t>
      </w:r>
      <w:r>
        <w:rPr>
          <w:rStyle w:val="61"/>
          <w:rFonts w:ascii="Arial" w:hAnsi="Arial" w:cs="Arial"/>
          <w:i/>
          <w:iCs/>
          <w:sz w:val="18"/>
          <w:szCs w:val="18"/>
          <w:lang w:val="en-ZA"/>
        </w:rPr>
        <w:t>, 26,</w:t>
      </w:r>
      <w:r>
        <w:rPr>
          <w:rStyle w:val="61"/>
          <w:rFonts w:ascii="Arial" w:hAnsi="Arial" w:cs="Arial"/>
          <w:sz w:val="18"/>
          <w:szCs w:val="18"/>
          <w:lang w:val="en-ZA"/>
        </w:rPr>
        <w:t xml:space="preserve"> 50-66.</w:t>
      </w:r>
      <w:r>
        <w:rPr>
          <w:rStyle w:val="62"/>
          <w:rFonts w:ascii="Arial" w:hAnsi="Arial" w:cs="Arial"/>
          <w:sz w:val="18"/>
          <w:szCs w:val="18"/>
        </w:rPr>
        <w:t> </w:t>
      </w:r>
    </w:p>
    <w:p w14:paraId="0464A700">
      <w:pPr>
        <w:pStyle w:val="60"/>
        <w:spacing w:before="0" w:beforeAutospacing="0" w:after="0" w:afterAutospacing="0"/>
        <w:textAlignment w:val="baseline"/>
        <w:rPr>
          <w:rFonts w:ascii="Arial" w:hAnsi="Arial" w:cs="Arial"/>
          <w:sz w:val="18"/>
          <w:szCs w:val="18"/>
        </w:rPr>
      </w:pPr>
    </w:p>
    <w:p w14:paraId="24674F6B">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Paynter, J., &amp; Peterson, C. C. (2013). Further evidence of benefits of thought-bubble training for theory of mind development in children with autistic spectrum disorders. Research in Autism Spectrum Disorders</w:t>
      </w:r>
      <w:r>
        <w:rPr>
          <w:rStyle w:val="61"/>
          <w:rFonts w:ascii="Arial" w:hAnsi="Arial" w:cs="Arial"/>
          <w:i/>
          <w:iCs/>
          <w:sz w:val="18"/>
          <w:szCs w:val="18"/>
          <w:lang w:val="en-ZA"/>
        </w:rPr>
        <w:t>, 7,</w:t>
      </w:r>
      <w:r>
        <w:rPr>
          <w:rStyle w:val="61"/>
          <w:rFonts w:ascii="Arial" w:hAnsi="Arial" w:cs="Arial"/>
          <w:sz w:val="18"/>
          <w:szCs w:val="18"/>
          <w:lang w:val="en-ZA"/>
        </w:rPr>
        <w:t xml:space="preserve"> 344-348.</w:t>
      </w:r>
      <w:r>
        <w:rPr>
          <w:rStyle w:val="62"/>
          <w:rFonts w:ascii="Arial" w:hAnsi="Arial" w:cs="Arial"/>
          <w:sz w:val="18"/>
          <w:szCs w:val="18"/>
        </w:rPr>
        <w:t> </w:t>
      </w:r>
    </w:p>
    <w:p w14:paraId="2A5E79FD">
      <w:pPr>
        <w:pStyle w:val="60"/>
        <w:spacing w:before="0" w:beforeAutospacing="0" w:after="0" w:afterAutospacing="0"/>
        <w:textAlignment w:val="baseline"/>
        <w:rPr>
          <w:rStyle w:val="62"/>
          <w:rFonts w:ascii="Arial" w:hAnsi="Arial" w:cs="Arial"/>
          <w:sz w:val="18"/>
          <w:szCs w:val="18"/>
        </w:rPr>
      </w:pPr>
      <w:r>
        <w:fldChar w:fldCharType="begin"/>
      </w:r>
      <w:r>
        <w:instrText xml:space="preserve"> HYPERLINK "https://psycnet.apa.org/doi/10.1016/j.rasd.2012.10.001" \t "_blank" </w:instrText>
      </w:r>
      <w:r>
        <w:fldChar w:fldCharType="separate"/>
      </w:r>
      <w:r>
        <w:rPr>
          <w:rStyle w:val="17"/>
          <w:rFonts w:ascii="Arial" w:hAnsi="Arial" w:cs="Arial"/>
          <w:sz w:val="18"/>
          <w:szCs w:val="18"/>
        </w:rPr>
        <w:t>https://doi.org/10.1016/j.rasd.2012.10.001</w:t>
      </w:r>
      <w:r>
        <w:rPr>
          <w:rStyle w:val="17"/>
          <w:rFonts w:ascii="Arial" w:hAnsi="Arial" w:cs="Arial"/>
          <w:sz w:val="18"/>
          <w:szCs w:val="18"/>
        </w:rPr>
        <w:fldChar w:fldCharType="end"/>
      </w:r>
    </w:p>
    <w:p w14:paraId="057AA8A5">
      <w:pPr>
        <w:pStyle w:val="60"/>
        <w:spacing w:before="0" w:beforeAutospacing="0" w:after="0" w:afterAutospacing="0"/>
        <w:textAlignment w:val="baseline"/>
        <w:rPr>
          <w:rFonts w:ascii="Arial" w:hAnsi="Arial" w:cs="Arial"/>
          <w:sz w:val="18"/>
          <w:szCs w:val="18"/>
        </w:rPr>
      </w:pPr>
    </w:p>
    <w:p w14:paraId="4DA46B3A">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nl-NL"/>
        </w:rPr>
        <w:t xml:space="preserve">Begeer, S., Malle, B.F., Nieuwland, M.S., &amp; Keysar, B. (2010). </w:t>
      </w:r>
      <w:r>
        <w:rPr>
          <w:rStyle w:val="61"/>
          <w:rFonts w:ascii="Arial" w:hAnsi="Arial" w:cs="Arial"/>
          <w:sz w:val="18"/>
          <w:szCs w:val="18"/>
          <w:lang w:val="en-ZA"/>
        </w:rPr>
        <w:t>Using theory of mind to represent and take part in social interactions. Comparing high functioning autism and typically developing controls. European Journal of Developmental Psychology</w:t>
      </w:r>
      <w:r>
        <w:rPr>
          <w:rStyle w:val="61"/>
          <w:rFonts w:ascii="Arial" w:hAnsi="Arial" w:cs="Arial"/>
          <w:i/>
          <w:iCs/>
          <w:sz w:val="18"/>
          <w:szCs w:val="18"/>
          <w:lang w:val="en-ZA"/>
        </w:rPr>
        <w:t xml:space="preserve">, </w:t>
      </w:r>
      <w:r>
        <w:rPr>
          <w:rStyle w:val="61"/>
          <w:rFonts w:ascii="Arial" w:hAnsi="Arial" w:cs="Arial"/>
          <w:sz w:val="18"/>
          <w:szCs w:val="18"/>
          <w:lang w:val="en-ZA"/>
        </w:rPr>
        <w:t>7, 104-122.</w:t>
      </w:r>
      <w:r>
        <w:rPr>
          <w:rStyle w:val="62"/>
          <w:rFonts w:ascii="Arial" w:hAnsi="Arial" w:cs="Arial"/>
          <w:sz w:val="18"/>
          <w:szCs w:val="18"/>
        </w:rPr>
        <w:t> </w:t>
      </w:r>
    </w:p>
    <w:p w14:paraId="37B26D22">
      <w:pPr>
        <w:pStyle w:val="60"/>
        <w:spacing w:before="0" w:beforeAutospacing="0" w:after="0" w:afterAutospacing="0"/>
        <w:textAlignment w:val="baseline"/>
        <w:rPr>
          <w:rFonts w:ascii="Arial" w:hAnsi="Arial" w:cs="Arial"/>
          <w:sz w:val="18"/>
          <w:szCs w:val="18"/>
        </w:rPr>
      </w:pPr>
      <w:r>
        <w:fldChar w:fldCharType="begin"/>
      </w:r>
      <w:r>
        <w:instrText xml:space="preserve"> HYPERLINK "https://psycnet.apa.org/doi/10.1080/17405620903024263" \t "_blank" </w:instrText>
      </w:r>
      <w:r>
        <w:fldChar w:fldCharType="separate"/>
      </w:r>
      <w:r>
        <w:rPr>
          <w:rFonts w:ascii="Arial" w:hAnsi="Arial" w:cs="Arial" w:eastAsiaTheme="minorEastAsia"/>
          <w:color w:val="0000FF"/>
          <w:sz w:val="18"/>
          <w:szCs w:val="18"/>
          <w:u w:val="single"/>
          <w:lang w:val="en-US" w:eastAsia="en-US"/>
        </w:rPr>
        <w:t>https://doi.org/10.1080/17405620903024263</w:t>
      </w:r>
      <w:r>
        <w:rPr>
          <w:rFonts w:ascii="Arial" w:hAnsi="Arial" w:cs="Arial" w:eastAsiaTheme="minorEastAsia"/>
          <w:color w:val="0000FF"/>
          <w:sz w:val="18"/>
          <w:szCs w:val="18"/>
          <w:u w:val="single"/>
          <w:lang w:val="en-US" w:eastAsia="en-US"/>
        </w:rPr>
        <w:fldChar w:fldCharType="end"/>
      </w:r>
    </w:p>
    <w:p w14:paraId="53117BC1">
      <w:pPr>
        <w:pStyle w:val="60"/>
        <w:spacing w:before="0" w:beforeAutospacing="0" w:after="0" w:afterAutospacing="0"/>
        <w:ind w:firstLine="720"/>
        <w:textAlignment w:val="baseline"/>
        <w:rPr>
          <w:rFonts w:ascii="Arial" w:hAnsi="Arial" w:cs="Arial"/>
          <w:sz w:val="18"/>
          <w:szCs w:val="18"/>
        </w:rPr>
      </w:pPr>
      <w:r>
        <w:rPr>
          <w:rStyle w:val="66"/>
          <w:rFonts w:ascii="Arial" w:hAnsi="Arial" w:cs="Arial"/>
          <w:sz w:val="18"/>
          <w:szCs w:val="18"/>
        </w:rPr>
        <w:t> </w:t>
      </w:r>
      <w:r>
        <w:rPr>
          <w:rStyle w:val="62"/>
          <w:rFonts w:ascii="Arial" w:hAnsi="Arial" w:cs="Arial"/>
          <w:sz w:val="18"/>
          <w:szCs w:val="18"/>
        </w:rPr>
        <w:t> </w:t>
      </w:r>
    </w:p>
    <w:p w14:paraId="60C5831D">
      <w:pPr>
        <w:pStyle w:val="60"/>
        <w:spacing w:before="0" w:beforeAutospacing="0" w:after="0" w:afterAutospacing="0"/>
        <w:textAlignment w:val="baseline"/>
        <w:rPr>
          <w:rStyle w:val="62"/>
          <w:rFonts w:ascii="Arial" w:hAnsi="Arial" w:cs="Arial"/>
          <w:sz w:val="18"/>
          <w:szCs w:val="18"/>
        </w:rPr>
      </w:pPr>
      <w:r>
        <w:rPr>
          <w:rStyle w:val="61"/>
          <w:rFonts w:ascii="Arial" w:hAnsi="Arial" w:cs="Arial"/>
          <w:sz w:val="18"/>
          <w:szCs w:val="18"/>
          <w:lang w:val="en-ZA"/>
        </w:rPr>
        <w:t>Bauminger, N. (2007). Individual social multi-modal intervention for HF-ASD. Journal of Autism and Developmental Disorders, 37, 1593-1604.</w:t>
      </w:r>
      <w:r>
        <w:rPr>
          <w:rStyle w:val="62"/>
          <w:rFonts w:ascii="Arial" w:hAnsi="Arial" w:cs="Arial"/>
          <w:sz w:val="18"/>
          <w:szCs w:val="18"/>
        </w:rPr>
        <w:t> </w:t>
      </w:r>
    </w:p>
    <w:p w14:paraId="1443CDDF">
      <w:pPr>
        <w:pStyle w:val="60"/>
        <w:spacing w:before="0" w:beforeAutospacing="0" w:after="0" w:afterAutospacing="0"/>
        <w:textAlignment w:val="baseline"/>
        <w:rPr>
          <w:rStyle w:val="74"/>
          <w:rFonts w:ascii="Arial" w:hAnsi="Arial" w:cs="Arial"/>
          <w:sz w:val="18"/>
          <w:szCs w:val="18"/>
        </w:rPr>
      </w:pPr>
      <w:r>
        <w:fldChar w:fldCharType="begin"/>
      </w:r>
      <w:r>
        <w:instrText xml:space="preserve"> HYPERLINK "http://doi.org/0.1007/s10803-006-0245-4" </w:instrText>
      </w:r>
      <w:r>
        <w:fldChar w:fldCharType="separate"/>
      </w:r>
      <w:r>
        <w:rPr>
          <w:rStyle w:val="17"/>
          <w:rFonts w:ascii="Arial" w:hAnsi="Arial" w:cs="Arial"/>
          <w:sz w:val="18"/>
          <w:szCs w:val="18"/>
        </w:rPr>
        <w:t>http://doi.org/0.1007/s10803-006-0245-4</w:t>
      </w:r>
      <w:r>
        <w:rPr>
          <w:rStyle w:val="17"/>
          <w:rFonts w:ascii="Arial" w:hAnsi="Arial" w:cs="Arial"/>
          <w:sz w:val="18"/>
          <w:szCs w:val="18"/>
        </w:rPr>
        <w:fldChar w:fldCharType="end"/>
      </w:r>
      <w:r>
        <w:rPr>
          <w:rStyle w:val="74"/>
          <w:rFonts w:ascii="Arial" w:hAnsi="Arial" w:cs="Arial"/>
          <w:sz w:val="18"/>
          <w:szCs w:val="18"/>
        </w:rPr>
        <w:t>.</w:t>
      </w:r>
    </w:p>
    <w:p w14:paraId="083DB1CB">
      <w:pPr>
        <w:pStyle w:val="60"/>
        <w:spacing w:before="0" w:beforeAutospacing="0" w:after="0" w:afterAutospacing="0"/>
        <w:textAlignment w:val="baseline"/>
        <w:rPr>
          <w:rStyle w:val="74"/>
          <w:rFonts w:ascii="Arial" w:hAnsi="Arial" w:cs="Arial"/>
          <w:sz w:val="18"/>
          <w:szCs w:val="18"/>
        </w:rPr>
      </w:pPr>
    </w:p>
    <w:p w14:paraId="41DA5AB0">
      <w:pPr>
        <w:pStyle w:val="60"/>
        <w:spacing w:before="0" w:beforeAutospacing="0" w:after="0" w:afterAutospacing="0"/>
        <w:textAlignment w:val="baseline"/>
        <w:rPr>
          <w:rStyle w:val="74"/>
          <w:rFonts w:ascii="Arial" w:hAnsi="Arial" w:cs="Arial"/>
          <w:sz w:val="18"/>
          <w:szCs w:val="18"/>
        </w:rPr>
      </w:pPr>
    </w:p>
    <w:p w14:paraId="70D5F6A3">
      <w:pPr>
        <w:pStyle w:val="60"/>
        <w:spacing w:before="0" w:beforeAutospacing="0" w:after="0" w:afterAutospacing="0"/>
        <w:textAlignment w:val="baseline"/>
        <w:rPr>
          <w:rFonts w:ascii="Arial" w:hAnsi="Arial" w:cs="Arial"/>
          <w:sz w:val="18"/>
          <w:szCs w:val="18"/>
        </w:rPr>
      </w:pPr>
    </w:p>
    <w:p w14:paraId="5B63D036">
      <w:pPr>
        <w:pStyle w:val="60"/>
        <w:spacing w:before="0" w:beforeAutospacing="0" w:after="0" w:afterAutospacing="0"/>
        <w:ind w:left="270"/>
        <w:jc w:val="both"/>
        <w:textAlignment w:val="baseline"/>
        <w:rPr>
          <w:rFonts w:ascii="Arial" w:hAnsi="Arial" w:cs="Arial"/>
          <w:sz w:val="18"/>
          <w:szCs w:val="18"/>
        </w:rPr>
      </w:pPr>
    </w:p>
    <w:p w14:paraId="66D7ADDD">
      <w:pPr>
        <w:pStyle w:val="67"/>
        <w:rPr>
          <w:bCs/>
          <w:sz w:val="12"/>
          <w:szCs w:val="16"/>
        </w:rPr>
      </w:pPr>
    </w:p>
    <w:sectPr>
      <w:headerReference r:id="rId9" w:type="first"/>
      <w:footerReference r:id="rId12" w:type="first"/>
      <w:headerReference r:id="rId7" w:type="default"/>
      <w:footerReference r:id="rId10" w:type="default"/>
      <w:headerReference r:id="rId8" w:type="even"/>
      <w:footerReference r:id="rId11" w:type="even"/>
      <w:pgSz w:w="9360" w:h="13680"/>
      <w:pgMar w:top="1440" w:right="1440" w:bottom="1440" w:left="1440" w:header="720" w:footer="864" w:gutter="0"/>
      <w:cols w:space="720"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ehan Y" w:date="2025-07-05T20:04:46Z" w:initials="">
    <w:p w14:paraId="2EB97E35">
      <w:pPr>
        <w:pStyle w:val="8"/>
        <w:rPr>
          <w:rFonts w:hint="default"/>
          <w:lang w:val="en-US"/>
        </w:rPr>
      </w:pPr>
      <w:r>
        <w:rPr>
          <w:rFonts w:hint="default"/>
          <w:lang w:val="en-US"/>
        </w:rPr>
        <w:t>Add small introduction first before the Aims of the study</w:t>
      </w:r>
      <w:bookmarkStart w:id="0" w:name="_GoBack"/>
      <w:bookmarkEnd w:id="0"/>
    </w:p>
  </w:comment>
  <w:comment w:id="1" w:author="Jehan Y" w:date="2025-07-05T19:19:31Z" w:initials="">
    <w:p w14:paraId="5653E08A">
      <w:pPr>
        <w:pStyle w:val="8"/>
        <w:rPr>
          <w:rFonts w:hint="default" w:cs="Arial"/>
          <w:lang w:val="en-US" w:bidi="ar-IQ"/>
        </w:rPr>
      </w:pPr>
      <w:r>
        <w:rPr>
          <w:rFonts w:hint="default"/>
          <w:lang w:val="en-US"/>
        </w:rPr>
        <w:t>References should be mentioned from older to</w:t>
      </w:r>
      <w:r>
        <w:rPr>
          <w:rFonts w:hint="cs" w:cs="Arial"/>
          <w:rtl/>
          <w:lang w:val="en-US" w:bidi="ar-IQ"/>
        </w:rPr>
        <w:t xml:space="preserve"> </w:t>
      </w:r>
      <w:r>
        <w:rPr>
          <w:rFonts w:hint="default" w:cs="Arial"/>
          <w:rtl w:val="0"/>
          <w:lang w:val="en-US" w:bidi="ar-IQ"/>
        </w:rPr>
        <w:t>newest in the text.</w:t>
      </w:r>
    </w:p>
  </w:comment>
  <w:comment w:id="2" w:author="Jehan Y" w:date="2025-07-05T19:28:27Z" w:initials="">
    <w:p w14:paraId="13671F35">
      <w:pPr>
        <w:pStyle w:val="8"/>
        <w:rPr>
          <w:rFonts w:hint="default"/>
          <w:lang w:val="en-US"/>
        </w:rPr>
      </w:pPr>
      <w:r>
        <w:rPr>
          <w:rFonts w:hint="default"/>
          <w:lang w:val="en-US"/>
        </w:rPr>
        <w:t>Explain this please?</w:t>
      </w:r>
    </w:p>
  </w:comment>
  <w:comment w:id="3" w:author="Jehan Y" w:date="2025-07-05T19:32:32Z" w:initials="">
    <w:p w14:paraId="49016F94">
      <w:pPr>
        <w:pStyle w:val="8"/>
        <w:rPr>
          <w:rFonts w:hint="default" w:cs="Arial"/>
          <w:lang w:val="en-US" w:bidi="ar-IQ"/>
        </w:rPr>
      </w:pPr>
      <w:r>
        <w:rPr>
          <w:rFonts w:hint="default"/>
          <w:lang w:val="en-US"/>
        </w:rPr>
        <w:t>You have already explained the abbreviations for this word. You can use the abbreviations instead of writing the word.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B97E35" w15:done="0"/>
  <w15:commentEx w15:paraId="5653E08A" w15:done="0"/>
  <w15:commentEx w15:paraId="13671F35" w15:done="0"/>
  <w15:commentEx w15:paraId="49016F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rinda">
    <w:altName w:val="Segoe Print"/>
    <w:panose1 w:val="000004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panose1 w:val="020B0604020202020204"/>
    <w:charset w:val="80"/>
    <w:family w:val="swiss"/>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098"/>
      <w:docPartObj>
        <w:docPartGallery w:val="AutoText"/>
      </w:docPartObj>
    </w:sdtPr>
    <w:sdtContent>
      <w:p w14:paraId="3BCD08DD">
        <w:pPr>
          <w:pStyle w:val="13"/>
          <w:jc w:val="center"/>
          <w:rPr>
            <w:rFonts w:ascii="Arial" w:hAnsi="Arial" w:cs="Arial"/>
            <w:sz w:val="28"/>
          </w:rPr>
        </w:pPr>
      </w:p>
      <w:p w14:paraId="43D9E2BF">
        <w:pPr>
          <w:pStyle w:val="13"/>
          <w:jc w:val="center"/>
          <w:rPr>
            <w:rFonts w:ascii="Arial" w:hAnsi="Arial" w:cs="Arial"/>
            <w:sz w:val="18"/>
          </w:rPr>
        </w:pPr>
        <w:r>
          <w:rPr>
            <w:rFonts w:ascii="Arial" w:hAnsi="Arial" w:cs="Arial"/>
            <w:sz w:val="18"/>
          </w:rPr>
          <w:fldChar w:fldCharType="begin"/>
        </w:r>
        <w:r>
          <w:rPr>
            <w:rFonts w:ascii="Arial" w:hAnsi="Arial" w:cs="Arial"/>
            <w:sz w:val="18"/>
          </w:rPr>
          <w:instrText xml:space="preserve"> PAGE   \* MERGEFORMAT </w:instrText>
        </w:r>
        <w:r>
          <w:rPr>
            <w:rFonts w:ascii="Arial" w:hAnsi="Arial" w:cs="Arial"/>
            <w:sz w:val="18"/>
          </w:rPr>
          <w:fldChar w:fldCharType="separate"/>
        </w:r>
        <w:r>
          <w:rPr>
            <w:rFonts w:ascii="Arial" w:hAnsi="Arial" w:cs="Arial"/>
            <w:sz w:val="18"/>
          </w:rPr>
          <w:t>8</w:t>
        </w:r>
        <w:r>
          <w:rPr>
            <w:rFonts w:ascii="Arial" w:hAnsi="Arial" w:cs="Arial"/>
            <w:sz w:val="18"/>
          </w:rPr>
          <w:fldChar w:fldCharType="end"/>
        </w:r>
      </w:p>
      <w:p w14:paraId="18DC98C6">
        <w:pPr>
          <w:pStyle w:val="13"/>
          <w:jc w:val="center"/>
          <w:rPr>
            <w:rFonts w:ascii="Arial" w:hAnsi="Arial" w:cs="Arial"/>
            <w:sz w:val="1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CFA2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69353">
    <w:pPr>
      <w:pStyle w:val="13"/>
      <w:rPr>
        <w:rFonts w:ascii="Arial" w:hAnsi="Arial" w:cs="Arial"/>
        <w:i/>
        <w:sz w:val="16"/>
      </w:rPr>
    </w:pPr>
    <w:r>
      <w:rPr>
        <w:rFonts w:ascii="Arial" w:hAnsi="Arial" w:cs="Arial"/>
        <w:i/>
        <w:sz w:val="16"/>
      </w:rPr>
      <w:t>________________________________________________________________________</w:t>
    </w:r>
  </w:p>
  <w:p w14:paraId="1A1E1458">
    <w:pPr>
      <w:pStyle w:val="13"/>
      <w:jc w:val="both"/>
      <w:rPr>
        <w:rFonts w:ascii="Arial" w:hAnsi="Arial" w:cs="Arial"/>
        <w:b/>
        <w:i/>
        <w:color w:val="FF0000"/>
        <w:sz w:val="20"/>
      </w:rPr>
    </w:pPr>
  </w:p>
  <w:p w14:paraId="0EFF237A">
    <w:pPr>
      <w:pStyle w:val="13"/>
      <w:jc w:val="both"/>
      <w:rPr>
        <w:rFonts w:ascii="Arial" w:hAnsi="Arial" w:cs="Arial"/>
        <w:b/>
        <w:i/>
        <w:color w:val="FF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990E1">
    <w:pPr>
      <w:tabs>
        <w:tab w:val="center" w:pos="4320"/>
        <w:tab w:val="right" w:pos="8640"/>
      </w:tabs>
      <w:spacing w:after="0" w:line="240" w:lineRule="auto"/>
      <w:jc w:val="right"/>
      <w:rPr>
        <w:rFonts w:ascii="Arial" w:hAnsi="Arial" w:eastAsia="Times New Roman" w:cs="Arial"/>
        <w:i/>
        <w:sz w:val="14"/>
        <w:szCs w:val="14"/>
        <w:highlight w:val="yellow"/>
      </w:rPr>
    </w:pPr>
    <w:r>
      <w:pict>
        <v:shape id="PowerPlusWaterMarkObject1416649189" o:spid="_x0000_s2051" o:spt="136" type="#_x0000_t136" style="position:absolute;left:0pt;height:72.1pt;width:384.6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p w14:paraId="3647BFC9">
    <w:pPr>
      <w:tabs>
        <w:tab w:val="center" w:pos="4320"/>
        <w:tab w:val="right" w:pos="8640"/>
      </w:tabs>
      <w:spacing w:after="0" w:line="240" w:lineRule="auto"/>
      <w:jc w:val="right"/>
      <w:rPr>
        <w:rFonts w:ascii="Arial" w:hAnsi="Arial" w:eastAsia="Times New Roman" w:cs="Arial"/>
        <w:i/>
        <w:sz w:val="14"/>
        <w:szCs w:val="14"/>
        <w:highlight w:val="yellow"/>
      </w:rPr>
    </w:pPr>
  </w:p>
  <w:p w14:paraId="799556C3">
    <w:pPr>
      <w:tabs>
        <w:tab w:val="center" w:pos="4320"/>
        <w:tab w:val="right" w:pos="8640"/>
      </w:tabs>
      <w:spacing w:after="0" w:line="240" w:lineRule="auto"/>
      <w:jc w:val="right"/>
      <w:rPr>
        <w:rFonts w:ascii="Arial" w:hAnsi="Arial" w:eastAsia="Times New Roman" w:cs="Arial"/>
        <w:i/>
        <w:sz w:val="14"/>
        <w:szCs w:val="14"/>
        <w:highlight w:val="yellow"/>
      </w:rPr>
    </w:pPr>
  </w:p>
  <w:p w14:paraId="712E6163">
    <w:pPr>
      <w:tabs>
        <w:tab w:val="center" w:pos="4320"/>
        <w:tab w:val="right" w:pos="8640"/>
      </w:tabs>
      <w:spacing w:after="0" w:line="240" w:lineRule="auto"/>
      <w:jc w:val="right"/>
      <w:rPr>
        <w:rFonts w:ascii="Arial" w:hAnsi="Arial" w:eastAsia="Times New Roman" w:cs="Arial"/>
        <w:b/>
        <w:i/>
        <w:sz w:val="14"/>
        <w:szCs w:val="14"/>
      </w:rPr>
    </w:pPr>
  </w:p>
  <w:p w14:paraId="1B5AF832">
    <w:pPr>
      <w:tabs>
        <w:tab w:val="center" w:pos="4320"/>
        <w:tab w:val="right" w:pos="8640"/>
      </w:tabs>
      <w:spacing w:after="0" w:line="240" w:lineRule="auto"/>
      <w:jc w:val="right"/>
      <w:rPr>
        <w:rFonts w:ascii="Arial" w:hAnsi="Arial" w:eastAsia="Times New Roman" w:cs="Arial"/>
        <w:i/>
        <w:sz w:val="14"/>
        <w:szCs w:val="14"/>
      </w:rPr>
    </w:pPr>
  </w:p>
  <w:p w14:paraId="0BF058EE">
    <w:pPr>
      <w:tabs>
        <w:tab w:val="center" w:pos="4320"/>
        <w:tab w:val="right" w:pos="8640"/>
      </w:tabs>
      <w:spacing w:after="0" w:line="240" w:lineRule="auto"/>
      <w:jc w:val="right"/>
      <w:rPr>
        <w:rFonts w:ascii="Arial" w:hAnsi="Arial" w:eastAsia="Times New Roman" w:cs="Arial"/>
        <w:i/>
        <w:sz w:val="14"/>
        <w:szCs w:val="14"/>
      </w:rPr>
    </w:pPr>
  </w:p>
  <w:p w14:paraId="1E904FDF">
    <w:pPr>
      <w:tabs>
        <w:tab w:val="center" w:pos="4320"/>
        <w:tab w:val="right" w:pos="8640"/>
      </w:tabs>
      <w:spacing w:after="0" w:line="240" w:lineRule="auto"/>
      <w:jc w:val="right"/>
      <w:rPr>
        <w:rFonts w:ascii="Arial" w:hAnsi="Arial" w:eastAsia="Times New Roman" w:cs="Arial"/>
        <w:i/>
        <w:sz w:val="14"/>
        <w:szCs w:val="14"/>
      </w:rPr>
    </w:pPr>
  </w:p>
  <w:p w14:paraId="2154D456">
    <w:pPr>
      <w:tabs>
        <w:tab w:val="center" w:pos="4320"/>
        <w:tab w:val="right" w:pos="8640"/>
      </w:tabs>
      <w:spacing w:after="0" w:line="240" w:lineRule="auto"/>
      <w:jc w:val="right"/>
      <w:rPr>
        <w:rFonts w:ascii="Arial" w:hAnsi="Arial" w:eastAsia="Times New Roman" w:cs="Arial"/>
        <w:i/>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544F">
    <w:pPr>
      <w:tabs>
        <w:tab w:val="center" w:pos="4320"/>
        <w:tab w:val="right" w:pos="8640"/>
      </w:tabs>
      <w:spacing w:after="0" w:line="240" w:lineRule="auto"/>
      <w:rPr>
        <w:rFonts w:ascii="Arial" w:hAnsi="Arial" w:eastAsia="Times New Roman" w:cs="Arial"/>
        <w:b/>
        <w:i/>
        <w:sz w:val="16"/>
        <w:szCs w:val="20"/>
      </w:rPr>
    </w:pPr>
    <w:r>
      <w:pict>
        <v:shape id="PowerPlusWaterMarkObject1416649188" o:spid="_x0000_s2050" o:spt="136" type="#_x0000_t136" style="position:absolute;left:0pt;height:72.1pt;width:384.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p w14:paraId="42FB27BA">
    <w:pPr>
      <w:tabs>
        <w:tab w:val="center" w:pos="4320"/>
        <w:tab w:val="right" w:pos="8640"/>
      </w:tabs>
      <w:spacing w:after="0" w:line="240" w:lineRule="auto"/>
      <w:rPr>
        <w:rFonts w:ascii="Arial" w:hAnsi="Arial" w:eastAsia="Times New Roman" w:cs="Arial"/>
        <w:b/>
        <w:i/>
        <w:sz w:val="16"/>
        <w:szCs w:val="20"/>
      </w:rPr>
    </w:pPr>
  </w:p>
  <w:p w14:paraId="382FD9EC">
    <w:pPr>
      <w:tabs>
        <w:tab w:val="center" w:pos="4320"/>
        <w:tab w:val="right" w:pos="8640"/>
      </w:tabs>
      <w:spacing w:after="0" w:line="240" w:lineRule="auto"/>
      <w:rPr>
        <w:rFonts w:ascii="Arial" w:hAnsi="Arial" w:eastAsia="Times New Roman" w:cs="Arial"/>
        <w:b/>
        <w:i/>
        <w:sz w:val="16"/>
        <w:szCs w:val="20"/>
      </w:rPr>
    </w:pPr>
  </w:p>
  <w:p w14:paraId="1EC7F3ED">
    <w:pPr>
      <w:tabs>
        <w:tab w:val="center" w:pos="4320"/>
        <w:tab w:val="right" w:pos="8640"/>
      </w:tabs>
      <w:spacing w:after="0" w:line="240" w:lineRule="auto"/>
      <w:rPr>
        <w:rFonts w:ascii="Arial" w:hAnsi="Arial" w:eastAsia="Times New Roman" w:cs="Arial"/>
        <w:b/>
        <w:i/>
        <w:sz w:val="16"/>
        <w:szCs w:val="20"/>
      </w:rPr>
    </w:pPr>
  </w:p>
  <w:p w14:paraId="77E57F9F">
    <w:pPr>
      <w:tabs>
        <w:tab w:val="center" w:pos="4320"/>
        <w:tab w:val="right" w:pos="8640"/>
      </w:tabs>
      <w:spacing w:after="0" w:line="240" w:lineRule="auto"/>
      <w:rPr>
        <w:rFonts w:ascii="Arial" w:hAnsi="Arial" w:eastAsia="Times New Roman" w:cs="Arial"/>
        <w:i/>
        <w:sz w:val="16"/>
        <w:szCs w:val="20"/>
      </w:rPr>
    </w:pPr>
  </w:p>
  <w:p w14:paraId="3A5DDD44">
    <w:pPr>
      <w:pStyle w:val="16"/>
      <w:rPr>
        <w:sz w:val="16"/>
      </w:rPr>
    </w:pPr>
  </w:p>
  <w:p w14:paraId="3DFE3FC3">
    <w:pPr>
      <w:pStyle w:val="16"/>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9347">
    <w:pPr>
      <w:pStyle w:val="16"/>
    </w:pPr>
    <w:r>
      <w:pict>
        <v:shape id="PowerPlusWaterMarkObject1416649187" o:spid="_x0000_s2049" o:spt="136" type="#_x0000_t136" style="position:absolute;left:0pt;height:72.1pt;width:384.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53E65"/>
    <w:multiLevelType w:val="multilevel"/>
    <w:tmpl w:val="01553E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6CD0D7C"/>
    <w:multiLevelType w:val="multilevel"/>
    <w:tmpl w:val="06CD0D7C"/>
    <w:lvl w:ilvl="0" w:tentative="0">
      <w:start w:val="1"/>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720" w:hanging="72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080" w:hanging="108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440" w:hanging="1440"/>
      </w:pPr>
      <w:rPr>
        <w:rFonts w:hint="default"/>
        <w:b/>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ehan Y">
    <w15:presenceInfo w15:providerId="WPS Office" w15:userId="2552811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09"/>
    <w:rsid w:val="0000381C"/>
    <w:rsid w:val="000102C3"/>
    <w:rsid w:val="0002037D"/>
    <w:rsid w:val="00020DBF"/>
    <w:rsid w:val="000300C0"/>
    <w:rsid w:val="00030F1D"/>
    <w:rsid w:val="0003366C"/>
    <w:rsid w:val="0004319C"/>
    <w:rsid w:val="000462FD"/>
    <w:rsid w:val="000626BB"/>
    <w:rsid w:val="00070403"/>
    <w:rsid w:val="00070BB0"/>
    <w:rsid w:val="00074041"/>
    <w:rsid w:val="00076C1B"/>
    <w:rsid w:val="0007762A"/>
    <w:rsid w:val="00081731"/>
    <w:rsid w:val="00083CEA"/>
    <w:rsid w:val="00095E5E"/>
    <w:rsid w:val="000A439E"/>
    <w:rsid w:val="000B75DD"/>
    <w:rsid w:val="000C47F3"/>
    <w:rsid w:val="000C7BCD"/>
    <w:rsid w:val="000D26A0"/>
    <w:rsid w:val="000D2DFF"/>
    <w:rsid w:val="000D5740"/>
    <w:rsid w:val="000E1EE4"/>
    <w:rsid w:val="000E3672"/>
    <w:rsid w:val="000E5BB1"/>
    <w:rsid w:val="000E7EDB"/>
    <w:rsid w:val="000F1DCC"/>
    <w:rsid w:val="000F5DF4"/>
    <w:rsid w:val="000F6BA6"/>
    <w:rsid w:val="00102BC0"/>
    <w:rsid w:val="00104A3B"/>
    <w:rsid w:val="0010789F"/>
    <w:rsid w:val="00123155"/>
    <w:rsid w:val="00124417"/>
    <w:rsid w:val="001252D6"/>
    <w:rsid w:val="00127A43"/>
    <w:rsid w:val="001401E6"/>
    <w:rsid w:val="001541C3"/>
    <w:rsid w:val="001611B5"/>
    <w:rsid w:val="001622BB"/>
    <w:rsid w:val="00164CD4"/>
    <w:rsid w:val="00166F1A"/>
    <w:rsid w:val="00170EB0"/>
    <w:rsid w:val="00173481"/>
    <w:rsid w:val="00173660"/>
    <w:rsid w:val="00174407"/>
    <w:rsid w:val="00184A40"/>
    <w:rsid w:val="001926BA"/>
    <w:rsid w:val="001929E6"/>
    <w:rsid w:val="00194B74"/>
    <w:rsid w:val="001969F2"/>
    <w:rsid w:val="001B4AFE"/>
    <w:rsid w:val="001B603E"/>
    <w:rsid w:val="001B7997"/>
    <w:rsid w:val="001C1263"/>
    <w:rsid w:val="001C21FB"/>
    <w:rsid w:val="001C3943"/>
    <w:rsid w:val="001C5940"/>
    <w:rsid w:val="001D1419"/>
    <w:rsid w:val="001D4826"/>
    <w:rsid w:val="001D50F4"/>
    <w:rsid w:val="001D5579"/>
    <w:rsid w:val="001D6C89"/>
    <w:rsid w:val="001D6D37"/>
    <w:rsid w:val="001E32CC"/>
    <w:rsid w:val="001E5AC6"/>
    <w:rsid w:val="001F029B"/>
    <w:rsid w:val="001F57FF"/>
    <w:rsid w:val="00202A41"/>
    <w:rsid w:val="002065A5"/>
    <w:rsid w:val="002069F3"/>
    <w:rsid w:val="00234260"/>
    <w:rsid w:val="00242C18"/>
    <w:rsid w:val="0024494C"/>
    <w:rsid w:val="00245E29"/>
    <w:rsid w:val="002467DD"/>
    <w:rsid w:val="0025070C"/>
    <w:rsid w:val="00253760"/>
    <w:rsid w:val="0025448F"/>
    <w:rsid w:val="00254928"/>
    <w:rsid w:val="00254D3F"/>
    <w:rsid w:val="00255395"/>
    <w:rsid w:val="00260588"/>
    <w:rsid w:val="00260783"/>
    <w:rsid w:val="00265941"/>
    <w:rsid w:val="00274E73"/>
    <w:rsid w:val="002857A3"/>
    <w:rsid w:val="00293BC8"/>
    <w:rsid w:val="002973D4"/>
    <w:rsid w:val="00297FD8"/>
    <w:rsid w:val="002A7F2D"/>
    <w:rsid w:val="002B1358"/>
    <w:rsid w:val="002B2426"/>
    <w:rsid w:val="002B26BC"/>
    <w:rsid w:val="002B31FE"/>
    <w:rsid w:val="002B65F4"/>
    <w:rsid w:val="002C32D0"/>
    <w:rsid w:val="002C42FB"/>
    <w:rsid w:val="002C56CC"/>
    <w:rsid w:val="002C606A"/>
    <w:rsid w:val="002C73FE"/>
    <w:rsid w:val="002D15AB"/>
    <w:rsid w:val="002D203E"/>
    <w:rsid w:val="002D4542"/>
    <w:rsid w:val="002D5C57"/>
    <w:rsid w:val="002D6FAD"/>
    <w:rsid w:val="002E579A"/>
    <w:rsid w:val="002F40B3"/>
    <w:rsid w:val="002F5633"/>
    <w:rsid w:val="002F7DE3"/>
    <w:rsid w:val="00302466"/>
    <w:rsid w:val="0030301F"/>
    <w:rsid w:val="0030437E"/>
    <w:rsid w:val="00305B93"/>
    <w:rsid w:val="00311590"/>
    <w:rsid w:val="00315BDD"/>
    <w:rsid w:val="0031640D"/>
    <w:rsid w:val="003220AC"/>
    <w:rsid w:val="003243AE"/>
    <w:rsid w:val="00327894"/>
    <w:rsid w:val="00332D33"/>
    <w:rsid w:val="00333019"/>
    <w:rsid w:val="00335795"/>
    <w:rsid w:val="00336476"/>
    <w:rsid w:val="00346132"/>
    <w:rsid w:val="0035419E"/>
    <w:rsid w:val="00355DEB"/>
    <w:rsid w:val="003576BF"/>
    <w:rsid w:val="00357905"/>
    <w:rsid w:val="0036014A"/>
    <w:rsid w:val="003653C8"/>
    <w:rsid w:val="003654D1"/>
    <w:rsid w:val="003676B0"/>
    <w:rsid w:val="00375144"/>
    <w:rsid w:val="00377684"/>
    <w:rsid w:val="003819AF"/>
    <w:rsid w:val="00385A2F"/>
    <w:rsid w:val="00386363"/>
    <w:rsid w:val="003940CD"/>
    <w:rsid w:val="00397809"/>
    <w:rsid w:val="00397F4E"/>
    <w:rsid w:val="003A15F4"/>
    <w:rsid w:val="003A20AD"/>
    <w:rsid w:val="003A37AE"/>
    <w:rsid w:val="003A3864"/>
    <w:rsid w:val="003B11B0"/>
    <w:rsid w:val="003B43D6"/>
    <w:rsid w:val="003B6631"/>
    <w:rsid w:val="003B7B22"/>
    <w:rsid w:val="003C0541"/>
    <w:rsid w:val="003C4CBC"/>
    <w:rsid w:val="003C6DB6"/>
    <w:rsid w:val="003D22C6"/>
    <w:rsid w:val="003D30AA"/>
    <w:rsid w:val="003D5B1B"/>
    <w:rsid w:val="003D7949"/>
    <w:rsid w:val="003D7B5F"/>
    <w:rsid w:val="003E7059"/>
    <w:rsid w:val="003F1E14"/>
    <w:rsid w:val="003F2AFF"/>
    <w:rsid w:val="003F69C0"/>
    <w:rsid w:val="00406503"/>
    <w:rsid w:val="004075C2"/>
    <w:rsid w:val="0041144E"/>
    <w:rsid w:val="00411A78"/>
    <w:rsid w:val="00414C80"/>
    <w:rsid w:val="004150AA"/>
    <w:rsid w:val="00423CB3"/>
    <w:rsid w:val="00424C6F"/>
    <w:rsid w:val="00427E04"/>
    <w:rsid w:val="0043106C"/>
    <w:rsid w:val="00432795"/>
    <w:rsid w:val="00434494"/>
    <w:rsid w:val="0043775E"/>
    <w:rsid w:val="004429EB"/>
    <w:rsid w:val="00442AED"/>
    <w:rsid w:val="0044483A"/>
    <w:rsid w:val="00445F47"/>
    <w:rsid w:val="00453305"/>
    <w:rsid w:val="00453BEF"/>
    <w:rsid w:val="004602CC"/>
    <w:rsid w:val="004624CB"/>
    <w:rsid w:val="00463DDE"/>
    <w:rsid w:val="00464638"/>
    <w:rsid w:val="0046639E"/>
    <w:rsid w:val="00466A2B"/>
    <w:rsid w:val="00473A24"/>
    <w:rsid w:val="0047473B"/>
    <w:rsid w:val="004753A1"/>
    <w:rsid w:val="004758A4"/>
    <w:rsid w:val="004B7F30"/>
    <w:rsid w:val="004C6A69"/>
    <w:rsid w:val="004D239E"/>
    <w:rsid w:val="004D5A63"/>
    <w:rsid w:val="004E05F4"/>
    <w:rsid w:val="004E22F1"/>
    <w:rsid w:val="004F3956"/>
    <w:rsid w:val="00510744"/>
    <w:rsid w:val="00525E9E"/>
    <w:rsid w:val="00530AE8"/>
    <w:rsid w:val="00547E21"/>
    <w:rsid w:val="00561754"/>
    <w:rsid w:val="00571AF2"/>
    <w:rsid w:val="00572B7B"/>
    <w:rsid w:val="00576C1D"/>
    <w:rsid w:val="005773CA"/>
    <w:rsid w:val="00591B94"/>
    <w:rsid w:val="005929CC"/>
    <w:rsid w:val="00592D2B"/>
    <w:rsid w:val="00592D54"/>
    <w:rsid w:val="005A55A4"/>
    <w:rsid w:val="005B0523"/>
    <w:rsid w:val="005B2DF9"/>
    <w:rsid w:val="005B32CC"/>
    <w:rsid w:val="005B4F0E"/>
    <w:rsid w:val="005D5569"/>
    <w:rsid w:val="005D7836"/>
    <w:rsid w:val="005E79FA"/>
    <w:rsid w:val="005F3AD1"/>
    <w:rsid w:val="005F4C5B"/>
    <w:rsid w:val="00604A8D"/>
    <w:rsid w:val="00606448"/>
    <w:rsid w:val="00614FA8"/>
    <w:rsid w:val="00616622"/>
    <w:rsid w:val="00617E4C"/>
    <w:rsid w:val="0062045B"/>
    <w:rsid w:val="006365AA"/>
    <w:rsid w:val="00637EEC"/>
    <w:rsid w:val="00640D2E"/>
    <w:rsid w:val="006443D8"/>
    <w:rsid w:val="00644648"/>
    <w:rsid w:val="00645E4F"/>
    <w:rsid w:val="00647D8F"/>
    <w:rsid w:val="00652B6D"/>
    <w:rsid w:val="00656BA4"/>
    <w:rsid w:val="00663B00"/>
    <w:rsid w:val="0066457A"/>
    <w:rsid w:val="006647CD"/>
    <w:rsid w:val="00671515"/>
    <w:rsid w:val="00686684"/>
    <w:rsid w:val="00692185"/>
    <w:rsid w:val="006A19D0"/>
    <w:rsid w:val="006B321A"/>
    <w:rsid w:val="006B5C1B"/>
    <w:rsid w:val="006D06BB"/>
    <w:rsid w:val="006E0B7F"/>
    <w:rsid w:val="00702FA6"/>
    <w:rsid w:val="00704746"/>
    <w:rsid w:val="00704880"/>
    <w:rsid w:val="007077C6"/>
    <w:rsid w:val="007126E6"/>
    <w:rsid w:val="007172CD"/>
    <w:rsid w:val="00717A33"/>
    <w:rsid w:val="00724CDF"/>
    <w:rsid w:val="00724D7F"/>
    <w:rsid w:val="007307D6"/>
    <w:rsid w:val="00732D81"/>
    <w:rsid w:val="00744175"/>
    <w:rsid w:val="0074427A"/>
    <w:rsid w:val="007446AE"/>
    <w:rsid w:val="00745884"/>
    <w:rsid w:val="00753617"/>
    <w:rsid w:val="00754B6E"/>
    <w:rsid w:val="007574B5"/>
    <w:rsid w:val="00757540"/>
    <w:rsid w:val="00760439"/>
    <w:rsid w:val="007624EA"/>
    <w:rsid w:val="00766215"/>
    <w:rsid w:val="00767FE9"/>
    <w:rsid w:val="00770B96"/>
    <w:rsid w:val="00776D4F"/>
    <w:rsid w:val="007778E0"/>
    <w:rsid w:val="00784586"/>
    <w:rsid w:val="00792599"/>
    <w:rsid w:val="007A400F"/>
    <w:rsid w:val="007B7015"/>
    <w:rsid w:val="007C7436"/>
    <w:rsid w:val="007D09E2"/>
    <w:rsid w:val="007D0E9E"/>
    <w:rsid w:val="007D1C0B"/>
    <w:rsid w:val="007D4851"/>
    <w:rsid w:val="007D607F"/>
    <w:rsid w:val="007D6200"/>
    <w:rsid w:val="007E3171"/>
    <w:rsid w:val="007E39D2"/>
    <w:rsid w:val="007E6A27"/>
    <w:rsid w:val="007E6EB7"/>
    <w:rsid w:val="007F01CE"/>
    <w:rsid w:val="007F07CC"/>
    <w:rsid w:val="007F3FA3"/>
    <w:rsid w:val="007F48B5"/>
    <w:rsid w:val="007F4D0C"/>
    <w:rsid w:val="007F6B3E"/>
    <w:rsid w:val="007F7D5D"/>
    <w:rsid w:val="00812761"/>
    <w:rsid w:val="00821B8D"/>
    <w:rsid w:val="00825957"/>
    <w:rsid w:val="0083061C"/>
    <w:rsid w:val="008348A2"/>
    <w:rsid w:val="00841744"/>
    <w:rsid w:val="00841957"/>
    <w:rsid w:val="00842431"/>
    <w:rsid w:val="00846949"/>
    <w:rsid w:val="00851F12"/>
    <w:rsid w:val="00855C8D"/>
    <w:rsid w:val="008604C8"/>
    <w:rsid w:val="0086641B"/>
    <w:rsid w:val="00866A99"/>
    <w:rsid w:val="00867FC4"/>
    <w:rsid w:val="008853CB"/>
    <w:rsid w:val="00892C62"/>
    <w:rsid w:val="008939AF"/>
    <w:rsid w:val="008A1E18"/>
    <w:rsid w:val="008A5EFF"/>
    <w:rsid w:val="008B267E"/>
    <w:rsid w:val="008B38F6"/>
    <w:rsid w:val="008B7B29"/>
    <w:rsid w:val="008C5FB4"/>
    <w:rsid w:val="008D06B8"/>
    <w:rsid w:val="008D06E2"/>
    <w:rsid w:val="008D217E"/>
    <w:rsid w:val="008D22D2"/>
    <w:rsid w:val="008D2518"/>
    <w:rsid w:val="008D415A"/>
    <w:rsid w:val="008D670A"/>
    <w:rsid w:val="008E03F3"/>
    <w:rsid w:val="008E1D22"/>
    <w:rsid w:val="008E3326"/>
    <w:rsid w:val="008E3C18"/>
    <w:rsid w:val="008E6CAD"/>
    <w:rsid w:val="008F10AC"/>
    <w:rsid w:val="008F1AB3"/>
    <w:rsid w:val="0092126B"/>
    <w:rsid w:val="00930D3C"/>
    <w:rsid w:val="00931A6C"/>
    <w:rsid w:val="009343F9"/>
    <w:rsid w:val="00942194"/>
    <w:rsid w:val="00942A40"/>
    <w:rsid w:val="00943F97"/>
    <w:rsid w:val="009447C5"/>
    <w:rsid w:val="00944A6A"/>
    <w:rsid w:val="009500FA"/>
    <w:rsid w:val="00954E28"/>
    <w:rsid w:val="00957603"/>
    <w:rsid w:val="00963541"/>
    <w:rsid w:val="00966F29"/>
    <w:rsid w:val="00967FF6"/>
    <w:rsid w:val="00997DCD"/>
    <w:rsid w:val="009A05F6"/>
    <w:rsid w:val="009A3664"/>
    <w:rsid w:val="009B10C1"/>
    <w:rsid w:val="009B1499"/>
    <w:rsid w:val="009B1CAD"/>
    <w:rsid w:val="009B5826"/>
    <w:rsid w:val="009C1CFC"/>
    <w:rsid w:val="009C45B1"/>
    <w:rsid w:val="009D08EB"/>
    <w:rsid w:val="009D634A"/>
    <w:rsid w:val="009D7918"/>
    <w:rsid w:val="009E3D04"/>
    <w:rsid w:val="009F0F84"/>
    <w:rsid w:val="00A04FD1"/>
    <w:rsid w:val="00A06C8E"/>
    <w:rsid w:val="00A106D8"/>
    <w:rsid w:val="00A12C88"/>
    <w:rsid w:val="00A143E7"/>
    <w:rsid w:val="00A21222"/>
    <w:rsid w:val="00A229AF"/>
    <w:rsid w:val="00A34505"/>
    <w:rsid w:val="00A419C6"/>
    <w:rsid w:val="00A42435"/>
    <w:rsid w:val="00A446A7"/>
    <w:rsid w:val="00A448ED"/>
    <w:rsid w:val="00A630CE"/>
    <w:rsid w:val="00A65E1F"/>
    <w:rsid w:val="00A66E7E"/>
    <w:rsid w:val="00A8336F"/>
    <w:rsid w:val="00A8786E"/>
    <w:rsid w:val="00A90F37"/>
    <w:rsid w:val="00A91C74"/>
    <w:rsid w:val="00A95E2A"/>
    <w:rsid w:val="00AA20F0"/>
    <w:rsid w:val="00AA240C"/>
    <w:rsid w:val="00AB28FF"/>
    <w:rsid w:val="00AB4068"/>
    <w:rsid w:val="00AB4B93"/>
    <w:rsid w:val="00AD105B"/>
    <w:rsid w:val="00AD11DC"/>
    <w:rsid w:val="00AD1AD8"/>
    <w:rsid w:val="00AD4FBA"/>
    <w:rsid w:val="00AF2474"/>
    <w:rsid w:val="00AF2860"/>
    <w:rsid w:val="00AF4731"/>
    <w:rsid w:val="00B1473F"/>
    <w:rsid w:val="00B147F2"/>
    <w:rsid w:val="00B20342"/>
    <w:rsid w:val="00B22E33"/>
    <w:rsid w:val="00B26ED0"/>
    <w:rsid w:val="00B3120B"/>
    <w:rsid w:val="00B31344"/>
    <w:rsid w:val="00B31FF6"/>
    <w:rsid w:val="00B33F04"/>
    <w:rsid w:val="00B34445"/>
    <w:rsid w:val="00B344F5"/>
    <w:rsid w:val="00B34859"/>
    <w:rsid w:val="00B34D3F"/>
    <w:rsid w:val="00B35083"/>
    <w:rsid w:val="00B3783A"/>
    <w:rsid w:val="00B43B70"/>
    <w:rsid w:val="00B44D3B"/>
    <w:rsid w:val="00B51F25"/>
    <w:rsid w:val="00B52D4F"/>
    <w:rsid w:val="00B53D75"/>
    <w:rsid w:val="00B54830"/>
    <w:rsid w:val="00B57D59"/>
    <w:rsid w:val="00B66B38"/>
    <w:rsid w:val="00B72393"/>
    <w:rsid w:val="00B77776"/>
    <w:rsid w:val="00B85892"/>
    <w:rsid w:val="00B867B1"/>
    <w:rsid w:val="00B87720"/>
    <w:rsid w:val="00B91620"/>
    <w:rsid w:val="00BA107D"/>
    <w:rsid w:val="00BA6187"/>
    <w:rsid w:val="00BA6448"/>
    <w:rsid w:val="00BA7430"/>
    <w:rsid w:val="00BA7A32"/>
    <w:rsid w:val="00BB4FDD"/>
    <w:rsid w:val="00BB4FF2"/>
    <w:rsid w:val="00BB6601"/>
    <w:rsid w:val="00BC21A2"/>
    <w:rsid w:val="00BC3A09"/>
    <w:rsid w:val="00BC78AE"/>
    <w:rsid w:val="00BD7A95"/>
    <w:rsid w:val="00BE254C"/>
    <w:rsid w:val="00BE67D3"/>
    <w:rsid w:val="00BF1DCA"/>
    <w:rsid w:val="00BF5BA6"/>
    <w:rsid w:val="00BF61D2"/>
    <w:rsid w:val="00C0144B"/>
    <w:rsid w:val="00C0276B"/>
    <w:rsid w:val="00C0276D"/>
    <w:rsid w:val="00C02EA4"/>
    <w:rsid w:val="00C063F5"/>
    <w:rsid w:val="00C13276"/>
    <w:rsid w:val="00C2147A"/>
    <w:rsid w:val="00C31F03"/>
    <w:rsid w:val="00C344F7"/>
    <w:rsid w:val="00C410C6"/>
    <w:rsid w:val="00C45470"/>
    <w:rsid w:val="00C47061"/>
    <w:rsid w:val="00C501F6"/>
    <w:rsid w:val="00C50420"/>
    <w:rsid w:val="00C61F3E"/>
    <w:rsid w:val="00C61F94"/>
    <w:rsid w:val="00C6322A"/>
    <w:rsid w:val="00C652CF"/>
    <w:rsid w:val="00C65D43"/>
    <w:rsid w:val="00C66E7C"/>
    <w:rsid w:val="00C73BDF"/>
    <w:rsid w:val="00C74FD2"/>
    <w:rsid w:val="00C7752B"/>
    <w:rsid w:val="00C77F06"/>
    <w:rsid w:val="00C804BE"/>
    <w:rsid w:val="00C85FFB"/>
    <w:rsid w:val="00C87457"/>
    <w:rsid w:val="00C95225"/>
    <w:rsid w:val="00C956BD"/>
    <w:rsid w:val="00CA550D"/>
    <w:rsid w:val="00CA59BF"/>
    <w:rsid w:val="00CB28AA"/>
    <w:rsid w:val="00CB7D0D"/>
    <w:rsid w:val="00CC057E"/>
    <w:rsid w:val="00CC5551"/>
    <w:rsid w:val="00CD2E97"/>
    <w:rsid w:val="00CD772F"/>
    <w:rsid w:val="00CE476C"/>
    <w:rsid w:val="00CE5374"/>
    <w:rsid w:val="00CF08A4"/>
    <w:rsid w:val="00CF14D9"/>
    <w:rsid w:val="00CF5DA9"/>
    <w:rsid w:val="00CF69AC"/>
    <w:rsid w:val="00D0210F"/>
    <w:rsid w:val="00D025F3"/>
    <w:rsid w:val="00D048FB"/>
    <w:rsid w:val="00D064E6"/>
    <w:rsid w:val="00D2012D"/>
    <w:rsid w:val="00D201DB"/>
    <w:rsid w:val="00D22C76"/>
    <w:rsid w:val="00D44FC0"/>
    <w:rsid w:val="00D51EA8"/>
    <w:rsid w:val="00D57C43"/>
    <w:rsid w:val="00D617E0"/>
    <w:rsid w:val="00D62180"/>
    <w:rsid w:val="00D64CBF"/>
    <w:rsid w:val="00D67485"/>
    <w:rsid w:val="00D730C3"/>
    <w:rsid w:val="00D76155"/>
    <w:rsid w:val="00D764CA"/>
    <w:rsid w:val="00D8495C"/>
    <w:rsid w:val="00D91390"/>
    <w:rsid w:val="00D92CBC"/>
    <w:rsid w:val="00DA7969"/>
    <w:rsid w:val="00DB27D4"/>
    <w:rsid w:val="00DB5340"/>
    <w:rsid w:val="00DC4525"/>
    <w:rsid w:val="00DC483B"/>
    <w:rsid w:val="00DD78EB"/>
    <w:rsid w:val="00DE3256"/>
    <w:rsid w:val="00DE77C7"/>
    <w:rsid w:val="00DF5D9D"/>
    <w:rsid w:val="00DF73D5"/>
    <w:rsid w:val="00E03241"/>
    <w:rsid w:val="00E07FAA"/>
    <w:rsid w:val="00E22BB5"/>
    <w:rsid w:val="00E30F3E"/>
    <w:rsid w:val="00E32C4A"/>
    <w:rsid w:val="00E32EF9"/>
    <w:rsid w:val="00E36164"/>
    <w:rsid w:val="00E4223C"/>
    <w:rsid w:val="00E43EEE"/>
    <w:rsid w:val="00E45203"/>
    <w:rsid w:val="00E502BF"/>
    <w:rsid w:val="00E57DD7"/>
    <w:rsid w:val="00E61B4E"/>
    <w:rsid w:val="00E64DAA"/>
    <w:rsid w:val="00E706AE"/>
    <w:rsid w:val="00E71375"/>
    <w:rsid w:val="00E71C49"/>
    <w:rsid w:val="00E7210A"/>
    <w:rsid w:val="00E723E0"/>
    <w:rsid w:val="00E84774"/>
    <w:rsid w:val="00E87E2D"/>
    <w:rsid w:val="00E90DD2"/>
    <w:rsid w:val="00E91BB6"/>
    <w:rsid w:val="00E93385"/>
    <w:rsid w:val="00E93BB4"/>
    <w:rsid w:val="00E9412E"/>
    <w:rsid w:val="00E95A1A"/>
    <w:rsid w:val="00EA38A7"/>
    <w:rsid w:val="00EB310C"/>
    <w:rsid w:val="00EB38DE"/>
    <w:rsid w:val="00EC0495"/>
    <w:rsid w:val="00ED0402"/>
    <w:rsid w:val="00ED1E20"/>
    <w:rsid w:val="00ED3C4C"/>
    <w:rsid w:val="00ED50D0"/>
    <w:rsid w:val="00EE65DD"/>
    <w:rsid w:val="00EF06ED"/>
    <w:rsid w:val="00EF378A"/>
    <w:rsid w:val="00F02E26"/>
    <w:rsid w:val="00F05BD3"/>
    <w:rsid w:val="00F07178"/>
    <w:rsid w:val="00F14425"/>
    <w:rsid w:val="00F14559"/>
    <w:rsid w:val="00F164CF"/>
    <w:rsid w:val="00F23F60"/>
    <w:rsid w:val="00F25AA1"/>
    <w:rsid w:val="00F25F28"/>
    <w:rsid w:val="00F322DF"/>
    <w:rsid w:val="00F40FB1"/>
    <w:rsid w:val="00F41582"/>
    <w:rsid w:val="00F42F3E"/>
    <w:rsid w:val="00F44A49"/>
    <w:rsid w:val="00F44C30"/>
    <w:rsid w:val="00F50DD9"/>
    <w:rsid w:val="00F52E0E"/>
    <w:rsid w:val="00F54909"/>
    <w:rsid w:val="00F552FE"/>
    <w:rsid w:val="00F56BA5"/>
    <w:rsid w:val="00F6335F"/>
    <w:rsid w:val="00F63DA1"/>
    <w:rsid w:val="00F66E37"/>
    <w:rsid w:val="00F77C8D"/>
    <w:rsid w:val="00F81A83"/>
    <w:rsid w:val="00F858A3"/>
    <w:rsid w:val="00F97852"/>
    <w:rsid w:val="00F97873"/>
    <w:rsid w:val="00F97DFB"/>
    <w:rsid w:val="00FA5CD7"/>
    <w:rsid w:val="00FB039D"/>
    <w:rsid w:val="00FB3204"/>
    <w:rsid w:val="00FB4143"/>
    <w:rsid w:val="00FC0206"/>
    <w:rsid w:val="00FC0B35"/>
    <w:rsid w:val="00FC0FFE"/>
    <w:rsid w:val="00FC3B64"/>
    <w:rsid w:val="00FC78DC"/>
    <w:rsid w:val="00FD5522"/>
    <w:rsid w:val="00FD554E"/>
    <w:rsid w:val="00FE3AF5"/>
    <w:rsid w:val="00FE3AFC"/>
    <w:rsid w:val="00FF4A49"/>
    <w:rsid w:val="00FF5EF3"/>
    <w:rsid w:val="00FF628B"/>
    <w:rsid w:val="00FF6CE0"/>
    <w:rsid w:val="00FF765D"/>
    <w:rsid w:val="2D054326"/>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32"/>
    <w:qFormat/>
    <w:uiPriority w:val="9"/>
    <w:pPr>
      <w:keepNext/>
      <w:keepLines/>
      <w:spacing w:after="0" w:line="240" w:lineRule="auto"/>
      <w:outlineLvl w:val="0"/>
    </w:pPr>
    <w:rPr>
      <w:rFonts w:ascii="Arial" w:hAnsi="Arial" w:eastAsiaTheme="majorEastAsia" w:cstheme="majorBidi"/>
      <w:b/>
      <w:bCs/>
      <w:sz w:val="36"/>
      <w:szCs w:val="28"/>
    </w:rPr>
  </w:style>
  <w:style w:type="paragraph" w:styleId="3">
    <w:name w:val="heading 2"/>
    <w:basedOn w:val="1"/>
    <w:next w:val="1"/>
    <w:link w:val="33"/>
    <w:unhideWhenUsed/>
    <w:qFormat/>
    <w:uiPriority w:val="9"/>
    <w:pPr>
      <w:keepNext/>
      <w:keepLines/>
      <w:spacing w:after="0" w:line="240" w:lineRule="auto"/>
      <w:jc w:val="both"/>
      <w:outlineLvl w:val="1"/>
    </w:pPr>
    <w:rPr>
      <w:rFonts w:ascii="Arial" w:hAnsi="Arial" w:eastAsiaTheme="majorEastAsia" w:cstheme="majorBidi"/>
      <w:b/>
      <w:bCs/>
      <w:szCs w:val="2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4"/>
    <w:semiHidden/>
    <w:unhideWhenUsed/>
    <w:uiPriority w:val="99"/>
    <w:pPr>
      <w:spacing w:after="0" w:line="240" w:lineRule="auto"/>
    </w:pPr>
    <w:rPr>
      <w:rFonts w:ascii="Tahoma" w:hAnsi="Tahoma" w:cs="Tahoma"/>
      <w:sz w:val="16"/>
      <w:szCs w:val="16"/>
    </w:rPr>
  </w:style>
  <w:style w:type="character" w:styleId="7">
    <w:name w:val="annotation reference"/>
    <w:semiHidden/>
    <w:unhideWhenUsed/>
    <w:qFormat/>
    <w:uiPriority w:val="99"/>
    <w:rPr>
      <w:sz w:val="16"/>
      <w:szCs w:val="16"/>
    </w:rPr>
  </w:style>
  <w:style w:type="paragraph" w:styleId="8">
    <w:name w:val="annotation text"/>
    <w:basedOn w:val="1"/>
    <w:link w:val="49"/>
    <w:semiHidden/>
    <w:unhideWhenUsed/>
    <w:uiPriority w:val="99"/>
    <w:pPr>
      <w:spacing w:line="240" w:lineRule="auto"/>
    </w:pPr>
    <w:rPr>
      <w:rFonts w:ascii="Calibri" w:hAnsi="Calibri" w:eastAsia="MS Mincho" w:cs="Arial"/>
      <w:sz w:val="20"/>
      <w:szCs w:val="20"/>
      <w:lang w:val="en-NZ"/>
    </w:rPr>
  </w:style>
  <w:style w:type="paragraph" w:styleId="9">
    <w:name w:val="annotation subject"/>
    <w:basedOn w:val="8"/>
    <w:next w:val="8"/>
    <w:link w:val="40"/>
    <w:semiHidden/>
    <w:unhideWhenUsed/>
    <w:uiPriority w:val="99"/>
    <w:rPr>
      <w:rFonts w:asciiTheme="minorHAnsi" w:hAnsiTheme="minorHAnsi" w:eastAsiaTheme="minorEastAsia" w:cstheme="minorBidi"/>
      <w:b/>
      <w:lang w:val="en-US"/>
    </w:rPr>
  </w:style>
  <w:style w:type="paragraph" w:styleId="10">
    <w:name w:val="Document Map"/>
    <w:basedOn w:val="1"/>
    <w:link w:val="30"/>
    <w:semiHidden/>
    <w:unhideWhenUsed/>
    <w:uiPriority w:val="99"/>
    <w:pPr>
      <w:spacing w:after="0" w:line="240" w:lineRule="auto"/>
    </w:pPr>
    <w:rPr>
      <w:rFonts w:ascii="Tahoma" w:hAnsi="Tahoma" w:cs="Tahoma"/>
      <w:sz w:val="16"/>
      <w:szCs w:val="16"/>
    </w:rPr>
  </w:style>
  <w:style w:type="character" w:styleId="11">
    <w:name w:val="Emphasis"/>
    <w:basedOn w:val="4"/>
    <w:qFormat/>
    <w:uiPriority w:val="20"/>
    <w:rPr>
      <w:i/>
      <w:iCs/>
    </w:rPr>
  </w:style>
  <w:style w:type="character" w:styleId="12">
    <w:name w:val="FollowedHyperlink"/>
    <w:basedOn w:val="4"/>
    <w:semiHidden/>
    <w:unhideWhenUsed/>
    <w:qFormat/>
    <w:uiPriority w:val="99"/>
    <w:rPr>
      <w:color w:val="800080" w:themeColor="followedHyperlink"/>
      <w:u w:val="single"/>
    </w:rPr>
  </w:style>
  <w:style w:type="paragraph" w:styleId="13">
    <w:name w:val="footer"/>
    <w:basedOn w:val="1"/>
    <w:link w:val="23"/>
    <w:unhideWhenUsed/>
    <w:uiPriority w:val="99"/>
    <w:pPr>
      <w:tabs>
        <w:tab w:val="center" w:pos="4680"/>
        <w:tab w:val="right" w:pos="9360"/>
      </w:tabs>
      <w:spacing w:after="0" w:line="240" w:lineRule="auto"/>
    </w:pPr>
  </w:style>
  <w:style w:type="character" w:styleId="14">
    <w:name w:val="footnote reference"/>
    <w:semiHidden/>
    <w:unhideWhenUsed/>
    <w:qFormat/>
    <w:uiPriority w:val="99"/>
    <w:rPr>
      <w:vertAlign w:val="superscript"/>
    </w:rPr>
  </w:style>
  <w:style w:type="paragraph" w:styleId="15">
    <w:name w:val="footnote text"/>
    <w:basedOn w:val="1"/>
    <w:link w:val="51"/>
    <w:semiHidden/>
    <w:unhideWhenUsed/>
    <w:uiPriority w:val="99"/>
    <w:pPr>
      <w:spacing w:after="0" w:line="240" w:lineRule="auto"/>
    </w:pPr>
    <w:rPr>
      <w:rFonts w:ascii="Calibri" w:hAnsi="Calibri" w:eastAsia="MS Mincho" w:cs="Arial"/>
      <w:sz w:val="20"/>
      <w:szCs w:val="20"/>
      <w:lang w:val="en-NZ"/>
    </w:rPr>
  </w:style>
  <w:style w:type="paragraph" w:styleId="16">
    <w:name w:val="header"/>
    <w:basedOn w:val="1"/>
    <w:link w:val="22"/>
    <w:unhideWhenUsed/>
    <w:uiPriority w:val="99"/>
    <w:pPr>
      <w:tabs>
        <w:tab w:val="center" w:pos="4680"/>
        <w:tab w:val="right" w:pos="9360"/>
      </w:tabs>
      <w:spacing w:after="0" w:line="240" w:lineRule="auto"/>
    </w:pPr>
  </w:style>
  <w:style w:type="character" w:styleId="17">
    <w:name w:val="Hyperlink"/>
    <w:basedOn w:val="4"/>
    <w:qFormat/>
    <w:uiPriority w:val="99"/>
    <w:rPr>
      <w:color w:val="FF0080"/>
      <w:u w:val="single"/>
    </w:rPr>
  </w:style>
  <w:style w:type="character" w:styleId="18">
    <w:name w:val="line number"/>
    <w:basedOn w:val="4"/>
    <w:semiHidden/>
    <w:unhideWhenUsed/>
    <w:qFormat/>
    <w:uiPriority w:val="99"/>
  </w:style>
  <w:style w:type="paragraph" w:styleId="19">
    <w:name w:val="Normal (Web)"/>
    <w:basedOn w:val="1"/>
    <w:unhideWhenUsed/>
    <w:uiPriority w:val="99"/>
    <w:rPr>
      <w:rFonts w:ascii="Times New Roman" w:hAnsi="Times New Roman" w:cs="Times New Roman"/>
      <w:sz w:val="24"/>
      <w:szCs w:val="24"/>
    </w:rPr>
  </w:style>
  <w:style w:type="character" w:styleId="20">
    <w:name w:val="Strong"/>
    <w:basedOn w:val="4"/>
    <w:qFormat/>
    <w:uiPriority w:val="22"/>
    <w:rPr>
      <w:b/>
      <w:bCs/>
    </w:rPr>
  </w:style>
  <w:style w:type="table" w:styleId="21">
    <w:name w:val="Table Grid"/>
    <w:basedOn w:val="5"/>
    <w:uiPriority w:val="59"/>
    <w:pPr>
      <w:spacing w:after="0" w:line="240" w:lineRule="auto"/>
    </w:pPr>
    <w:rPr>
      <w:rFonts w:ascii="Calibri" w:hAnsi="Calibri"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
    <w:name w:val="Header Char"/>
    <w:basedOn w:val="4"/>
    <w:link w:val="16"/>
    <w:uiPriority w:val="99"/>
  </w:style>
  <w:style w:type="character" w:customStyle="1" w:styleId="23">
    <w:name w:val="Footer Char"/>
    <w:basedOn w:val="4"/>
    <w:link w:val="13"/>
    <w:uiPriority w:val="99"/>
  </w:style>
  <w:style w:type="character" w:customStyle="1" w:styleId="24">
    <w:name w:val="Balloon Text Char"/>
    <w:basedOn w:val="4"/>
    <w:link w:val="6"/>
    <w:semiHidden/>
    <w:uiPriority w:val="99"/>
    <w:rPr>
      <w:rFonts w:ascii="Tahoma" w:hAnsi="Tahoma" w:cs="Tahoma"/>
      <w:sz w:val="16"/>
      <w:szCs w:val="16"/>
    </w:rPr>
  </w:style>
  <w:style w:type="paragraph" w:styleId="25">
    <w:name w:val="No Spacing"/>
    <w:link w:val="26"/>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6">
    <w:name w:val="No Spacing Char"/>
    <w:basedOn w:val="4"/>
    <w:link w:val="25"/>
    <w:uiPriority w:val="1"/>
  </w:style>
  <w:style w:type="paragraph" w:styleId="27">
    <w:name w:val="List Paragraph"/>
    <w:basedOn w:val="1"/>
    <w:qFormat/>
    <w:uiPriority w:val="34"/>
    <w:pPr>
      <w:ind w:left="720"/>
      <w:contextualSpacing/>
    </w:pPr>
  </w:style>
  <w:style w:type="table" w:customStyle="1" w:styleId="28">
    <w:name w:val="Table Grid1"/>
    <w:basedOn w:val="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9">
    <w:name w:val="Refer Head"/>
    <w:basedOn w:val="1"/>
    <w:uiPriority w:val="0"/>
    <w:pPr>
      <w:keepNext/>
      <w:spacing w:after="240" w:line="240" w:lineRule="auto"/>
    </w:pPr>
    <w:rPr>
      <w:rFonts w:ascii="Helvetica" w:hAnsi="Helvetica" w:eastAsia="Times New Roman" w:cs="Times New Roman"/>
      <w:b/>
      <w:caps/>
      <w:szCs w:val="20"/>
    </w:rPr>
  </w:style>
  <w:style w:type="character" w:customStyle="1" w:styleId="30">
    <w:name w:val="Document Map Char"/>
    <w:basedOn w:val="4"/>
    <w:link w:val="10"/>
    <w:semiHidden/>
    <w:uiPriority w:val="99"/>
    <w:rPr>
      <w:rFonts w:ascii="Tahoma" w:hAnsi="Tahoma" w:cs="Tahoma"/>
      <w:sz w:val="16"/>
      <w:szCs w:val="16"/>
    </w:rPr>
  </w:style>
  <w:style w:type="character" w:customStyle="1" w:styleId="31">
    <w:name w:val="topic-highlight"/>
    <w:basedOn w:val="4"/>
    <w:uiPriority w:val="0"/>
  </w:style>
  <w:style w:type="character" w:customStyle="1" w:styleId="32">
    <w:name w:val="Heading 1 Char"/>
    <w:basedOn w:val="4"/>
    <w:link w:val="2"/>
    <w:qFormat/>
    <w:uiPriority w:val="9"/>
    <w:rPr>
      <w:rFonts w:ascii="Arial" w:hAnsi="Arial" w:eastAsiaTheme="majorEastAsia" w:cstheme="majorBidi"/>
      <w:b/>
      <w:bCs/>
      <w:sz w:val="36"/>
      <w:szCs w:val="28"/>
    </w:rPr>
  </w:style>
  <w:style w:type="character" w:customStyle="1" w:styleId="33">
    <w:name w:val="Heading 2 Char"/>
    <w:basedOn w:val="4"/>
    <w:link w:val="3"/>
    <w:uiPriority w:val="9"/>
    <w:rPr>
      <w:rFonts w:ascii="Arial" w:hAnsi="Arial" w:eastAsiaTheme="majorEastAsia" w:cstheme="majorBidi"/>
      <w:b/>
      <w:bCs/>
      <w:szCs w:val="26"/>
    </w:rPr>
  </w:style>
  <w:style w:type="table" w:customStyle="1" w:styleId="34">
    <w:name w:val="Table Grid2"/>
    <w:basedOn w:val="5"/>
    <w:qFormat/>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5">
    <w:name w:val="Comment Text1"/>
    <w:basedOn w:val="1"/>
    <w:next w:val="8"/>
    <w:link w:val="36"/>
    <w:unhideWhenUsed/>
    <w:uiPriority w:val="99"/>
    <w:pPr>
      <w:spacing w:after="0" w:line="240" w:lineRule="auto"/>
    </w:pPr>
    <w:rPr>
      <w:rFonts w:ascii="Calibri" w:hAnsi="Calibri" w:eastAsia="MS Mincho" w:cs="Arial"/>
      <w:sz w:val="20"/>
      <w:szCs w:val="20"/>
      <w:lang w:val="en-NZ"/>
    </w:rPr>
  </w:style>
  <w:style w:type="character" w:customStyle="1" w:styleId="36">
    <w:name w:val="Comment Text Char"/>
    <w:link w:val="35"/>
    <w:uiPriority w:val="99"/>
    <w:rPr>
      <w:rFonts w:ascii="Calibri" w:hAnsi="Calibri" w:eastAsia="MS Mincho" w:cs="Arial"/>
      <w:sz w:val="20"/>
      <w:szCs w:val="20"/>
      <w:lang w:val="en-NZ"/>
    </w:rPr>
  </w:style>
  <w:style w:type="character" w:customStyle="1" w:styleId="37">
    <w:name w:val="readz-c12"/>
    <w:basedOn w:val="4"/>
    <w:uiPriority w:val="0"/>
  </w:style>
  <w:style w:type="character" w:customStyle="1" w:styleId="38">
    <w:name w:val="hgkelc"/>
    <w:basedOn w:val="4"/>
    <w:uiPriority w:val="0"/>
  </w:style>
  <w:style w:type="paragraph" w:customStyle="1" w:styleId="39">
    <w:name w:val="Comment Subject1"/>
    <w:basedOn w:val="8"/>
    <w:next w:val="8"/>
    <w:semiHidden/>
    <w:unhideWhenUsed/>
    <w:qFormat/>
    <w:uiPriority w:val="99"/>
  </w:style>
  <w:style w:type="character" w:customStyle="1" w:styleId="40">
    <w:name w:val="Comment Subject Char"/>
    <w:link w:val="9"/>
    <w:semiHidden/>
    <w:qFormat/>
    <w:uiPriority w:val="99"/>
    <w:rPr>
      <w:b/>
      <w:sz w:val="20"/>
      <w:szCs w:val="20"/>
    </w:rPr>
  </w:style>
  <w:style w:type="paragraph" w:customStyle="1" w:styleId="41">
    <w:name w:val="Bibliography1"/>
    <w:basedOn w:val="1"/>
    <w:next w:val="1"/>
    <w:unhideWhenUsed/>
    <w:uiPriority w:val="37"/>
    <w:pPr>
      <w:tabs>
        <w:tab w:val="left" w:pos="624"/>
      </w:tabs>
      <w:spacing w:after="240" w:line="240" w:lineRule="auto"/>
      <w:ind w:left="624" w:hanging="624"/>
    </w:pPr>
    <w:rPr>
      <w:rFonts w:ascii="Times New Roman" w:hAnsi="Times New Roman" w:eastAsia="Calibri" w:cs="Times New Roman"/>
      <w:sz w:val="24"/>
      <w:szCs w:val="24"/>
      <w:lang w:val="en-NZ"/>
    </w:rPr>
  </w:style>
  <w:style w:type="character" w:customStyle="1" w:styleId="42">
    <w:name w:val="Unresolved Mention1"/>
    <w:semiHidden/>
    <w:unhideWhenUsed/>
    <w:uiPriority w:val="99"/>
    <w:rPr>
      <w:color w:val="605E5C"/>
      <w:shd w:val="clear" w:color="auto" w:fill="E1DFDD"/>
    </w:rPr>
  </w:style>
  <w:style w:type="paragraph" w:customStyle="1" w:styleId="43">
    <w:name w:val="Revision1"/>
    <w:next w:val="44"/>
    <w:hidden/>
    <w:semiHidden/>
    <w:uiPriority w:val="99"/>
    <w:pPr>
      <w:spacing w:after="0" w:line="240" w:lineRule="auto"/>
    </w:pPr>
    <w:rPr>
      <w:rFonts w:ascii="Times New Roman" w:hAnsi="Times New Roman" w:eastAsia="Calibri" w:cs="Times New Roman"/>
      <w:sz w:val="24"/>
      <w:szCs w:val="24"/>
      <w:lang w:val="en-NZ" w:eastAsia="en-US" w:bidi="ar-SA"/>
    </w:rPr>
  </w:style>
  <w:style w:type="paragraph" w:customStyle="1" w:styleId="44">
    <w:name w:val="Revision"/>
    <w:hidden/>
    <w:semiHidden/>
    <w:qFormat/>
    <w:uiPriority w:val="99"/>
    <w:pPr>
      <w:spacing w:after="0" w:line="240" w:lineRule="auto"/>
    </w:pPr>
    <w:rPr>
      <w:rFonts w:ascii="Calibri" w:hAnsi="Calibri" w:eastAsia="MS Mincho" w:cs="Arial"/>
      <w:sz w:val="22"/>
      <w:szCs w:val="22"/>
      <w:lang w:val="en-US" w:eastAsia="en-US" w:bidi="ar-SA"/>
    </w:rPr>
  </w:style>
  <w:style w:type="paragraph" w:customStyle="1" w:styleId="45">
    <w:name w:val="Body"/>
    <w:basedOn w:val="1"/>
    <w:uiPriority w:val="0"/>
    <w:pPr>
      <w:spacing w:after="240" w:line="240" w:lineRule="auto"/>
      <w:jc w:val="both"/>
    </w:pPr>
    <w:rPr>
      <w:rFonts w:ascii="Helvetica" w:hAnsi="Helvetica" w:eastAsia="Times New Roman" w:cs="Times New Roman"/>
      <w:bCs/>
      <w:sz w:val="20"/>
      <w:szCs w:val="20"/>
      <w:lang w:val="en-NZ"/>
    </w:rPr>
  </w:style>
  <w:style w:type="paragraph" w:customStyle="1" w:styleId="46">
    <w:name w:val="Default"/>
    <w:uiPriority w:val="0"/>
    <w:pPr>
      <w:autoSpaceDE w:val="0"/>
      <w:autoSpaceDN w:val="0"/>
      <w:adjustRightInd w:val="0"/>
      <w:spacing w:after="0" w:line="240" w:lineRule="auto"/>
    </w:pPr>
    <w:rPr>
      <w:rFonts w:ascii="Arial" w:hAnsi="Arial" w:eastAsia="Calibri" w:cs="Arial"/>
      <w:color w:val="000000"/>
      <w:sz w:val="24"/>
      <w:szCs w:val="24"/>
      <w:lang w:val="en-NZ" w:eastAsia="en-US" w:bidi="ar-SA"/>
    </w:rPr>
  </w:style>
  <w:style w:type="paragraph" w:customStyle="1" w:styleId="47">
    <w:name w:val="Footnote Text1"/>
    <w:basedOn w:val="1"/>
    <w:next w:val="15"/>
    <w:link w:val="48"/>
    <w:semiHidden/>
    <w:unhideWhenUsed/>
    <w:uiPriority w:val="99"/>
    <w:pPr>
      <w:spacing w:after="0" w:line="240" w:lineRule="auto"/>
    </w:pPr>
    <w:rPr>
      <w:rFonts w:ascii="Calibri" w:hAnsi="Calibri" w:eastAsia="MS Mincho" w:cs="Arial"/>
      <w:sz w:val="20"/>
      <w:szCs w:val="20"/>
      <w:lang w:val="en-NZ"/>
    </w:rPr>
  </w:style>
  <w:style w:type="character" w:customStyle="1" w:styleId="48">
    <w:name w:val="Footnote Text Char"/>
    <w:link w:val="47"/>
    <w:semiHidden/>
    <w:qFormat/>
    <w:uiPriority w:val="99"/>
    <w:rPr>
      <w:rFonts w:ascii="Calibri" w:hAnsi="Calibri" w:eastAsia="MS Mincho" w:cs="Arial"/>
      <w:sz w:val="20"/>
      <w:szCs w:val="20"/>
      <w:lang w:val="en-NZ"/>
    </w:rPr>
  </w:style>
  <w:style w:type="character" w:customStyle="1" w:styleId="49">
    <w:name w:val="Comment Text Char1"/>
    <w:basedOn w:val="4"/>
    <w:link w:val="8"/>
    <w:semiHidden/>
    <w:uiPriority w:val="99"/>
    <w:rPr>
      <w:rFonts w:ascii="Calibri" w:hAnsi="Calibri" w:eastAsia="MS Mincho" w:cs="Arial"/>
      <w:sz w:val="20"/>
      <w:szCs w:val="20"/>
      <w:lang w:val="en-NZ"/>
    </w:rPr>
  </w:style>
  <w:style w:type="character" w:customStyle="1" w:styleId="50">
    <w:name w:val="Comment Subject Char1"/>
    <w:basedOn w:val="49"/>
    <w:semiHidden/>
    <w:uiPriority w:val="99"/>
    <w:rPr>
      <w:rFonts w:ascii="Calibri" w:hAnsi="Calibri" w:eastAsia="MS Mincho" w:cs="Arial"/>
      <w:b/>
      <w:bCs/>
      <w:sz w:val="20"/>
      <w:szCs w:val="20"/>
      <w:lang w:val="en-NZ"/>
    </w:rPr>
  </w:style>
  <w:style w:type="character" w:customStyle="1" w:styleId="51">
    <w:name w:val="Footnote Text Char1"/>
    <w:basedOn w:val="4"/>
    <w:link w:val="15"/>
    <w:semiHidden/>
    <w:uiPriority w:val="99"/>
    <w:rPr>
      <w:rFonts w:ascii="Calibri" w:hAnsi="Calibri" w:eastAsia="MS Mincho" w:cs="Arial"/>
      <w:sz w:val="20"/>
      <w:szCs w:val="20"/>
      <w:lang w:val="en-NZ"/>
    </w:rPr>
  </w:style>
  <w:style w:type="paragraph" w:customStyle="1" w:styleId="52">
    <w:name w:val="va-top"/>
    <w:basedOn w:val="1"/>
    <w:uiPriority w:val="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customStyle="1" w:styleId="53">
    <w:name w:val="Unresolved Mention2"/>
    <w:semiHidden/>
    <w:unhideWhenUsed/>
    <w:uiPriority w:val="99"/>
    <w:rPr>
      <w:color w:val="605E5C"/>
      <w:shd w:val="clear" w:color="auto" w:fill="E1DFDD"/>
    </w:rPr>
  </w:style>
  <w:style w:type="paragraph" w:customStyle="1" w:styleId="54">
    <w:name w:val="Bibliography"/>
    <w:basedOn w:val="1"/>
    <w:next w:val="1"/>
    <w:unhideWhenUsed/>
    <w:uiPriority w:val="37"/>
    <w:rPr>
      <w:rFonts w:ascii="Calibri" w:hAnsi="Calibri" w:eastAsia="MS Mincho" w:cs="Arial"/>
      <w:lang w:val="en-NZ"/>
    </w:rPr>
  </w:style>
  <w:style w:type="paragraph" w:customStyle="1" w:styleId="55">
    <w:name w:val="Table Style 2 A"/>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Helvetica" w:hAnsi="Helvetica" w:eastAsia="Arial Unicode MS" w:cs="Arial Unicode MS"/>
      <w:color w:val="000000"/>
      <w:sz w:val="20"/>
      <w:szCs w:val="20"/>
      <w:u w:color="000000"/>
      <w:lang w:val="en-US" w:eastAsia="en-GB" w:bidi="ar-SA"/>
    </w:rPr>
  </w:style>
  <w:style w:type="paragraph" w:customStyle="1" w:styleId="56">
    <w:name w:val="nova-legacy-e-list__item"/>
    <w:basedOn w:val="1"/>
    <w:uiPriority w:val="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table" w:customStyle="1" w:styleId="57">
    <w:name w:val="Table Grid3"/>
    <w:basedOn w:val="5"/>
    <w:qFormat/>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8">
    <w:name w:val="Frame Contents"/>
    <w:basedOn w:val="1"/>
    <w:qFormat/>
    <w:uiPriority w:val="0"/>
  </w:style>
  <w:style w:type="character" w:customStyle="1" w:styleId="59">
    <w:name w:val="Unresolved Mention3"/>
    <w:basedOn w:val="4"/>
    <w:semiHidden/>
    <w:unhideWhenUsed/>
    <w:qFormat/>
    <w:uiPriority w:val="99"/>
    <w:rPr>
      <w:color w:val="605E5C"/>
      <w:shd w:val="clear" w:color="auto" w:fill="E1DFDD"/>
    </w:rPr>
  </w:style>
  <w:style w:type="paragraph" w:customStyle="1" w:styleId="60">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61">
    <w:name w:val="normaltextrun"/>
    <w:basedOn w:val="4"/>
    <w:uiPriority w:val="0"/>
  </w:style>
  <w:style w:type="character" w:customStyle="1" w:styleId="62">
    <w:name w:val="eop"/>
    <w:basedOn w:val="4"/>
    <w:uiPriority w:val="0"/>
  </w:style>
  <w:style w:type="paragraph" w:customStyle="1" w:styleId="63">
    <w:name w:val="footnote description"/>
    <w:next w:val="1"/>
    <w:link w:val="64"/>
    <w:qFormat/>
    <w:uiPriority w:val="0"/>
    <w:pPr>
      <w:spacing w:after="0" w:line="259" w:lineRule="auto"/>
    </w:pPr>
    <w:rPr>
      <w:rFonts w:ascii="Arial" w:hAnsi="Arial" w:eastAsia="Arial" w:cs="Arial"/>
      <w:color w:val="000000"/>
      <w:kern w:val="2"/>
      <w:sz w:val="16"/>
      <w:szCs w:val="24"/>
      <w:lang w:val="en-GB" w:eastAsia="en-GB" w:bidi="ar-SA"/>
    </w:rPr>
  </w:style>
  <w:style w:type="character" w:customStyle="1" w:styleId="64">
    <w:name w:val="footnote description Char"/>
    <w:link w:val="63"/>
    <w:qFormat/>
    <w:uiPriority w:val="0"/>
    <w:rPr>
      <w:rFonts w:ascii="Arial" w:hAnsi="Arial" w:eastAsia="Arial" w:cs="Arial"/>
      <w:color w:val="000000"/>
      <w:kern w:val="2"/>
      <w:sz w:val="16"/>
      <w:szCs w:val="24"/>
      <w:lang w:val="en-GB" w:eastAsia="en-GB"/>
    </w:rPr>
  </w:style>
  <w:style w:type="character" w:customStyle="1" w:styleId="65">
    <w:name w:val="footnote mark"/>
    <w:qFormat/>
    <w:uiPriority w:val="0"/>
    <w:rPr>
      <w:rFonts w:ascii="Arial" w:hAnsi="Arial" w:eastAsia="Arial" w:cs="Arial"/>
      <w:color w:val="000000"/>
      <w:sz w:val="16"/>
      <w:vertAlign w:val="superscript"/>
    </w:rPr>
  </w:style>
  <w:style w:type="character" w:customStyle="1" w:styleId="66">
    <w:name w:val="tabchar"/>
    <w:basedOn w:val="4"/>
    <w:qFormat/>
    <w:uiPriority w:val="0"/>
  </w:style>
  <w:style w:type="paragraph" w:customStyle="1" w:styleId="67">
    <w:name w:val="p1"/>
    <w:basedOn w:val="1"/>
    <w:uiPriority w:val="0"/>
    <w:pPr>
      <w:spacing w:after="0" w:line="240" w:lineRule="auto"/>
    </w:pPr>
    <w:rPr>
      <w:rFonts w:ascii="Arial" w:hAnsi="Arial" w:eastAsia="Times New Roman" w:cs="Arial"/>
      <w:color w:val="000000"/>
      <w:sz w:val="14"/>
      <w:szCs w:val="14"/>
      <w:lang w:val="en-GB" w:eastAsia="en-GB"/>
    </w:rPr>
  </w:style>
  <w:style w:type="paragraph" w:customStyle="1" w:styleId="68">
    <w:name w:val="p2"/>
    <w:basedOn w:val="1"/>
    <w:qFormat/>
    <w:uiPriority w:val="0"/>
    <w:pPr>
      <w:spacing w:after="0" w:line="240" w:lineRule="auto"/>
    </w:pPr>
    <w:rPr>
      <w:rFonts w:ascii="Arial" w:hAnsi="Arial" w:eastAsia="Times New Roman" w:cs="Arial"/>
      <w:color w:val="0000FF"/>
      <w:sz w:val="14"/>
      <w:szCs w:val="14"/>
      <w:lang w:val="en-GB" w:eastAsia="en-GB"/>
    </w:rPr>
  </w:style>
  <w:style w:type="character" w:customStyle="1" w:styleId="69">
    <w:name w:val="s1"/>
    <w:basedOn w:val="4"/>
    <w:qFormat/>
    <w:uiPriority w:val="0"/>
    <w:rPr>
      <w:color w:val="000000"/>
    </w:rPr>
  </w:style>
  <w:style w:type="character" w:customStyle="1" w:styleId="70">
    <w:name w:val="Unresolved Mention"/>
    <w:basedOn w:val="4"/>
    <w:semiHidden/>
    <w:unhideWhenUsed/>
    <w:qFormat/>
    <w:uiPriority w:val="99"/>
    <w:rPr>
      <w:color w:val="605E5C"/>
      <w:shd w:val="clear" w:color="auto" w:fill="E1DFDD"/>
    </w:rPr>
  </w:style>
  <w:style w:type="paragraph" w:customStyle="1" w:styleId="71">
    <w:name w:val="p3"/>
    <w:basedOn w:val="1"/>
    <w:qFormat/>
    <w:uiPriority w:val="0"/>
    <w:pPr>
      <w:spacing w:after="0" w:line="240" w:lineRule="auto"/>
    </w:pPr>
    <w:rPr>
      <w:rFonts w:ascii="Arial" w:hAnsi="Arial" w:eastAsia="Times New Roman" w:cs="Arial"/>
      <w:color w:val="262626"/>
      <w:sz w:val="14"/>
      <w:szCs w:val="14"/>
      <w:lang w:val="en-GB" w:eastAsia="en-GB"/>
    </w:rPr>
  </w:style>
  <w:style w:type="character" w:customStyle="1" w:styleId="72">
    <w:name w:val="s2"/>
    <w:basedOn w:val="4"/>
    <w:qFormat/>
    <w:uiPriority w:val="0"/>
    <w:rPr>
      <w:color w:val="262626"/>
    </w:rPr>
  </w:style>
  <w:style w:type="character" w:customStyle="1" w:styleId="73">
    <w:name w:val="identifier"/>
    <w:basedOn w:val="4"/>
    <w:qFormat/>
    <w:uiPriority w:val="0"/>
  </w:style>
  <w:style w:type="character" w:customStyle="1" w:styleId="74">
    <w:name w:val="citation-doi"/>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43EDD-726F-4449-85D7-85C9D97ADBAD}">
  <ds:schemaRefs/>
</ds:datastoreItem>
</file>

<file path=docProps/app.xml><?xml version="1.0" encoding="utf-8"?>
<Properties xmlns="http://schemas.openxmlformats.org/officeDocument/2006/extended-properties" xmlns:vt="http://schemas.openxmlformats.org/officeDocument/2006/docPropsVTypes">
  <Template>Normal</Template>
  <Pages>20</Pages>
  <Words>8358</Words>
  <Characters>47647</Characters>
  <Lines>397</Lines>
  <Paragraphs>111</Paragraphs>
  <TotalTime>108</TotalTime>
  <ScaleCrop>false</ScaleCrop>
  <LinksUpToDate>false</LinksUpToDate>
  <CharactersWithSpaces>55894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2025-07-01T14:04:00Z</dcterms:created>
  <dc:creator>S</dc:creator>
  <cp:lastModifiedBy>Jehan Y</cp:lastModifiedBy>
  <cp:lastPrinted>2021-02-09T10:45:00Z</cp:lastPrinted>
  <dcterms:modified xsi:type="dcterms:W3CDTF">2025-07-05T17:05:24Z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68651263B0B1460B9A37F2B815C65929_13</vt:lpwstr>
  </property>
</Properties>
</file>