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93D6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93D6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93D6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93D6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9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DFE15E4" w:rsidR="0000007A" w:rsidRPr="00D93D63" w:rsidRDefault="001B6BF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93D6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D93D6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93D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40324B0" w:rsidR="0000007A" w:rsidRPr="00D93D6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70F3F"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6029</w:t>
            </w:r>
          </w:p>
        </w:tc>
      </w:tr>
      <w:tr w:rsidR="0000007A" w:rsidRPr="00D93D6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93D6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B97A931" w:rsidR="0000007A" w:rsidRPr="00D93D63" w:rsidRDefault="00A254BF" w:rsidP="00A254BF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report: dual diagnosis of Mulibrey nanism and Jacobs syndrome in an Indian boy</w:t>
            </w:r>
          </w:p>
        </w:tc>
      </w:tr>
      <w:tr w:rsidR="00CF0BBB" w:rsidRPr="00D93D6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93D6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390FBE2" w:rsidR="00CF0BBB" w:rsidRPr="00D93D63" w:rsidRDefault="00070F3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90A5ADE" w14:textId="77777777" w:rsidR="00D9392F" w:rsidRPr="00D93D63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3CD6BCB" w14:textId="0FFEAA9E" w:rsidR="00626025" w:rsidRPr="00D93D6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93D6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D93D6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D93D6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D93D6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93D63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D93D6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7BD8735" w:rsidR="00E03C32" w:rsidRDefault="006F09B7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F09B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Egyptian Journal of Medical Human Genetics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F09B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(2025) 26:59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7583553" w:rsidR="00E03C32" w:rsidRPr="001760EB" w:rsidRDefault="00402720" w:rsidP="00402720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</w:pPr>
                  <w:r w:rsidRPr="001760E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DOI: </w:t>
                  </w:r>
                  <w:hyperlink r:id="rId8" w:history="1">
                    <w:r w:rsidR="001760EB" w:rsidRPr="001760EB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pt-BR"/>
                      </w:rPr>
                      <w:t>https://doi.org/10.1186/s43042-025-00694-8</w:t>
                    </w:r>
                  </w:hyperlink>
                  <w:r w:rsidR="001760EB" w:rsidRPr="001760EB">
                    <w:rPr>
                      <w:rFonts w:ascii="Arial" w:hAnsi="Arial" w:cs="Arial"/>
                      <w:b/>
                      <w:color w:val="222222"/>
                      <w:sz w:val="32"/>
                      <w:lang w:val="pt-BR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D93D6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D93D6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D93D6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D93D6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3D6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93D6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93D6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93D6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93D6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93D6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93D63">
              <w:rPr>
                <w:rFonts w:ascii="Arial" w:hAnsi="Arial" w:cs="Arial"/>
                <w:lang w:val="en-GB"/>
              </w:rPr>
              <w:t>Author’s Feedback</w:t>
            </w:r>
            <w:r w:rsidRPr="00D93D6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93D6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93D6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93D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93D6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4DD9F37" w:rsidR="00F1171E" w:rsidRPr="00D93D63" w:rsidRDefault="00907FB9" w:rsidP="00907FB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sz w:val="20"/>
                <w:szCs w:val="20"/>
                <w:lang w:val="en-GB"/>
              </w:rPr>
              <w:t>The present manuscript gives characteristic importance of various genetic tests to diagnose rare genetic syndromes with overlap- ping phenotype.</w:t>
            </w:r>
          </w:p>
        </w:tc>
        <w:tc>
          <w:tcPr>
            <w:tcW w:w="1523" w:type="pct"/>
          </w:tcPr>
          <w:p w14:paraId="462A339C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3D6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93D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93D6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120C471" w:rsidR="00F1171E" w:rsidRPr="00D93D63" w:rsidRDefault="00907F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3D6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93D6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93D6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DE2823C" w:rsidR="00F1171E" w:rsidRPr="00D93D63" w:rsidRDefault="00907FB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3D6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93D6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5AB1FA6" w:rsidR="00F1171E" w:rsidRPr="00D93D63" w:rsidRDefault="00907FB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3D6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7EFC02A2" w14:textId="15E5015E" w:rsidR="00F1171E" w:rsidRPr="00D93D63" w:rsidRDefault="00F1171E" w:rsidP="00D93D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4FE0567" w14:textId="30E9F3B4" w:rsidR="00F1171E" w:rsidRPr="00D93D63" w:rsidRDefault="00907FB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93D63" w14:paraId="73CC4A50" w14:textId="77777777" w:rsidTr="00D93D63">
        <w:trPr>
          <w:trHeight w:val="728"/>
        </w:trPr>
        <w:tc>
          <w:tcPr>
            <w:tcW w:w="1265" w:type="pct"/>
            <w:noWrap/>
          </w:tcPr>
          <w:p w14:paraId="029CE8D0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7722B85E" w14:textId="7C9A2F72" w:rsidR="00F1171E" w:rsidRPr="00D93D63" w:rsidRDefault="00F1171E" w:rsidP="00D93D63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93D6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</w:tc>
        <w:tc>
          <w:tcPr>
            <w:tcW w:w="2212" w:type="pct"/>
          </w:tcPr>
          <w:p w14:paraId="0A07EA75" w14:textId="1A371669" w:rsidR="00F1171E" w:rsidRPr="00D93D63" w:rsidRDefault="00907FB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93D63" w14:paraId="20A16C0C" w14:textId="77777777" w:rsidTr="00D93D63">
        <w:trPr>
          <w:trHeight w:val="728"/>
        </w:trPr>
        <w:tc>
          <w:tcPr>
            <w:tcW w:w="1265" w:type="pct"/>
            <w:noWrap/>
          </w:tcPr>
          <w:p w14:paraId="7F4BCFAE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93D6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93D6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93D6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93D6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F42D83C" w:rsidR="00F1171E" w:rsidRPr="00D93D63" w:rsidRDefault="00907FB9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D63">
              <w:rPr>
                <w:rFonts w:ascii="Arial" w:hAnsi="Arial" w:cs="Arial"/>
                <w:sz w:val="20"/>
                <w:szCs w:val="20"/>
                <w:lang w:val="en-GB"/>
              </w:rPr>
              <w:t>Manuscript needs result’s title</w:t>
            </w:r>
          </w:p>
          <w:p w14:paraId="7EB58C99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93D6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ECA4E5E" w14:textId="77777777" w:rsidR="00F1171E" w:rsidRPr="00D93D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43291B" w:rsidRPr="00D93D63" w14:paraId="64384F91" w14:textId="77777777" w:rsidTr="0043291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C2D2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93D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93D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06EC2E9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3291B" w:rsidRPr="00D93D63" w14:paraId="2B6F5644" w14:textId="77777777" w:rsidTr="0043291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14F4E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C572D" w14:textId="77777777" w:rsidR="0043291B" w:rsidRPr="00D93D63" w:rsidRDefault="0043291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2C24" w14:textId="77777777" w:rsidR="0043291B" w:rsidRPr="00D93D63" w:rsidRDefault="0043291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93D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D93D63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D93D63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43291B" w:rsidRPr="00D93D63" w14:paraId="1A252AF3" w14:textId="77777777" w:rsidTr="0043291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4BD6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3D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563487A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05433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3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93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93D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50B073D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321796A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B193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18149D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DBBE6D" w14:textId="77777777" w:rsidR="0043291B" w:rsidRPr="00D93D63" w:rsidRDefault="0043291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p w14:paraId="700F907C" w14:textId="77777777" w:rsidR="00D93D63" w:rsidRPr="00D93D63" w:rsidRDefault="00D93D63" w:rsidP="00D93D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3D63">
        <w:rPr>
          <w:rFonts w:ascii="Arial" w:hAnsi="Arial" w:cs="Arial"/>
          <w:b/>
          <w:u w:val="single"/>
        </w:rPr>
        <w:t>Reviewer details:</w:t>
      </w:r>
    </w:p>
    <w:p w14:paraId="1EED6D78" w14:textId="77777777" w:rsidR="0043291B" w:rsidRPr="00D93D63" w:rsidRDefault="0043291B" w:rsidP="0043291B">
      <w:pPr>
        <w:rPr>
          <w:rFonts w:ascii="Arial" w:hAnsi="Arial" w:cs="Arial"/>
          <w:sz w:val="20"/>
          <w:szCs w:val="20"/>
        </w:rPr>
      </w:pPr>
    </w:p>
    <w:p w14:paraId="41B0E0C2" w14:textId="4A0F3A51" w:rsidR="00D93D63" w:rsidRPr="00D93D63" w:rsidRDefault="00D93D63" w:rsidP="0043291B">
      <w:pPr>
        <w:rPr>
          <w:rFonts w:ascii="Arial" w:hAnsi="Arial" w:cs="Arial"/>
          <w:b/>
          <w:bCs/>
          <w:sz w:val="20"/>
          <w:szCs w:val="20"/>
          <w:lang w:val="nl-BE"/>
        </w:rPr>
      </w:pPr>
      <w:bookmarkStart w:id="2" w:name="_Hlk204353835"/>
      <w:r w:rsidRPr="00D93D63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>Athraa Y. Al-Hijazi</w:t>
      </w:r>
      <w:r w:rsidRPr="00D93D63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 xml:space="preserve">, </w:t>
      </w:r>
      <w:r w:rsidRPr="00D93D63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>Al-Mustaqbal University</w:t>
      </w:r>
      <w:r w:rsidRPr="00D93D63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 xml:space="preserve">, </w:t>
      </w:r>
      <w:r w:rsidRPr="00D93D63">
        <w:rPr>
          <w:rFonts w:ascii="Arial" w:hAnsi="Arial" w:cs="Arial"/>
          <w:b/>
          <w:bCs/>
          <w:color w:val="000000"/>
          <w:sz w:val="20"/>
          <w:szCs w:val="20"/>
          <w:lang w:val="nl-BE"/>
        </w:rPr>
        <w:t>Iraq</w:t>
      </w:r>
    </w:p>
    <w:bookmarkEnd w:id="1"/>
    <w:bookmarkEnd w:id="2"/>
    <w:p w14:paraId="158D491F" w14:textId="77777777" w:rsidR="0043291B" w:rsidRPr="00D93D63" w:rsidRDefault="0043291B" w:rsidP="0043291B">
      <w:pPr>
        <w:rPr>
          <w:rFonts w:ascii="Arial" w:hAnsi="Arial" w:cs="Arial"/>
          <w:sz w:val="20"/>
          <w:szCs w:val="20"/>
          <w:lang w:val="nl-BE"/>
        </w:rPr>
      </w:pPr>
    </w:p>
    <w:p w14:paraId="022D30C9" w14:textId="77777777" w:rsidR="00F1171E" w:rsidRPr="00D93D6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nl-BE"/>
        </w:rPr>
      </w:pPr>
    </w:p>
    <w:sectPr w:rsidR="00F1171E" w:rsidRPr="00D93D63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4CB8" w14:textId="77777777" w:rsidR="009C7934" w:rsidRPr="0000007A" w:rsidRDefault="009C7934" w:rsidP="0099583E">
      <w:r>
        <w:separator/>
      </w:r>
    </w:p>
  </w:endnote>
  <w:endnote w:type="continuationSeparator" w:id="0">
    <w:p w14:paraId="685BD53E" w14:textId="77777777" w:rsidR="009C7934" w:rsidRPr="0000007A" w:rsidRDefault="009C793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06796" w14:textId="77777777" w:rsidR="009C7934" w:rsidRPr="0000007A" w:rsidRDefault="009C7934" w:rsidP="0099583E">
      <w:r>
        <w:separator/>
      </w:r>
    </w:p>
  </w:footnote>
  <w:footnote w:type="continuationSeparator" w:id="0">
    <w:p w14:paraId="1B92A6D6" w14:textId="77777777" w:rsidR="009C7934" w:rsidRPr="0000007A" w:rsidRDefault="009C793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711266">
    <w:abstractNumId w:val="3"/>
  </w:num>
  <w:num w:numId="2" w16cid:durableId="144006961">
    <w:abstractNumId w:val="6"/>
  </w:num>
  <w:num w:numId="3" w16cid:durableId="1919485899">
    <w:abstractNumId w:val="5"/>
  </w:num>
  <w:num w:numId="4" w16cid:durableId="836312851">
    <w:abstractNumId w:val="7"/>
  </w:num>
  <w:num w:numId="5" w16cid:durableId="304703198">
    <w:abstractNumId w:val="4"/>
  </w:num>
  <w:num w:numId="6" w16cid:durableId="368258704">
    <w:abstractNumId w:val="0"/>
  </w:num>
  <w:num w:numId="7" w16cid:durableId="1891107511">
    <w:abstractNumId w:val="1"/>
  </w:num>
  <w:num w:numId="8" w16cid:durableId="2073460336">
    <w:abstractNumId w:val="9"/>
  </w:num>
  <w:num w:numId="9" w16cid:durableId="637539759">
    <w:abstractNumId w:val="8"/>
  </w:num>
  <w:num w:numId="10" w16cid:durableId="765729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0F3F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0EB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B6BFA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0388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351B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02720"/>
    <w:rsid w:val="00421DBF"/>
    <w:rsid w:val="0042465A"/>
    <w:rsid w:val="0043291B"/>
    <w:rsid w:val="00432F17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623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420E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0A4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5DCA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9B7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07FB9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934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54BF"/>
    <w:rsid w:val="00A31AAC"/>
    <w:rsid w:val="00A32905"/>
    <w:rsid w:val="00A36C95"/>
    <w:rsid w:val="00A37DE3"/>
    <w:rsid w:val="00A40B00"/>
    <w:rsid w:val="00A4787C"/>
    <w:rsid w:val="00A507BB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BF7FDE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0C38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8A0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3D63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9735B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5CD58B55-7050-4D9C-B9FE-985EB9A5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75DC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C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675DCA"/>
  </w:style>
  <w:style w:type="paragraph" w:customStyle="1" w:styleId="Affiliation">
    <w:name w:val="Affiliation"/>
    <w:basedOn w:val="Normal"/>
    <w:rsid w:val="00D93D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3042-025-00694-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2132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2025-07-25T11:07:00Z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