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3AC85" w14:textId="6C9D65BD" w:rsidR="00BD7A95" w:rsidRPr="00DE77C7" w:rsidRDefault="00BD7A95" w:rsidP="007B7015">
      <w:pPr>
        <w:tabs>
          <w:tab w:val="left" w:pos="3510"/>
        </w:tabs>
        <w:spacing w:after="0" w:line="240" w:lineRule="auto"/>
        <w:ind w:left="2160"/>
        <w:contextualSpacing/>
        <w:jc w:val="right"/>
        <w:outlineLvl w:val="0"/>
        <w:rPr>
          <w:rFonts w:ascii="Arial" w:eastAsia="Times New Roman" w:hAnsi="Arial" w:cs="Arial"/>
          <w:b/>
          <w:i/>
          <w:sz w:val="24"/>
          <w:szCs w:val="24"/>
        </w:rPr>
      </w:pPr>
    </w:p>
    <w:p w14:paraId="05BE57B7" w14:textId="6D54E9EF" w:rsidR="003C6DB6" w:rsidRPr="00DE77C7" w:rsidRDefault="003C6DB6" w:rsidP="007B7015">
      <w:pPr>
        <w:spacing w:after="0" w:line="240" w:lineRule="auto"/>
        <w:contextualSpacing/>
        <w:jc w:val="right"/>
        <w:outlineLvl w:val="0"/>
        <w:rPr>
          <w:rFonts w:ascii="Arial" w:eastAsia="Times New Roman" w:hAnsi="Arial" w:cs="Arial"/>
          <w:sz w:val="16"/>
          <w:szCs w:val="16"/>
        </w:rPr>
      </w:pPr>
    </w:p>
    <w:p w14:paraId="7237C272" w14:textId="77777777" w:rsidR="00BD7A95" w:rsidRPr="00BB4FF2" w:rsidRDefault="00BD7A95" w:rsidP="007B7015">
      <w:pPr>
        <w:spacing w:after="0" w:line="240" w:lineRule="auto"/>
        <w:contextualSpacing/>
        <w:jc w:val="center"/>
        <w:rPr>
          <w:rFonts w:ascii="Arial" w:eastAsia="Times New Roman" w:hAnsi="Arial" w:cs="Arial"/>
          <w:i/>
          <w:sz w:val="14"/>
          <w:szCs w:val="20"/>
        </w:rPr>
      </w:pPr>
    </w:p>
    <w:p w14:paraId="602B8DBE" w14:textId="77777777" w:rsidR="00BD7A95" w:rsidRPr="00BB4FF2" w:rsidRDefault="00532C77" w:rsidP="007B7015">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CF1CFC9">
          <v:shapetype id="_x0000_t32" coordsize="21600,21600" o:spt="32" o:oned="t" path="m,l21600,21600e" filled="f">
            <v:path arrowok="t" fillok="f" o:connecttype="none"/>
            <o:lock v:ext="edit" shapetype="t"/>
          </v:shapetype>
          <v:shape id="AutoShape 54" o:spid="_x0000_s1026" type="#_x0000_t32" style="width:324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01E99575" w14:textId="77777777" w:rsidR="008939AF" w:rsidRPr="00BB4FF2" w:rsidRDefault="008939AF" w:rsidP="007B7015">
      <w:pPr>
        <w:spacing w:after="0" w:line="240" w:lineRule="auto"/>
        <w:contextualSpacing/>
        <w:jc w:val="right"/>
        <w:rPr>
          <w:rFonts w:ascii="Arial" w:eastAsia="Calibri" w:hAnsi="Arial" w:cs="Arial"/>
          <w:b/>
          <w:bCs/>
          <w:sz w:val="20"/>
          <w:szCs w:val="36"/>
        </w:rPr>
      </w:pPr>
    </w:p>
    <w:p w14:paraId="6C8165A0" w14:textId="79B38C58" w:rsidR="003876C4" w:rsidRPr="00F33AB6" w:rsidRDefault="003876C4" w:rsidP="00217A18">
      <w:pPr>
        <w:spacing w:after="0" w:line="240" w:lineRule="auto"/>
        <w:contextualSpacing/>
        <w:jc w:val="both"/>
        <w:rPr>
          <w:rFonts w:ascii="Arial" w:eastAsia="Times New Roman" w:hAnsi="Arial" w:cstheme="majorBidi"/>
          <w:b/>
          <w:bCs/>
          <w:iCs/>
          <w:kern w:val="28"/>
          <w:sz w:val="32"/>
          <w:szCs w:val="28"/>
        </w:rPr>
      </w:pPr>
      <w:r w:rsidRPr="00F33AB6">
        <w:rPr>
          <w:rFonts w:ascii="Arial" w:eastAsia="Times New Roman" w:hAnsi="Arial" w:cstheme="majorBidi"/>
          <w:b/>
          <w:bCs/>
          <w:iCs/>
          <w:kern w:val="28"/>
          <w:sz w:val="32"/>
          <w:szCs w:val="28"/>
        </w:rPr>
        <w:t xml:space="preserve">Anticancer Efficacy of Garlic Bioactive Constituents: </w:t>
      </w:r>
      <w:proofErr w:type="spellStart"/>
      <w:r w:rsidRPr="00F33AB6">
        <w:rPr>
          <w:rFonts w:ascii="Arial" w:eastAsia="Times New Roman" w:hAnsi="Arial" w:cstheme="majorBidi"/>
          <w:b/>
          <w:bCs/>
          <w:iCs/>
          <w:kern w:val="28"/>
          <w:sz w:val="32"/>
          <w:szCs w:val="28"/>
        </w:rPr>
        <w:t>Allicin</w:t>
      </w:r>
      <w:proofErr w:type="spellEnd"/>
      <w:r w:rsidRPr="00F33AB6">
        <w:rPr>
          <w:rFonts w:ascii="Arial" w:eastAsia="Times New Roman" w:hAnsi="Arial" w:cstheme="majorBidi"/>
          <w:b/>
          <w:bCs/>
          <w:iCs/>
          <w:kern w:val="28"/>
          <w:sz w:val="32"/>
          <w:szCs w:val="28"/>
        </w:rPr>
        <w:t xml:space="preserve"> and </w:t>
      </w:r>
      <w:commentRangeStart w:id="0"/>
      <w:r w:rsidRPr="00F33AB6">
        <w:rPr>
          <w:rFonts w:ascii="Arial" w:eastAsia="Times New Roman" w:hAnsi="Arial" w:cstheme="majorBidi"/>
          <w:b/>
          <w:bCs/>
          <w:iCs/>
          <w:kern w:val="28"/>
          <w:sz w:val="32"/>
          <w:szCs w:val="28"/>
        </w:rPr>
        <w:t>Z</w:t>
      </w:r>
      <w:r w:rsidRPr="00F33AB6">
        <w:rPr>
          <w:rFonts w:ascii="Arial" w:eastAsia="Times New Roman" w:hAnsi="Arial" w:cstheme="majorBidi"/>
          <w:b/>
          <w:bCs/>
          <w:iCs/>
          <w:kern w:val="28"/>
          <w:sz w:val="32"/>
          <w:szCs w:val="28"/>
        </w:rPr>
        <w:noBreakHyphen/>
      </w:r>
      <w:proofErr w:type="spellStart"/>
      <w:r w:rsidRPr="00F33AB6">
        <w:rPr>
          <w:rFonts w:ascii="Arial" w:eastAsia="Times New Roman" w:hAnsi="Arial" w:cstheme="majorBidi"/>
          <w:b/>
          <w:bCs/>
          <w:iCs/>
          <w:kern w:val="28"/>
          <w:sz w:val="32"/>
          <w:szCs w:val="28"/>
        </w:rPr>
        <w:t>Ajoene</w:t>
      </w:r>
      <w:commentRangeEnd w:id="0"/>
      <w:proofErr w:type="spellEnd"/>
      <w:r w:rsidR="00A777D9">
        <w:rPr>
          <w:rStyle w:val="CommentReference"/>
          <w:rFonts w:ascii="Calibri" w:eastAsia="MS Mincho" w:hAnsi="Calibri" w:cs="Arial"/>
          <w:lang w:val="en-NZ"/>
        </w:rPr>
        <w:commentReference w:id="0"/>
      </w:r>
    </w:p>
    <w:p w14:paraId="1D4390A8" w14:textId="4CFABE9A" w:rsidR="002069F3" w:rsidRPr="003876C4" w:rsidRDefault="003876C4" w:rsidP="004B0166">
      <w:pPr>
        <w:spacing w:after="0" w:line="240" w:lineRule="auto"/>
        <w:contextualSpacing/>
        <w:rPr>
          <w:rFonts w:ascii="Arial" w:eastAsia="Times New Roman" w:hAnsi="Arial" w:cs="Arial"/>
          <w:bCs/>
          <w:i/>
          <w:sz w:val="12"/>
          <w:szCs w:val="12"/>
        </w:rPr>
      </w:pPr>
      <w:r w:rsidRPr="00F33AB6">
        <w:rPr>
          <w:rFonts w:ascii="Arial" w:eastAsia="Times New Roman" w:hAnsi="Arial" w:cstheme="majorBidi"/>
          <w:b/>
          <w:bCs/>
          <w:iCs/>
          <w:kern w:val="28"/>
          <w:sz w:val="32"/>
          <w:szCs w:val="28"/>
        </w:rPr>
        <w:t xml:space="preserve"> </w:t>
      </w:r>
    </w:p>
    <w:p w14:paraId="76B9DDD5" w14:textId="2F6676F9" w:rsidR="001D4826" w:rsidRPr="00BB4FF2" w:rsidRDefault="001D4826" w:rsidP="007B7015">
      <w:pPr>
        <w:pStyle w:val="Heading2"/>
        <w:keepNext w:val="0"/>
        <w:keepLines w:val="0"/>
        <w:rPr>
          <w:rFonts w:eastAsia="Times New Roman"/>
        </w:rPr>
      </w:pPr>
      <w:r w:rsidRPr="003876C4">
        <w:rPr>
          <w:rFonts w:eastAsia="Times New Roman"/>
          <w:sz w:val="20"/>
          <w:szCs w:val="20"/>
        </w:rPr>
        <w:t>ABSTRACT</w:t>
      </w:r>
      <w:r w:rsidR="00463DDE">
        <w:rPr>
          <w:rFonts w:eastAsia="Times New Roman"/>
          <w:sz w:val="20"/>
        </w:rPr>
        <w:t xml:space="preserve"> </w:t>
      </w:r>
    </w:p>
    <w:p w14:paraId="538033AE" w14:textId="77777777" w:rsidR="004429EB" w:rsidRPr="003F69C0" w:rsidRDefault="004429EB" w:rsidP="007B7015">
      <w:pPr>
        <w:spacing w:after="0" w:line="240" w:lineRule="auto"/>
        <w:ind w:right="-61"/>
        <w:jc w:val="center"/>
        <w:outlineLvl w:val="0"/>
        <w:rPr>
          <w:rFonts w:ascii="Arial" w:eastAsia="Times New Roman" w:hAnsi="Arial" w:cs="Arial"/>
          <w:b/>
          <w:caps/>
          <w:sz w:val="20"/>
          <w:szCs w:val="20"/>
        </w:rPr>
      </w:pPr>
    </w:p>
    <w:p w14:paraId="09AB46B7" w14:textId="4B114759" w:rsidR="00463DDE" w:rsidRPr="000931EC" w:rsidRDefault="003E0B3A" w:rsidP="003E0B3A">
      <w:pPr>
        <w:spacing w:after="0" w:line="240" w:lineRule="auto"/>
        <w:jc w:val="both"/>
        <w:rPr>
          <w:rFonts w:ascii="Arial" w:eastAsia="Calibri" w:hAnsi="Arial" w:cs="Arial"/>
          <w:sz w:val="18"/>
          <w:szCs w:val="18"/>
        </w:rPr>
      </w:pPr>
      <w:r w:rsidRPr="000931EC">
        <w:rPr>
          <w:rFonts w:ascii="Arial" w:eastAsia="Calibri" w:hAnsi="Arial" w:cs="Arial"/>
          <w:sz w:val="18"/>
          <w:szCs w:val="18"/>
        </w:rPr>
        <w:t>Garlic (</w:t>
      </w:r>
      <w:r w:rsidRPr="000931EC">
        <w:rPr>
          <w:rFonts w:ascii="Arial" w:eastAsia="Calibri" w:hAnsi="Arial" w:cs="Arial"/>
          <w:i/>
          <w:iCs/>
          <w:sz w:val="18"/>
          <w:szCs w:val="18"/>
        </w:rPr>
        <w:t>Allium sativum</w:t>
      </w:r>
      <w:r w:rsidRPr="000931EC">
        <w:rPr>
          <w:rFonts w:ascii="Arial" w:eastAsia="Calibri" w:hAnsi="Arial" w:cs="Arial"/>
          <w:sz w:val="18"/>
          <w:szCs w:val="18"/>
        </w:rPr>
        <w:t>) owes much of its anticancer activity to sulfur</w:t>
      </w:r>
      <w:r w:rsidRPr="000931EC">
        <w:rPr>
          <w:rFonts w:ascii="Arial" w:eastAsia="Calibri" w:hAnsi="Arial" w:cs="Arial"/>
          <w:sz w:val="18"/>
          <w:szCs w:val="18"/>
        </w:rPr>
        <w:noBreakHyphen/>
        <w:t xml:space="preserve">containing metabolites produced when cloves are crushed, chiefly </w:t>
      </w:r>
      <w:r w:rsidRPr="000931EC">
        <w:rPr>
          <w:rFonts w:ascii="Arial" w:eastAsia="Calibri" w:hAnsi="Arial" w:cs="Arial"/>
          <w:b/>
          <w:bCs/>
          <w:sz w:val="18"/>
          <w:szCs w:val="18"/>
        </w:rPr>
        <w:t>allicin</w:t>
      </w:r>
      <w:r w:rsidRPr="000931EC">
        <w:rPr>
          <w:rFonts w:ascii="Arial" w:eastAsia="Calibri" w:hAnsi="Arial" w:cs="Arial"/>
          <w:sz w:val="18"/>
          <w:szCs w:val="18"/>
        </w:rPr>
        <w:t xml:space="preserve"> and its more stable rearrangement product </w:t>
      </w:r>
      <w:r w:rsidRPr="000931EC">
        <w:rPr>
          <w:rFonts w:ascii="Arial" w:eastAsia="Calibri" w:hAnsi="Arial" w:cs="Arial"/>
          <w:b/>
          <w:bCs/>
          <w:sz w:val="18"/>
          <w:szCs w:val="18"/>
        </w:rPr>
        <w:t>Z</w:t>
      </w:r>
      <w:r w:rsidRPr="000931EC">
        <w:rPr>
          <w:rFonts w:ascii="Arial" w:eastAsia="Calibri" w:hAnsi="Arial" w:cs="Arial"/>
          <w:b/>
          <w:bCs/>
          <w:sz w:val="18"/>
          <w:szCs w:val="18"/>
        </w:rPr>
        <w:noBreakHyphen/>
        <w:t>ajoene</w:t>
      </w:r>
      <w:r w:rsidRPr="000931EC">
        <w:rPr>
          <w:rFonts w:ascii="Arial" w:eastAsia="Calibri" w:hAnsi="Arial" w:cs="Arial"/>
          <w:sz w:val="18"/>
          <w:szCs w:val="18"/>
        </w:rPr>
        <w:t xml:space="preserve">. </w:t>
      </w:r>
      <w:r w:rsidR="008241EA" w:rsidRPr="008241EA">
        <w:rPr>
          <w:rFonts w:ascii="Arial" w:eastAsia="Calibri" w:hAnsi="Arial" w:cs="Arial"/>
          <w:sz w:val="18"/>
          <w:szCs w:val="18"/>
        </w:rPr>
        <w:t>Even though it breaks down quickly, allicin causes mitochondrial-driven apoptosis, modifies the Nrf2 pathway to change the cellular redox balance, and inhibits drug efflux proteins (such P glycoprotein) to make resistant cancer cells more sensitive to chemotherapy.</w:t>
      </w:r>
      <w:r w:rsidR="008241EA">
        <w:rPr>
          <w:rFonts w:ascii="Arial" w:eastAsia="Calibri" w:hAnsi="Arial" w:cs="Arial"/>
          <w:sz w:val="18"/>
          <w:szCs w:val="18"/>
        </w:rPr>
        <w:t xml:space="preserve"> </w:t>
      </w:r>
      <w:r w:rsidRPr="000931EC">
        <w:rPr>
          <w:rFonts w:ascii="Arial" w:eastAsia="Calibri" w:hAnsi="Arial" w:cs="Arial"/>
          <w:sz w:val="18"/>
          <w:szCs w:val="18"/>
        </w:rPr>
        <w:t>Z</w:t>
      </w:r>
      <w:r w:rsidRPr="000931EC">
        <w:rPr>
          <w:rFonts w:ascii="Arial" w:eastAsia="Calibri" w:hAnsi="Arial" w:cs="Arial"/>
          <w:sz w:val="18"/>
          <w:szCs w:val="18"/>
        </w:rPr>
        <w:noBreakHyphen/>
        <w:t>ajoene exerts complementary effects: it triggers endoplasmic reticulum stress—upregulating BiP/GRP78 and activating the PERK/ATF4/CHOP axis—to drive caspase</w:t>
      </w:r>
      <w:r w:rsidRPr="000931EC">
        <w:rPr>
          <w:rFonts w:ascii="Arial" w:eastAsia="Calibri" w:hAnsi="Arial" w:cs="Arial"/>
          <w:sz w:val="18"/>
          <w:szCs w:val="18"/>
        </w:rPr>
        <w:noBreakHyphen/>
        <w:t>mediated cell death; it blocks Wnt/β</w:t>
      </w:r>
      <w:r w:rsidRPr="000931EC">
        <w:rPr>
          <w:rFonts w:ascii="Arial" w:eastAsia="Calibri" w:hAnsi="Arial" w:cs="Arial"/>
          <w:sz w:val="18"/>
          <w:szCs w:val="18"/>
        </w:rPr>
        <w:noBreakHyphen/>
        <w:t>catenin signaling through CK1α</w:t>
      </w:r>
      <w:r w:rsidRPr="000931EC">
        <w:rPr>
          <w:rFonts w:ascii="Arial" w:eastAsia="Calibri" w:hAnsi="Arial" w:cs="Arial"/>
          <w:sz w:val="18"/>
          <w:szCs w:val="18"/>
        </w:rPr>
        <w:noBreakHyphen/>
        <w:t>mediated β</w:t>
      </w:r>
      <w:r w:rsidRPr="000931EC">
        <w:rPr>
          <w:rFonts w:ascii="Arial" w:eastAsia="Calibri" w:hAnsi="Arial" w:cs="Arial"/>
          <w:sz w:val="18"/>
          <w:szCs w:val="18"/>
        </w:rPr>
        <w:noBreakHyphen/>
        <w:t>catenin phosphorylation, reducing oncogenic drivers like c</w:t>
      </w:r>
      <w:r w:rsidRPr="000931EC">
        <w:rPr>
          <w:rFonts w:ascii="Arial" w:eastAsia="Calibri" w:hAnsi="Arial" w:cs="Arial"/>
          <w:sz w:val="18"/>
          <w:szCs w:val="18"/>
        </w:rPr>
        <w:noBreakHyphen/>
        <w:t>Myc; it disrupts vimentin filaments to impair invasion; and it selectively targets cancer stem cells by influencing AKT, TGF</w:t>
      </w:r>
      <w:r w:rsidRPr="000931EC">
        <w:rPr>
          <w:rFonts w:ascii="Arial" w:eastAsia="Calibri" w:hAnsi="Arial" w:cs="Arial"/>
          <w:sz w:val="18"/>
          <w:szCs w:val="18"/>
        </w:rPr>
        <w:noBreakHyphen/>
        <w:t>β, Notch, and ERK/p38 pathways. Recent translational efforts include nanoformulation of allicin for enhanced stability and delivery, as well as combination regimens pairing these compounds with standard chemotherapeutics (e.g., 5</w:t>
      </w:r>
      <w:r w:rsidRPr="000931EC">
        <w:rPr>
          <w:rFonts w:ascii="Arial" w:eastAsia="Calibri" w:hAnsi="Arial" w:cs="Arial"/>
          <w:sz w:val="18"/>
          <w:szCs w:val="18"/>
        </w:rPr>
        <w:noBreakHyphen/>
        <w:t>FU, paclitaxel) that demonstrate synergistic tumor inhibition and reduced systemic toxicity.</w:t>
      </w:r>
    </w:p>
    <w:p w14:paraId="12A177EA" w14:textId="77777777" w:rsidR="003E0B3A" w:rsidRPr="003876C4" w:rsidRDefault="003E0B3A" w:rsidP="007B7015">
      <w:pPr>
        <w:spacing w:after="0" w:line="240" w:lineRule="auto"/>
        <w:jc w:val="both"/>
        <w:rPr>
          <w:rFonts w:ascii="Arial" w:eastAsia="Calibri" w:hAnsi="Arial" w:cs="Arial"/>
          <w:sz w:val="14"/>
          <w:szCs w:val="16"/>
        </w:rPr>
      </w:pPr>
    </w:p>
    <w:p w14:paraId="3FAC12F9" w14:textId="357D5D33" w:rsidR="00463DDE" w:rsidRPr="00463DDE" w:rsidRDefault="00463DDE" w:rsidP="003E0B3A">
      <w:pPr>
        <w:spacing w:after="0" w:line="240" w:lineRule="auto"/>
        <w:jc w:val="both"/>
        <w:rPr>
          <w:rFonts w:ascii="Arial" w:eastAsia="Calibri" w:hAnsi="Arial" w:cs="Arial"/>
          <w:sz w:val="18"/>
          <w:szCs w:val="20"/>
        </w:rPr>
      </w:pPr>
    </w:p>
    <w:p w14:paraId="3A44521E" w14:textId="326A1F4C" w:rsidR="003576BF" w:rsidRPr="000931EC" w:rsidRDefault="001D4826" w:rsidP="000931EC">
      <w:pPr>
        <w:jc w:val="both"/>
      </w:pPr>
      <w:r w:rsidRPr="000931EC">
        <w:rPr>
          <w:rFonts w:ascii="Arial" w:eastAsia="Times New Roman" w:hAnsi="Arial" w:cs="Arial"/>
          <w:b/>
          <w:bCs/>
          <w:i/>
          <w:sz w:val="18"/>
          <w:szCs w:val="20"/>
        </w:rPr>
        <w:t>Keywords</w:t>
      </w:r>
      <w:r w:rsidRPr="000931EC">
        <w:rPr>
          <w:rFonts w:ascii="Arial" w:eastAsia="Times New Roman" w:hAnsi="Arial" w:cs="Arial"/>
          <w:b/>
          <w:bCs/>
          <w:i/>
          <w:sz w:val="18"/>
          <w:szCs w:val="18"/>
        </w:rPr>
        <w:t>:</w:t>
      </w:r>
      <w:r w:rsidR="00375144" w:rsidRPr="000931EC">
        <w:rPr>
          <w:rFonts w:ascii="Arial" w:eastAsia="Times New Roman" w:hAnsi="Arial" w:cs="Arial"/>
          <w:i/>
          <w:sz w:val="18"/>
          <w:szCs w:val="18"/>
        </w:rPr>
        <w:t xml:space="preserve"> </w:t>
      </w:r>
      <w:r w:rsidR="000931EC" w:rsidRPr="000931EC">
        <w:rPr>
          <w:rFonts w:ascii="Arial" w:hAnsi="Arial" w:cs="Arial"/>
          <w:sz w:val="18"/>
          <w:szCs w:val="18"/>
        </w:rPr>
        <w:t>allicin</w:t>
      </w:r>
      <w:r w:rsidR="008A2903">
        <w:rPr>
          <w:rFonts w:ascii="Arial" w:hAnsi="Arial" w:cs="Arial"/>
          <w:sz w:val="18"/>
          <w:szCs w:val="18"/>
        </w:rPr>
        <w:t>,</w:t>
      </w:r>
      <w:r w:rsidR="000931EC" w:rsidRPr="000931EC">
        <w:rPr>
          <w:rFonts w:ascii="Arial" w:hAnsi="Arial" w:cs="Arial"/>
          <w:sz w:val="18"/>
          <w:szCs w:val="18"/>
        </w:rPr>
        <w:t xml:space="preserve"> ajoene</w:t>
      </w:r>
      <w:r w:rsidR="008A2903">
        <w:rPr>
          <w:rFonts w:ascii="Arial" w:hAnsi="Arial" w:cs="Arial"/>
          <w:sz w:val="18"/>
          <w:szCs w:val="18"/>
        </w:rPr>
        <w:t>,</w:t>
      </w:r>
      <w:r w:rsidR="000931EC" w:rsidRPr="000931EC">
        <w:rPr>
          <w:rFonts w:ascii="Arial" w:hAnsi="Arial" w:cs="Arial"/>
          <w:sz w:val="18"/>
          <w:szCs w:val="18"/>
        </w:rPr>
        <w:t xml:space="preserve"> garlic</w:t>
      </w:r>
      <w:r w:rsidR="008A2903">
        <w:rPr>
          <w:rFonts w:ascii="Arial" w:hAnsi="Arial" w:cs="Arial"/>
          <w:sz w:val="18"/>
          <w:szCs w:val="18"/>
        </w:rPr>
        <w:t>,</w:t>
      </w:r>
      <w:r w:rsidR="000931EC" w:rsidRPr="000931EC">
        <w:rPr>
          <w:rFonts w:ascii="Arial" w:hAnsi="Arial" w:cs="Arial"/>
          <w:sz w:val="18"/>
          <w:szCs w:val="18"/>
        </w:rPr>
        <w:t xml:space="preserve"> anticancer</w:t>
      </w:r>
      <w:r w:rsidR="008A2903">
        <w:rPr>
          <w:rFonts w:ascii="Arial" w:hAnsi="Arial" w:cs="Arial"/>
          <w:sz w:val="18"/>
          <w:szCs w:val="18"/>
        </w:rPr>
        <w:t>,</w:t>
      </w:r>
      <w:r w:rsidR="000931EC" w:rsidRPr="000931EC">
        <w:rPr>
          <w:rFonts w:ascii="Arial" w:hAnsi="Arial" w:cs="Arial"/>
          <w:sz w:val="18"/>
          <w:szCs w:val="18"/>
        </w:rPr>
        <w:t xml:space="preserve"> apoptosis</w:t>
      </w:r>
      <w:r w:rsidR="008A2903">
        <w:rPr>
          <w:rFonts w:ascii="Arial" w:hAnsi="Arial" w:cs="Arial"/>
          <w:sz w:val="18"/>
          <w:szCs w:val="18"/>
        </w:rPr>
        <w:t>,</w:t>
      </w:r>
      <w:r w:rsidR="000931EC" w:rsidRPr="000931EC">
        <w:rPr>
          <w:rFonts w:ascii="Arial" w:hAnsi="Arial" w:cs="Arial"/>
          <w:sz w:val="18"/>
          <w:szCs w:val="18"/>
        </w:rPr>
        <w:t xml:space="preserve"> chemoresistance</w:t>
      </w:r>
      <w:r w:rsidR="008A2903">
        <w:rPr>
          <w:rFonts w:ascii="Arial" w:hAnsi="Arial" w:cs="Arial"/>
          <w:sz w:val="18"/>
          <w:szCs w:val="18"/>
        </w:rPr>
        <w:t>.</w:t>
      </w:r>
    </w:p>
    <w:p w14:paraId="15801C42" w14:textId="77777777" w:rsidR="00BC78AE" w:rsidRDefault="00BC78AE" w:rsidP="007B7015">
      <w:pPr>
        <w:spacing w:after="0" w:line="240" w:lineRule="auto"/>
        <w:contextualSpacing/>
        <w:jc w:val="both"/>
        <w:rPr>
          <w:rFonts w:ascii="Arial" w:eastAsia="Times New Roman" w:hAnsi="Arial" w:cs="Arial"/>
          <w:sz w:val="18"/>
          <w:szCs w:val="20"/>
        </w:rPr>
      </w:pPr>
    </w:p>
    <w:p w14:paraId="243FCFD5" w14:textId="5911300E" w:rsidR="00463DDE" w:rsidRPr="00463DDE" w:rsidRDefault="00463DDE" w:rsidP="007B7015">
      <w:pPr>
        <w:spacing w:after="0" w:line="240" w:lineRule="auto"/>
        <w:jc w:val="both"/>
        <w:rPr>
          <w:rFonts w:ascii="Arial" w:eastAsia="Times New Roman" w:hAnsi="Arial" w:cs="Arial"/>
          <w:b/>
          <w:caps/>
          <w:sz w:val="18"/>
          <w:szCs w:val="18"/>
        </w:rPr>
      </w:pPr>
      <w:r w:rsidRPr="006D06BB">
        <w:rPr>
          <w:rFonts w:ascii="Arial" w:eastAsia="Times New Roman" w:hAnsi="Arial" w:cs="Arial"/>
          <w:b/>
          <w:caps/>
          <w:sz w:val="20"/>
          <w:szCs w:val="20"/>
        </w:rPr>
        <w:t xml:space="preserve">1. INTRODUCTION </w:t>
      </w:r>
    </w:p>
    <w:p w14:paraId="3F14D2FB" w14:textId="77777777" w:rsidR="00463DDE" w:rsidRDefault="00463DDE" w:rsidP="007B7015">
      <w:pPr>
        <w:spacing w:after="0" w:line="240" w:lineRule="auto"/>
        <w:jc w:val="both"/>
        <w:rPr>
          <w:rFonts w:ascii="Arial" w:eastAsia="Times New Roman" w:hAnsi="Arial" w:cs="Arial"/>
          <w:b/>
          <w:caps/>
          <w:sz w:val="18"/>
          <w:szCs w:val="18"/>
        </w:rPr>
      </w:pPr>
    </w:p>
    <w:p w14:paraId="592ECB5E" w14:textId="165953EA" w:rsidR="005F1805" w:rsidRDefault="00425553" w:rsidP="005F1805">
      <w:pPr>
        <w:spacing w:after="0" w:line="240" w:lineRule="auto"/>
        <w:jc w:val="both"/>
        <w:rPr>
          <w:rFonts w:ascii="Arial" w:eastAsia="Times New Roman" w:hAnsi="Arial" w:cs="Arial"/>
          <w:bCs/>
          <w:sz w:val="18"/>
          <w:szCs w:val="18"/>
        </w:rPr>
      </w:pPr>
      <w:r w:rsidRPr="00425553">
        <w:rPr>
          <w:rFonts w:ascii="Arial" w:eastAsia="Times New Roman" w:hAnsi="Arial" w:cs="Arial"/>
          <w:bCs/>
          <w:sz w:val="18"/>
          <w:szCs w:val="18"/>
        </w:rPr>
        <w:t>Since ancient times, people have utilized garlic (Allium sativum) as a food ingredient and for its many health benefits, which include cancer prevention.</w:t>
      </w:r>
      <w:r>
        <w:rPr>
          <w:rFonts w:ascii="Arial" w:eastAsia="Times New Roman" w:hAnsi="Arial" w:cs="Arial"/>
          <w:bCs/>
          <w:sz w:val="18"/>
          <w:szCs w:val="18"/>
        </w:rPr>
        <w:t xml:space="preserve"> </w:t>
      </w:r>
      <w:r w:rsidR="008A2903">
        <w:rPr>
          <w:rFonts w:ascii="Arial" w:eastAsia="Times New Roman" w:hAnsi="Arial" w:cs="Arial"/>
          <w:bCs/>
          <w:sz w:val="18"/>
          <w:szCs w:val="18"/>
        </w:rPr>
        <w:t>[</w:t>
      </w:r>
      <w:r w:rsidR="008A2903" w:rsidRPr="008A2903">
        <w:rPr>
          <w:rFonts w:ascii="Arial" w:eastAsia="Times New Roman" w:hAnsi="Arial" w:cs="Arial"/>
          <w:bCs/>
          <w:sz w:val="18"/>
          <w:szCs w:val="18"/>
        </w:rPr>
        <w:t>Catherine H. Kaschula</w:t>
      </w:r>
      <w:r w:rsidR="008A2903">
        <w:rPr>
          <w:rFonts w:ascii="Arial" w:eastAsia="Times New Roman" w:hAnsi="Arial" w:cs="Arial"/>
          <w:bCs/>
          <w:sz w:val="18"/>
          <w:szCs w:val="18"/>
        </w:rPr>
        <w:t xml:space="preserve"> </w:t>
      </w:r>
      <w:r w:rsidR="008A2903" w:rsidRPr="008A2903">
        <w:rPr>
          <w:rFonts w:ascii="Arial" w:eastAsia="Times New Roman" w:hAnsi="Arial" w:cs="Arial"/>
          <w:bCs/>
          <w:sz w:val="18"/>
          <w:szCs w:val="18"/>
        </w:rPr>
        <w:t>2019</w:t>
      </w:r>
      <w:r w:rsidR="008A2903">
        <w:rPr>
          <w:rFonts w:ascii="Arial" w:eastAsia="Times New Roman" w:hAnsi="Arial" w:cs="Arial"/>
          <w:bCs/>
          <w:sz w:val="18"/>
          <w:szCs w:val="18"/>
        </w:rPr>
        <w:t>].</w:t>
      </w:r>
      <w:r w:rsidR="002F0E2B">
        <w:rPr>
          <w:rFonts w:ascii="Arial" w:eastAsia="Times New Roman" w:hAnsi="Arial" w:cs="Arial"/>
          <w:bCs/>
          <w:sz w:val="18"/>
          <w:szCs w:val="18"/>
        </w:rPr>
        <w:t xml:space="preserve"> </w:t>
      </w:r>
      <w:r w:rsidR="002F0E2B" w:rsidRPr="002F0E2B">
        <w:rPr>
          <w:rFonts w:ascii="Arial" w:eastAsia="Times New Roman" w:hAnsi="Arial" w:cs="Arial"/>
          <w:bCs/>
          <w:sz w:val="18"/>
          <w:szCs w:val="18"/>
        </w:rPr>
        <w:t>It is also regarded as one of the most potent anti-cancer and chemopreventive meals.</w:t>
      </w:r>
      <w:r w:rsidR="002F0E2B">
        <w:rPr>
          <w:rFonts w:ascii="Arial" w:eastAsia="Times New Roman" w:hAnsi="Arial" w:cs="Arial"/>
          <w:bCs/>
          <w:sz w:val="18"/>
          <w:szCs w:val="18"/>
        </w:rPr>
        <w:t xml:space="preserve"> [</w:t>
      </w:r>
      <w:r w:rsidR="002F0E2B" w:rsidRPr="002F0E2B">
        <w:rPr>
          <w:rFonts w:ascii="Arial" w:eastAsia="Times New Roman" w:hAnsi="Arial" w:cs="Arial"/>
          <w:bCs/>
          <w:sz w:val="18"/>
          <w:szCs w:val="18"/>
        </w:rPr>
        <w:t>Hyejin Lee</w:t>
      </w:r>
      <w:r w:rsidR="002F0E2B">
        <w:rPr>
          <w:rFonts w:ascii="Arial" w:eastAsia="Times New Roman" w:hAnsi="Arial" w:cs="Arial"/>
          <w:bCs/>
          <w:sz w:val="18"/>
          <w:szCs w:val="18"/>
        </w:rPr>
        <w:t xml:space="preserve"> </w:t>
      </w:r>
      <w:r w:rsidR="002F0E2B" w:rsidRPr="002F0E2B">
        <w:rPr>
          <w:rFonts w:ascii="Arial" w:eastAsia="Times New Roman" w:hAnsi="Arial" w:cs="Arial"/>
          <w:bCs/>
          <w:sz w:val="18"/>
          <w:szCs w:val="18"/>
        </w:rPr>
        <w:t>2019</w:t>
      </w:r>
      <w:r w:rsidR="002F0E2B">
        <w:rPr>
          <w:rFonts w:ascii="Arial" w:eastAsia="Times New Roman" w:hAnsi="Arial" w:cs="Arial"/>
          <w:bCs/>
          <w:sz w:val="18"/>
          <w:szCs w:val="18"/>
        </w:rPr>
        <w:t>].</w:t>
      </w:r>
      <w:r w:rsidR="008A2903">
        <w:rPr>
          <w:rFonts w:ascii="Arial" w:eastAsia="Times New Roman" w:hAnsi="Arial" w:cs="Arial"/>
          <w:bCs/>
          <w:sz w:val="18"/>
          <w:szCs w:val="18"/>
        </w:rPr>
        <w:t xml:space="preserve"> </w:t>
      </w:r>
      <w:r w:rsidR="00E55708" w:rsidRPr="000931EC">
        <w:rPr>
          <w:rFonts w:ascii="Arial" w:eastAsia="Times New Roman" w:hAnsi="Arial" w:cs="Arial"/>
          <w:bCs/>
          <w:sz w:val="18"/>
          <w:szCs w:val="18"/>
        </w:rPr>
        <w:t xml:space="preserve">Sulfur compounds found in garlic continue to exhibit a variety of anticancer properties that go beyond redox regulation and apoptosis. Allicin's stability, circulation time, and tumor uptake have been significantly increased by recent nanoformulation techniques, such as liposomal encapsulation and polymeric nanoparticles, which has improved the drug's </w:t>
      </w:r>
      <w:commentRangeStart w:id="1"/>
      <w:r w:rsidR="00E55708" w:rsidRPr="000931EC">
        <w:rPr>
          <w:rFonts w:ascii="Arial" w:eastAsia="Times New Roman" w:hAnsi="Arial" w:cs="Arial"/>
          <w:bCs/>
          <w:sz w:val="18"/>
          <w:szCs w:val="18"/>
        </w:rPr>
        <w:t>in vivo</w:t>
      </w:r>
      <w:commentRangeEnd w:id="1"/>
      <w:r w:rsidR="003B092B">
        <w:rPr>
          <w:rStyle w:val="CommentReference"/>
          <w:rFonts w:ascii="Calibri" w:eastAsia="MS Mincho" w:hAnsi="Calibri" w:cs="Arial"/>
          <w:lang w:val="en-NZ"/>
        </w:rPr>
        <w:commentReference w:id="1"/>
      </w:r>
      <w:r w:rsidR="00E55708" w:rsidRPr="000931EC">
        <w:rPr>
          <w:rFonts w:ascii="Arial" w:eastAsia="Times New Roman" w:hAnsi="Arial" w:cs="Arial"/>
          <w:bCs/>
          <w:sz w:val="18"/>
          <w:szCs w:val="18"/>
        </w:rPr>
        <w:t xml:space="preserve"> effectiveness in lung and breast cancer xenografts [</w:t>
      </w:r>
      <w:r w:rsidR="00E2752E" w:rsidRPr="00E2752E">
        <w:rPr>
          <w:rFonts w:ascii="Arial" w:eastAsia="Times New Roman" w:hAnsi="Arial" w:cs="Arial"/>
          <w:bCs/>
          <w:sz w:val="18"/>
          <w:szCs w:val="18"/>
        </w:rPr>
        <w:t>Jan Borlinghaus</w:t>
      </w:r>
      <w:r w:rsidR="00E2752E">
        <w:rPr>
          <w:rFonts w:ascii="Arial" w:eastAsia="Times New Roman" w:hAnsi="Arial" w:cs="Arial"/>
          <w:bCs/>
          <w:sz w:val="18"/>
          <w:szCs w:val="18"/>
        </w:rPr>
        <w:t xml:space="preserve"> 2024</w:t>
      </w:r>
      <w:r w:rsidR="00E55708" w:rsidRPr="000931EC">
        <w:rPr>
          <w:rFonts w:ascii="Arial" w:eastAsia="Times New Roman" w:hAnsi="Arial" w:cs="Arial"/>
          <w:bCs/>
          <w:sz w:val="18"/>
          <w:szCs w:val="18"/>
        </w:rPr>
        <w:t xml:space="preserve">]. </w:t>
      </w:r>
      <w:commentRangeStart w:id="2"/>
      <w:r w:rsidR="001D2F5D" w:rsidRPr="001D2F5D">
        <w:rPr>
          <w:rFonts w:ascii="Arial" w:eastAsia="Times New Roman" w:hAnsi="Arial" w:cs="Arial"/>
          <w:bCs/>
          <w:sz w:val="18"/>
          <w:szCs w:val="18"/>
        </w:rPr>
        <w:t xml:space="preserve">It is generally assumed that the health-promoting attributes, including the anticancer activity and the characteristic smell of garlic, are mainly due to garlic organosulfur </w:t>
      </w:r>
      <w:commentRangeStart w:id="3"/>
      <w:r w:rsidR="001D2F5D" w:rsidRPr="001D2F5D">
        <w:rPr>
          <w:rFonts w:ascii="Arial" w:eastAsia="Times New Roman" w:hAnsi="Arial" w:cs="Arial"/>
          <w:bCs/>
          <w:sz w:val="18"/>
          <w:szCs w:val="18"/>
        </w:rPr>
        <w:t xml:space="preserve">com pounds(OSCs), </w:t>
      </w:r>
      <w:commentRangeEnd w:id="3"/>
      <w:r w:rsidR="00A777D9">
        <w:rPr>
          <w:rStyle w:val="CommentReference"/>
          <w:rFonts w:ascii="Calibri" w:eastAsia="MS Mincho" w:hAnsi="Calibri" w:cs="Arial"/>
          <w:lang w:val="en-NZ"/>
        </w:rPr>
        <w:commentReference w:id="3"/>
      </w:r>
      <w:r w:rsidR="001D2F5D" w:rsidRPr="001D2F5D">
        <w:rPr>
          <w:rFonts w:ascii="Arial" w:eastAsia="Times New Roman" w:hAnsi="Arial" w:cs="Arial"/>
          <w:bCs/>
          <w:sz w:val="18"/>
          <w:szCs w:val="18"/>
        </w:rPr>
        <w:t xml:space="preserve">among them </w:t>
      </w:r>
      <w:proofErr w:type="spellStart"/>
      <w:r w:rsidR="001D2F5D" w:rsidRPr="001D2F5D">
        <w:rPr>
          <w:rFonts w:ascii="Arial" w:eastAsia="Times New Roman" w:hAnsi="Arial" w:cs="Arial"/>
          <w:bCs/>
          <w:sz w:val="18"/>
          <w:szCs w:val="18"/>
        </w:rPr>
        <w:t>allicin</w:t>
      </w:r>
      <w:proofErr w:type="spellEnd"/>
      <w:r w:rsidR="001D2F5D" w:rsidRPr="001D2F5D">
        <w:rPr>
          <w:rFonts w:ascii="Arial" w:eastAsia="Times New Roman" w:hAnsi="Arial" w:cs="Arial"/>
          <w:bCs/>
          <w:sz w:val="18"/>
          <w:szCs w:val="18"/>
        </w:rPr>
        <w:t>, allyl sulfide (AS), diallyl sulfide (DAS), diallyl disulfide (DADS), diallyl trisulfide (DATS), diallyl tetrasulfide (DATeS), dipropyl disulfide (DPDS), ajoene, allyl methyl thiosulfonate, 1-propenyl allyl thiosulfonate, L-glutamyl-S-alkyl-L cysteine, S-allylcysteine (SAC), and S-</w:t>
      </w:r>
      <w:proofErr w:type="spellStart"/>
      <w:r w:rsidR="001D2F5D" w:rsidRPr="001D2F5D">
        <w:rPr>
          <w:rFonts w:ascii="Arial" w:eastAsia="Times New Roman" w:hAnsi="Arial" w:cs="Arial"/>
          <w:bCs/>
          <w:sz w:val="18"/>
          <w:szCs w:val="18"/>
        </w:rPr>
        <w:t>allylmercaptocysteine</w:t>
      </w:r>
      <w:proofErr w:type="spellEnd"/>
      <w:r w:rsidR="001D2F5D" w:rsidRPr="001D2F5D">
        <w:rPr>
          <w:rFonts w:ascii="Arial" w:eastAsia="Times New Roman" w:hAnsi="Arial" w:cs="Arial"/>
          <w:bCs/>
          <w:sz w:val="18"/>
          <w:szCs w:val="18"/>
        </w:rPr>
        <w:t xml:space="preserve"> (SAMC)</w:t>
      </w:r>
      <w:r w:rsidR="001D2F5D">
        <w:rPr>
          <w:rFonts w:ascii="Arial" w:eastAsia="Times New Roman" w:hAnsi="Arial" w:cs="Arial"/>
          <w:bCs/>
          <w:sz w:val="18"/>
          <w:szCs w:val="18"/>
        </w:rPr>
        <w:t xml:space="preserve"> </w:t>
      </w:r>
      <w:commentRangeEnd w:id="2"/>
      <w:r w:rsidR="003B092B">
        <w:rPr>
          <w:rStyle w:val="CommentReference"/>
          <w:rFonts w:ascii="Calibri" w:eastAsia="MS Mincho" w:hAnsi="Calibri" w:cs="Arial"/>
          <w:lang w:val="en-NZ"/>
        </w:rPr>
        <w:commentReference w:id="2"/>
      </w:r>
      <w:r w:rsidR="001D2F5D">
        <w:rPr>
          <w:rFonts w:ascii="Arial" w:eastAsia="Times New Roman" w:hAnsi="Arial" w:cs="Arial"/>
          <w:bCs/>
          <w:sz w:val="18"/>
          <w:szCs w:val="18"/>
        </w:rPr>
        <w:t>[</w:t>
      </w:r>
      <w:r w:rsidR="001D2F5D" w:rsidRPr="001D2F5D">
        <w:rPr>
          <w:rFonts w:ascii="Arial" w:eastAsia="Times New Roman" w:hAnsi="Arial" w:cs="Arial"/>
          <w:bCs/>
          <w:sz w:val="18"/>
          <w:szCs w:val="18"/>
        </w:rPr>
        <w:t xml:space="preserve">Paulina </w:t>
      </w:r>
      <w:proofErr w:type="spellStart"/>
      <w:r w:rsidR="001D2F5D" w:rsidRPr="001D2F5D">
        <w:rPr>
          <w:rFonts w:ascii="Arial" w:eastAsia="Times New Roman" w:hAnsi="Arial" w:cs="Arial"/>
          <w:bCs/>
          <w:sz w:val="18"/>
          <w:szCs w:val="18"/>
        </w:rPr>
        <w:t>Furdak</w:t>
      </w:r>
      <w:proofErr w:type="spellEnd"/>
      <w:r w:rsidR="001D2F5D">
        <w:rPr>
          <w:rFonts w:ascii="Arial" w:eastAsia="Times New Roman" w:hAnsi="Arial" w:cs="Arial"/>
          <w:bCs/>
          <w:sz w:val="18"/>
          <w:szCs w:val="18"/>
        </w:rPr>
        <w:t xml:space="preserve"> </w:t>
      </w:r>
      <w:r w:rsidR="001D2F5D" w:rsidRPr="001D2F5D">
        <w:rPr>
          <w:rFonts w:ascii="Arial" w:eastAsia="Times New Roman" w:hAnsi="Arial" w:cs="Arial"/>
          <w:bCs/>
          <w:sz w:val="18"/>
          <w:szCs w:val="18"/>
        </w:rPr>
        <w:t>2024</w:t>
      </w:r>
      <w:r w:rsidR="001D2F5D">
        <w:rPr>
          <w:rFonts w:ascii="Arial" w:eastAsia="Times New Roman" w:hAnsi="Arial" w:cs="Arial"/>
          <w:bCs/>
          <w:sz w:val="18"/>
          <w:szCs w:val="18"/>
        </w:rPr>
        <w:t>]</w:t>
      </w:r>
      <w:r w:rsidR="0030304D">
        <w:rPr>
          <w:rFonts w:ascii="Arial" w:eastAsia="Times New Roman" w:hAnsi="Arial" w:cs="Arial"/>
          <w:bCs/>
          <w:sz w:val="18"/>
          <w:szCs w:val="18"/>
        </w:rPr>
        <w:t xml:space="preserve">. </w:t>
      </w:r>
    </w:p>
    <w:p w14:paraId="22F4C082" w14:textId="77777777" w:rsidR="0030304D" w:rsidRDefault="0030304D" w:rsidP="005F1805">
      <w:pPr>
        <w:spacing w:after="0" w:line="240" w:lineRule="auto"/>
        <w:jc w:val="both"/>
        <w:rPr>
          <w:rFonts w:ascii="Arial" w:eastAsia="Times New Roman" w:hAnsi="Arial" w:cs="Arial"/>
          <w:bCs/>
          <w:sz w:val="18"/>
          <w:szCs w:val="18"/>
        </w:rPr>
      </w:pPr>
    </w:p>
    <w:p w14:paraId="031C2536" w14:textId="6CFF7EC7" w:rsidR="00C7413E" w:rsidRDefault="00E55708" w:rsidP="00E55708">
      <w:pPr>
        <w:spacing w:after="0" w:line="240" w:lineRule="auto"/>
        <w:jc w:val="both"/>
        <w:rPr>
          <w:rFonts w:ascii="Arial" w:eastAsia="Times New Roman" w:hAnsi="Arial" w:cs="Arial"/>
          <w:bCs/>
          <w:sz w:val="18"/>
          <w:szCs w:val="18"/>
        </w:rPr>
      </w:pPr>
      <w:r w:rsidRPr="000931EC">
        <w:rPr>
          <w:rFonts w:ascii="Arial" w:eastAsia="Times New Roman" w:hAnsi="Arial" w:cs="Arial"/>
          <w:bCs/>
          <w:sz w:val="18"/>
          <w:szCs w:val="18"/>
        </w:rPr>
        <w:t>These delivery methods allow for regulated release at the tumor location while shielding allicin from quick breakdown.</w:t>
      </w:r>
      <w:r w:rsidR="005F1805">
        <w:rPr>
          <w:rFonts w:ascii="Arial" w:eastAsia="Times New Roman" w:hAnsi="Arial" w:cs="Arial"/>
          <w:bCs/>
          <w:caps/>
          <w:sz w:val="18"/>
          <w:szCs w:val="18"/>
        </w:rPr>
        <w:t xml:space="preserve"> </w:t>
      </w:r>
      <w:r w:rsidRPr="000931EC">
        <w:rPr>
          <w:rFonts w:ascii="Arial" w:eastAsia="Times New Roman" w:hAnsi="Arial" w:cs="Arial"/>
          <w:bCs/>
          <w:sz w:val="18"/>
          <w:szCs w:val="18"/>
        </w:rPr>
        <w:t>In the meantime, z-ajoene has become a powerful chemosensitizer: when coupled with paclitaxel and 5-</w:t>
      </w:r>
      <w:r>
        <w:rPr>
          <w:rFonts w:ascii="Arial" w:eastAsia="Times New Roman" w:hAnsi="Arial" w:cs="Arial"/>
          <w:bCs/>
          <w:sz w:val="18"/>
          <w:szCs w:val="18"/>
        </w:rPr>
        <w:t>FU</w:t>
      </w:r>
      <w:r w:rsidRPr="000931EC">
        <w:rPr>
          <w:rFonts w:ascii="Arial" w:eastAsia="Times New Roman" w:hAnsi="Arial" w:cs="Arial"/>
          <w:bCs/>
          <w:sz w:val="18"/>
          <w:szCs w:val="18"/>
        </w:rPr>
        <w:t xml:space="preserve">, it overcomes multidrug resistance in ovarian and colorectal cancer models by downregulating </w:t>
      </w:r>
      <w:r>
        <w:rPr>
          <w:rFonts w:ascii="Arial" w:eastAsia="Times New Roman" w:hAnsi="Arial" w:cs="Arial"/>
          <w:bCs/>
          <w:sz w:val="18"/>
          <w:szCs w:val="18"/>
        </w:rPr>
        <w:t>ATP</w:t>
      </w:r>
      <w:r w:rsidRPr="000931EC">
        <w:rPr>
          <w:rFonts w:ascii="Arial" w:eastAsia="Times New Roman" w:hAnsi="Arial" w:cs="Arial"/>
          <w:bCs/>
          <w:sz w:val="18"/>
          <w:szCs w:val="18"/>
        </w:rPr>
        <w:t xml:space="preserve">-binding cassette transporters (e.g., p-gp, </w:t>
      </w:r>
      <w:r>
        <w:rPr>
          <w:rFonts w:ascii="Arial" w:eastAsia="Times New Roman" w:hAnsi="Arial" w:cs="Arial"/>
          <w:bCs/>
          <w:sz w:val="18"/>
          <w:szCs w:val="18"/>
        </w:rPr>
        <w:t>MRP</w:t>
      </w:r>
      <w:r w:rsidRPr="000931EC">
        <w:rPr>
          <w:rFonts w:ascii="Arial" w:eastAsia="Times New Roman" w:hAnsi="Arial" w:cs="Arial"/>
          <w:bCs/>
          <w:sz w:val="18"/>
          <w:szCs w:val="18"/>
        </w:rPr>
        <w:t xml:space="preserve">1) </w:t>
      </w:r>
      <w:r w:rsidR="009178E0">
        <w:rPr>
          <w:rFonts w:ascii="Arial" w:eastAsia="Times New Roman" w:hAnsi="Arial" w:cs="Arial"/>
          <w:bCs/>
          <w:sz w:val="18"/>
          <w:szCs w:val="18"/>
        </w:rPr>
        <w:t>[</w:t>
      </w:r>
      <w:r w:rsidR="00E2752E" w:rsidRPr="00E2752E">
        <w:rPr>
          <w:rFonts w:ascii="Arial" w:eastAsia="Times New Roman" w:hAnsi="Arial" w:cs="Arial"/>
          <w:bCs/>
          <w:sz w:val="18"/>
          <w:szCs w:val="18"/>
        </w:rPr>
        <w:t>Mohamed T. El-Saadony</w:t>
      </w:r>
      <w:r w:rsidR="00E2752E">
        <w:rPr>
          <w:rFonts w:ascii="Arial" w:eastAsia="Times New Roman" w:hAnsi="Arial" w:cs="Arial"/>
          <w:bCs/>
          <w:sz w:val="18"/>
          <w:szCs w:val="18"/>
        </w:rPr>
        <w:t xml:space="preserve"> 2024</w:t>
      </w:r>
      <w:r w:rsidRPr="000931EC">
        <w:rPr>
          <w:rFonts w:ascii="Arial" w:eastAsia="Times New Roman" w:hAnsi="Arial" w:cs="Arial"/>
          <w:bCs/>
          <w:sz w:val="18"/>
          <w:szCs w:val="18"/>
        </w:rPr>
        <w:t xml:space="preserve">]. At the signaling level, </w:t>
      </w:r>
      <w:r>
        <w:rPr>
          <w:rFonts w:ascii="Arial" w:eastAsia="Times New Roman" w:hAnsi="Arial" w:cs="Arial"/>
          <w:bCs/>
          <w:sz w:val="18"/>
          <w:szCs w:val="18"/>
        </w:rPr>
        <w:t>Z</w:t>
      </w:r>
      <w:r w:rsidRPr="000931EC">
        <w:rPr>
          <w:rFonts w:ascii="Arial" w:eastAsia="Times New Roman" w:hAnsi="Arial" w:cs="Arial"/>
          <w:bCs/>
          <w:sz w:val="18"/>
          <w:szCs w:val="18"/>
        </w:rPr>
        <w:t xml:space="preserve">-ajoene suppresses the synthesis of inflammatory cytokines mediated by </w:t>
      </w:r>
      <w:r>
        <w:rPr>
          <w:rFonts w:ascii="Arial" w:eastAsia="Times New Roman" w:hAnsi="Arial" w:cs="Arial"/>
          <w:bCs/>
          <w:sz w:val="18"/>
          <w:szCs w:val="18"/>
        </w:rPr>
        <w:t>NF</w:t>
      </w:r>
      <w:r w:rsidRPr="000931EC">
        <w:rPr>
          <w:rFonts w:ascii="Arial" w:eastAsia="Times New Roman" w:hAnsi="Arial" w:cs="Arial"/>
          <w:bCs/>
          <w:sz w:val="18"/>
          <w:szCs w:val="18"/>
        </w:rPr>
        <w:t>-κ</w:t>
      </w:r>
      <w:r>
        <w:rPr>
          <w:rFonts w:ascii="Arial" w:eastAsia="Times New Roman" w:hAnsi="Arial" w:cs="Arial"/>
          <w:bCs/>
          <w:sz w:val="18"/>
          <w:szCs w:val="18"/>
        </w:rPr>
        <w:t>B</w:t>
      </w:r>
      <w:r w:rsidRPr="000931EC">
        <w:rPr>
          <w:rFonts w:ascii="Arial" w:eastAsia="Times New Roman" w:hAnsi="Arial" w:cs="Arial"/>
          <w:bCs/>
          <w:sz w:val="18"/>
          <w:szCs w:val="18"/>
        </w:rPr>
        <w:t xml:space="preserve"> and inhibits the </w:t>
      </w:r>
      <w:r>
        <w:rPr>
          <w:rFonts w:ascii="Arial" w:eastAsia="Times New Roman" w:hAnsi="Arial" w:cs="Arial"/>
          <w:bCs/>
          <w:sz w:val="18"/>
          <w:szCs w:val="18"/>
        </w:rPr>
        <w:t>PI</w:t>
      </w:r>
      <w:r w:rsidRPr="000931EC">
        <w:rPr>
          <w:rFonts w:ascii="Arial" w:eastAsia="Times New Roman" w:hAnsi="Arial" w:cs="Arial"/>
          <w:bCs/>
          <w:sz w:val="18"/>
          <w:szCs w:val="18"/>
        </w:rPr>
        <w:t>3k/</w:t>
      </w:r>
      <w:r>
        <w:rPr>
          <w:rFonts w:ascii="Arial" w:eastAsia="Times New Roman" w:hAnsi="Arial" w:cs="Arial"/>
          <w:bCs/>
          <w:sz w:val="18"/>
          <w:szCs w:val="18"/>
        </w:rPr>
        <w:t>AKT</w:t>
      </w:r>
      <w:r w:rsidRPr="000931EC">
        <w:rPr>
          <w:rFonts w:ascii="Arial" w:eastAsia="Times New Roman" w:hAnsi="Arial" w:cs="Arial"/>
          <w:bCs/>
          <w:sz w:val="18"/>
          <w:szCs w:val="18"/>
        </w:rPr>
        <w:t xml:space="preserve"> and </w:t>
      </w:r>
      <w:r>
        <w:rPr>
          <w:rFonts w:ascii="Arial" w:eastAsia="Times New Roman" w:hAnsi="Arial" w:cs="Arial"/>
          <w:bCs/>
          <w:sz w:val="18"/>
          <w:szCs w:val="18"/>
        </w:rPr>
        <w:t>STAT</w:t>
      </w:r>
      <w:r w:rsidRPr="000931EC">
        <w:rPr>
          <w:rFonts w:ascii="Arial" w:eastAsia="Times New Roman" w:hAnsi="Arial" w:cs="Arial"/>
          <w:bCs/>
          <w:sz w:val="18"/>
          <w:szCs w:val="18"/>
        </w:rPr>
        <w:t xml:space="preserve">3 pathways, which lowers proliferation and survival signals </w:t>
      </w:r>
      <w:r w:rsidR="005567C7">
        <w:rPr>
          <w:rFonts w:ascii="Arial" w:eastAsia="Times New Roman" w:hAnsi="Arial" w:cs="Arial"/>
          <w:bCs/>
          <w:sz w:val="18"/>
          <w:szCs w:val="18"/>
        </w:rPr>
        <w:t>[</w:t>
      </w:r>
      <w:r w:rsidR="000B69B2" w:rsidRPr="000B69B2">
        <w:rPr>
          <w:rFonts w:ascii="Arial" w:eastAsia="Times New Roman" w:hAnsi="Arial" w:cs="Arial"/>
          <w:bCs/>
          <w:sz w:val="18"/>
          <w:szCs w:val="18"/>
        </w:rPr>
        <w:t>Wamidh</w:t>
      </w:r>
      <w:r w:rsidR="00575616">
        <w:rPr>
          <w:rFonts w:ascii="Arial" w:eastAsia="Times New Roman" w:hAnsi="Arial" w:cs="Arial"/>
          <w:bCs/>
          <w:sz w:val="18"/>
          <w:szCs w:val="18"/>
        </w:rPr>
        <w:t xml:space="preserve"> </w:t>
      </w:r>
      <w:r w:rsidR="000B69B2" w:rsidRPr="000B69B2">
        <w:rPr>
          <w:rFonts w:ascii="Arial" w:eastAsia="Times New Roman" w:hAnsi="Arial" w:cs="Arial"/>
          <w:bCs/>
          <w:sz w:val="18"/>
          <w:szCs w:val="18"/>
        </w:rPr>
        <w:t>H.</w:t>
      </w:r>
      <w:r w:rsidR="00575616">
        <w:rPr>
          <w:rFonts w:ascii="Arial" w:eastAsia="Times New Roman" w:hAnsi="Arial" w:cs="Arial"/>
          <w:bCs/>
          <w:sz w:val="18"/>
          <w:szCs w:val="18"/>
        </w:rPr>
        <w:t xml:space="preserve"> </w:t>
      </w:r>
      <w:r w:rsidR="000B69B2" w:rsidRPr="000B69B2">
        <w:rPr>
          <w:rFonts w:ascii="Arial" w:eastAsia="Times New Roman" w:hAnsi="Arial" w:cs="Arial"/>
          <w:bCs/>
          <w:sz w:val="18"/>
          <w:szCs w:val="18"/>
        </w:rPr>
        <w:t xml:space="preserve">Talib </w:t>
      </w:r>
      <w:r w:rsidR="005567C7">
        <w:rPr>
          <w:rFonts w:ascii="Arial" w:eastAsia="Times New Roman" w:hAnsi="Arial" w:cs="Arial"/>
          <w:bCs/>
          <w:sz w:val="18"/>
          <w:szCs w:val="18"/>
        </w:rPr>
        <w:t>2024</w:t>
      </w:r>
      <w:r w:rsidR="00470364">
        <w:rPr>
          <w:rFonts w:ascii="Arial" w:eastAsia="Times New Roman" w:hAnsi="Arial" w:cs="Arial"/>
          <w:bCs/>
          <w:sz w:val="18"/>
          <w:szCs w:val="18"/>
        </w:rPr>
        <w:t xml:space="preserve">, </w:t>
      </w:r>
      <w:r w:rsidR="00FA1162" w:rsidRPr="00FA1162">
        <w:rPr>
          <w:rFonts w:ascii="Arial" w:eastAsia="Times New Roman" w:hAnsi="Arial" w:cs="Arial"/>
          <w:bCs/>
          <w:sz w:val="18"/>
          <w:szCs w:val="18"/>
        </w:rPr>
        <w:t>Yuchae Jung</w:t>
      </w:r>
      <w:r w:rsidR="009005A6" w:rsidRPr="009005A6">
        <w:rPr>
          <w:rFonts w:ascii="Arial" w:eastAsia="Times New Roman" w:hAnsi="Arial" w:cs="Arial"/>
          <w:bCs/>
          <w:sz w:val="18"/>
          <w:szCs w:val="18"/>
        </w:rPr>
        <w:t>,</w:t>
      </w:r>
      <w:r w:rsidR="00470364">
        <w:rPr>
          <w:rFonts w:ascii="Arial" w:eastAsia="Times New Roman" w:hAnsi="Arial" w:cs="Arial"/>
          <w:bCs/>
          <w:sz w:val="18"/>
          <w:szCs w:val="18"/>
        </w:rPr>
        <w:t xml:space="preserve"> </w:t>
      </w:r>
      <w:r w:rsidR="009005A6" w:rsidRPr="009005A6">
        <w:rPr>
          <w:rFonts w:ascii="Arial" w:eastAsia="Times New Roman" w:hAnsi="Arial" w:cs="Arial"/>
          <w:bCs/>
          <w:sz w:val="18"/>
          <w:szCs w:val="18"/>
        </w:rPr>
        <w:t>2014</w:t>
      </w:r>
      <w:r w:rsidRPr="000931EC">
        <w:rPr>
          <w:rFonts w:ascii="Arial" w:eastAsia="Times New Roman" w:hAnsi="Arial" w:cs="Arial"/>
          <w:bCs/>
          <w:sz w:val="18"/>
          <w:szCs w:val="18"/>
        </w:rPr>
        <w:t>].</w:t>
      </w:r>
      <w:r>
        <w:rPr>
          <w:rFonts w:ascii="Arial" w:eastAsia="Times New Roman" w:hAnsi="Arial" w:cs="Arial"/>
          <w:bCs/>
          <w:sz w:val="18"/>
          <w:szCs w:val="18"/>
        </w:rPr>
        <w:t xml:space="preserve"> </w:t>
      </w:r>
      <w:r w:rsidRPr="00E55708">
        <w:rPr>
          <w:rFonts w:ascii="Arial" w:eastAsia="Times New Roman" w:hAnsi="Arial" w:cs="Arial"/>
          <w:bCs/>
          <w:sz w:val="18"/>
          <w:szCs w:val="18"/>
        </w:rPr>
        <w:t>Additionally, its capacity to trigger ER stress (BiP, CHOP) complements the blockage of the Wnt/β-catenin pathway—through CK1α-dependent β-catenin phosphorylation—to reduce stemness markers (c-Myc, cyclin-D1) and hinder the self-renewal of cancer stem cells [</w:t>
      </w:r>
      <w:r w:rsidR="00623389" w:rsidRPr="00623389">
        <w:rPr>
          <w:rFonts w:ascii="Arial" w:eastAsia="Times New Roman" w:hAnsi="Arial" w:cs="Arial"/>
          <w:bCs/>
          <w:sz w:val="18"/>
          <w:szCs w:val="18"/>
        </w:rPr>
        <w:t>Catanzaro E</w:t>
      </w:r>
      <w:r w:rsidR="009005A6">
        <w:rPr>
          <w:rFonts w:ascii="Arial" w:eastAsia="Times New Roman" w:hAnsi="Arial" w:cs="Arial"/>
          <w:bCs/>
          <w:sz w:val="18"/>
          <w:szCs w:val="18"/>
        </w:rPr>
        <w:t xml:space="preserve"> 2022</w:t>
      </w:r>
      <w:r w:rsidRPr="00E55708">
        <w:rPr>
          <w:rFonts w:ascii="Arial" w:eastAsia="Times New Roman" w:hAnsi="Arial" w:cs="Arial"/>
          <w:bCs/>
          <w:sz w:val="18"/>
          <w:szCs w:val="18"/>
        </w:rPr>
        <w:t>].</w:t>
      </w:r>
      <w:r w:rsidR="005F1805">
        <w:rPr>
          <w:rFonts w:ascii="Arial" w:eastAsia="Times New Roman" w:hAnsi="Arial" w:cs="Arial"/>
          <w:bCs/>
          <w:sz w:val="18"/>
          <w:szCs w:val="18"/>
        </w:rPr>
        <w:t xml:space="preserve"> </w:t>
      </w:r>
      <w:r w:rsidR="005F1805" w:rsidRPr="005F1805">
        <w:rPr>
          <w:rFonts w:ascii="Arial" w:eastAsia="Times New Roman" w:hAnsi="Arial" w:cs="Arial"/>
          <w:bCs/>
          <w:sz w:val="18"/>
          <w:szCs w:val="18"/>
        </w:rPr>
        <w:t>Numerous investigations have documented the anticancer, antioxidant, anti-inflammatory, and antibacterial properties of allicin (AC), an organosulfur component present in garlic.</w:t>
      </w:r>
      <w:r w:rsidR="00C7413E">
        <w:rPr>
          <w:rFonts w:ascii="Arial" w:eastAsia="Times New Roman" w:hAnsi="Arial" w:cs="Arial"/>
          <w:bCs/>
          <w:sz w:val="18"/>
          <w:szCs w:val="18"/>
        </w:rPr>
        <w:t xml:space="preserve"> </w:t>
      </w:r>
      <w:r w:rsidR="005F1805">
        <w:rPr>
          <w:rFonts w:ascii="Arial" w:eastAsia="Times New Roman" w:hAnsi="Arial" w:cs="Arial"/>
          <w:bCs/>
          <w:sz w:val="18"/>
          <w:szCs w:val="18"/>
        </w:rPr>
        <w:t>[</w:t>
      </w:r>
      <w:r w:rsidR="00C7413E">
        <w:rPr>
          <w:rFonts w:ascii="Arial" w:eastAsia="Times New Roman" w:hAnsi="Arial" w:cs="Arial"/>
          <w:bCs/>
          <w:sz w:val="18"/>
          <w:szCs w:val="18"/>
        </w:rPr>
        <w:t xml:space="preserve"> </w:t>
      </w:r>
      <w:r w:rsidR="005F1805" w:rsidRPr="005F1805">
        <w:rPr>
          <w:rFonts w:ascii="Arial" w:eastAsia="Times New Roman" w:hAnsi="Arial" w:cs="Arial"/>
          <w:bCs/>
          <w:sz w:val="18"/>
          <w:szCs w:val="18"/>
        </w:rPr>
        <w:t>Faris J.</w:t>
      </w:r>
      <w:r w:rsidR="00C7413E">
        <w:rPr>
          <w:rFonts w:ascii="Arial" w:eastAsia="Times New Roman" w:hAnsi="Arial" w:cs="Arial"/>
          <w:bCs/>
          <w:sz w:val="18"/>
          <w:szCs w:val="18"/>
        </w:rPr>
        <w:t xml:space="preserve"> </w:t>
      </w:r>
      <w:r w:rsidR="005F1805" w:rsidRPr="005F1805">
        <w:rPr>
          <w:rFonts w:ascii="Arial" w:eastAsia="Times New Roman" w:hAnsi="Arial" w:cs="Arial"/>
          <w:bCs/>
          <w:sz w:val="18"/>
          <w:szCs w:val="18"/>
        </w:rPr>
        <w:t>Alyasiri</w:t>
      </w:r>
      <w:r w:rsidR="005F1805">
        <w:rPr>
          <w:rFonts w:ascii="Arial" w:eastAsia="Times New Roman" w:hAnsi="Arial" w:cs="Arial"/>
          <w:bCs/>
          <w:sz w:val="18"/>
          <w:szCs w:val="18"/>
        </w:rPr>
        <w:t xml:space="preserve"> </w:t>
      </w:r>
      <w:r w:rsidR="005F1805" w:rsidRPr="005F1805">
        <w:rPr>
          <w:rFonts w:ascii="Arial" w:eastAsia="Times New Roman" w:hAnsi="Arial" w:cs="Arial"/>
          <w:bCs/>
          <w:sz w:val="18"/>
          <w:szCs w:val="18"/>
        </w:rPr>
        <w:t>2023</w:t>
      </w:r>
      <w:r w:rsidR="005F1805">
        <w:rPr>
          <w:rFonts w:ascii="Arial" w:eastAsia="Times New Roman" w:hAnsi="Arial" w:cs="Arial"/>
          <w:bCs/>
          <w:sz w:val="18"/>
          <w:szCs w:val="18"/>
        </w:rPr>
        <w:t>]</w:t>
      </w:r>
      <w:r w:rsidR="00C7413E">
        <w:rPr>
          <w:rFonts w:ascii="Arial" w:eastAsia="Times New Roman" w:hAnsi="Arial" w:cs="Arial"/>
          <w:bCs/>
          <w:sz w:val="18"/>
          <w:szCs w:val="18"/>
        </w:rPr>
        <w:t>.</w:t>
      </w:r>
    </w:p>
    <w:p w14:paraId="5AF0B8FA" w14:textId="77777777" w:rsidR="00C7413E" w:rsidRDefault="00C7413E" w:rsidP="00E55708">
      <w:pPr>
        <w:spacing w:after="0" w:line="240" w:lineRule="auto"/>
        <w:jc w:val="both"/>
        <w:rPr>
          <w:rFonts w:ascii="Arial" w:eastAsia="Times New Roman" w:hAnsi="Arial" w:cs="Arial"/>
          <w:bCs/>
          <w:sz w:val="18"/>
          <w:szCs w:val="18"/>
        </w:rPr>
      </w:pPr>
    </w:p>
    <w:p w14:paraId="16178DD0" w14:textId="69CC3A98" w:rsidR="00E55708" w:rsidRPr="00E55708" w:rsidRDefault="00E55708" w:rsidP="00E55708">
      <w:pPr>
        <w:spacing w:after="0" w:line="240" w:lineRule="auto"/>
        <w:jc w:val="both"/>
        <w:rPr>
          <w:rFonts w:ascii="Arial" w:eastAsia="Times New Roman" w:hAnsi="Arial" w:cs="Arial"/>
          <w:bCs/>
          <w:sz w:val="18"/>
          <w:szCs w:val="18"/>
        </w:rPr>
      </w:pPr>
      <w:r w:rsidRPr="00E55708">
        <w:rPr>
          <w:rFonts w:ascii="Arial" w:eastAsia="Times New Roman" w:hAnsi="Arial" w:cs="Arial"/>
          <w:bCs/>
          <w:sz w:val="18"/>
          <w:szCs w:val="18"/>
        </w:rPr>
        <w:t>These developments collectively highlight a synergistic paradigm: Z-ajoene addresses resistance mechanisms and oncogenic networks, providing a strong, multi-targeted approach against resistant cancers, while stable allicin formulations provide long-lasting pro-apoptotic and antioxidant effects.</w:t>
      </w:r>
    </w:p>
    <w:p w14:paraId="16C0CC8A" w14:textId="20A81A5D" w:rsidR="000931EC" w:rsidRPr="000931EC" w:rsidRDefault="000931EC" w:rsidP="00E55708">
      <w:pPr>
        <w:spacing w:after="0" w:line="240" w:lineRule="auto"/>
        <w:jc w:val="both"/>
        <w:rPr>
          <w:rFonts w:ascii="Arial" w:eastAsia="Times New Roman" w:hAnsi="Arial" w:cs="Arial"/>
          <w:bCs/>
          <w:caps/>
          <w:sz w:val="18"/>
          <w:szCs w:val="18"/>
        </w:rPr>
      </w:pPr>
    </w:p>
    <w:p w14:paraId="150F5E07" w14:textId="77777777" w:rsidR="00463DDE" w:rsidRPr="00463DDE" w:rsidRDefault="00463DDE" w:rsidP="007B7015">
      <w:pPr>
        <w:spacing w:after="0" w:line="240" w:lineRule="auto"/>
        <w:jc w:val="both"/>
        <w:rPr>
          <w:rFonts w:ascii="Arial" w:eastAsia="Times New Roman" w:hAnsi="Arial" w:cs="Arial"/>
          <w:sz w:val="18"/>
          <w:szCs w:val="18"/>
        </w:rPr>
      </w:pPr>
    </w:p>
    <w:p w14:paraId="14E53B61" w14:textId="1ED1F8C2" w:rsidR="00087F3F" w:rsidRDefault="00463DDE" w:rsidP="003E3E5F">
      <w:pPr>
        <w:pStyle w:val="Heading2"/>
        <w:rPr>
          <w:sz w:val="20"/>
          <w:szCs w:val="20"/>
        </w:rPr>
      </w:pPr>
      <w:r w:rsidRPr="00E55708">
        <w:rPr>
          <w:rFonts w:eastAsia="Times New Roman" w:cs="Arial"/>
          <w:caps/>
          <w:sz w:val="20"/>
          <w:szCs w:val="20"/>
        </w:rPr>
        <w:t>2.</w:t>
      </w:r>
      <w:r w:rsidR="00E55708" w:rsidRPr="00E55708">
        <w:rPr>
          <w:sz w:val="20"/>
          <w:szCs w:val="20"/>
        </w:rPr>
        <w:t xml:space="preserve"> Chemistry &amp; Biosynthesis</w:t>
      </w:r>
    </w:p>
    <w:p w14:paraId="6CA0BF06" w14:textId="77777777" w:rsidR="003E3E5F" w:rsidRPr="003E3E5F" w:rsidRDefault="003E3E5F" w:rsidP="003E3E5F"/>
    <w:p w14:paraId="1766A58C" w14:textId="77777777" w:rsidR="00805AB7" w:rsidRDefault="003216D0" w:rsidP="00087F3F">
      <w:pPr>
        <w:jc w:val="both"/>
        <w:rPr>
          <w:rFonts w:ascii="Arial" w:hAnsi="Arial" w:cs="Arial"/>
          <w:b/>
          <w:bCs/>
          <w:noProof/>
          <w:sz w:val="18"/>
          <w:szCs w:val="18"/>
        </w:rPr>
      </w:pPr>
      <w:r w:rsidRPr="00087F3F">
        <w:rPr>
          <w:rFonts w:ascii="Arial" w:hAnsi="Arial" w:cs="Arial"/>
          <w:b/>
          <w:bCs/>
          <w:sz w:val="18"/>
          <w:szCs w:val="18"/>
        </w:rPr>
        <w:t>2.1 Allicin</w:t>
      </w:r>
      <w:r w:rsidR="00087F3F" w:rsidRPr="00087F3F">
        <w:rPr>
          <w:rFonts w:ascii="Arial" w:hAnsi="Arial" w:cs="Arial"/>
          <w:b/>
          <w:bCs/>
          <w:sz w:val="18"/>
          <w:szCs w:val="18"/>
        </w:rPr>
        <w:t>:</w:t>
      </w:r>
    </w:p>
    <w:p w14:paraId="474E91C0" w14:textId="2408A80D" w:rsidR="00087F3F" w:rsidRPr="00805AB7" w:rsidRDefault="005A1F5D" w:rsidP="00087F3F">
      <w:pPr>
        <w:jc w:val="both"/>
        <w:rPr>
          <w:rFonts w:ascii="Arial" w:hAnsi="Arial" w:cs="Arial"/>
          <w:b/>
          <w:bCs/>
          <w:noProof/>
          <w:sz w:val="18"/>
          <w:szCs w:val="18"/>
        </w:rPr>
      </w:pPr>
      <w:commentRangeStart w:id="4"/>
      <w:r>
        <w:rPr>
          <w:rFonts w:ascii="Arial" w:hAnsi="Arial" w:cs="Arial"/>
          <w:b/>
          <w:bCs/>
          <w:noProof/>
          <w:sz w:val="18"/>
          <w:szCs w:val="18"/>
          <w:lang w:val="en-IN" w:eastAsia="en-IN" w:bidi="hi-IN"/>
        </w:rPr>
        <w:drawing>
          <wp:anchor distT="0" distB="0" distL="114300" distR="114300" simplePos="0" relativeHeight="251658752" behindDoc="0" locked="0" layoutInCell="1" allowOverlap="1" wp14:anchorId="58BE592C" wp14:editId="73EFB958">
            <wp:simplePos x="0" y="0"/>
            <wp:positionH relativeFrom="margin">
              <wp:posOffset>1827236</wp:posOffset>
            </wp:positionH>
            <wp:positionV relativeFrom="margin">
              <wp:posOffset>5787352</wp:posOffset>
            </wp:positionV>
            <wp:extent cx="2341880" cy="819150"/>
            <wp:effectExtent l="19050" t="19050" r="1270" b="0"/>
            <wp:wrapSquare wrapText="bothSides"/>
            <wp:docPr id="1149103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03796" name="Picture 1149103796"/>
                    <pic:cNvPicPr/>
                  </pic:nvPicPr>
                  <pic:blipFill rotWithShape="1">
                    <a:blip r:embed="rId10">
                      <a:extLst>
                        <a:ext uri="{28A0092B-C50C-407E-A947-70E740481C1C}">
                          <a14:useLocalDpi xmlns:a14="http://schemas.microsoft.com/office/drawing/2010/main" val="0"/>
                        </a:ext>
                      </a:extLst>
                    </a:blip>
                    <a:srcRect l="41927" r="1" b="20617"/>
                    <a:stretch/>
                  </pic:blipFill>
                  <pic:spPr bwMode="auto">
                    <a:xfrm>
                      <a:off x="0" y="0"/>
                      <a:ext cx="2341880" cy="8191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4"/>
      <w:r>
        <w:rPr>
          <w:rStyle w:val="CommentReference"/>
          <w:rFonts w:ascii="Calibri" w:eastAsia="MS Mincho" w:hAnsi="Calibri" w:cs="Arial"/>
          <w:lang w:val="en-NZ"/>
        </w:rPr>
        <w:commentReference w:id="4"/>
      </w:r>
      <w:r w:rsidR="00805AB7">
        <w:rPr>
          <w:rFonts w:ascii="Arial" w:hAnsi="Arial" w:cs="Arial"/>
          <w:b/>
          <w:bCs/>
          <w:noProof/>
          <w:sz w:val="18"/>
          <w:szCs w:val="18"/>
          <w:lang w:val="en-IN" w:eastAsia="en-IN" w:bidi="hi-IN"/>
        </w:rPr>
        <w:drawing>
          <wp:anchor distT="0" distB="0" distL="114300" distR="114300" simplePos="0" relativeHeight="251656704" behindDoc="0" locked="0" layoutInCell="1" allowOverlap="1" wp14:anchorId="1836E0D1" wp14:editId="39D187F9">
            <wp:simplePos x="0" y="0"/>
            <wp:positionH relativeFrom="margin">
              <wp:posOffset>-13979</wp:posOffset>
            </wp:positionH>
            <wp:positionV relativeFrom="margin">
              <wp:posOffset>6040054</wp:posOffset>
            </wp:positionV>
            <wp:extent cx="1532255" cy="695325"/>
            <wp:effectExtent l="19050" t="19050" r="0" b="9525"/>
            <wp:wrapSquare wrapText="bothSides"/>
            <wp:docPr id="214207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70363" name="Picture 2142070363"/>
                    <pic:cNvPicPr/>
                  </pic:nvPicPr>
                  <pic:blipFill rotWithShape="1">
                    <a:blip r:embed="rId10">
                      <a:alphaModFix amt="85000"/>
                      <a:extLst>
                        <a:ext uri="{28A0092B-C50C-407E-A947-70E740481C1C}">
                          <a14:useLocalDpi xmlns:a14="http://schemas.microsoft.com/office/drawing/2010/main" val="0"/>
                        </a:ext>
                      </a:extLst>
                    </a:blip>
                    <a:srcRect t="14616" r="62731" b="691"/>
                    <a:stretch/>
                  </pic:blipFill>
                  <pic:spPr bwMode="auto">
                    <a:xfrm>
                      <a:off x="0" y="0"/>
                      <a:ext cx="1532255" cy="6953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216D0" w:rsidRPr="003216D0">
        <w:rPr>
          <w:rFonts w:ascii="Arial" w:hAnsi="Arial" w:cs="Arial"/>
          <w:sz w:val="18"/>
          <w:szCs w:val="18"/>
        </w:rPr>
        <w:t xml:space="preserve">Stoll and </w:t>
      </w:r>
      <w:proofErr w:type="spellStart"/>
      <w:r w:rsidR="003216D0" w:rsidRPr="003216D0">
        <w:rPr>
          <w:rFonts w:ascii="Arial" w:hAnsi="Arial" w:cs="Arial"/>
          <w:sz w:val="18"/>
          <w:szCs w:val="18"/>
        </w:rPr>
        <w:t>Seebeck</w:t>
      </w:r>
      <w:proofErr w:type="spellEnd"/>
      <w:r w:rsidR="003216D0" w:rsidRPr="003216D0">
        <w:rPr>
          <w:rFonts w:ascii="Arial" w:hAnsi="Arial" w:cs="Arial"/>
          <w:sz w:val="18"/>
          <w:szCs w:val="18"/>
        </w:rPr>
        <w:t xml:space="preserve"> identified the structure of allicin, a thiosulfinate, in 1948. In nature, an enzymatic reaction that damages plant tissue results in the production of allicin. The non-proteinogenic amino acid alliin (S-allyl-l-cysteine sulfoxide) is the precursor of allicin. The enzyme alliinase hydrolyzes alliin and other S-alkyl-l-cysteine sulfoxides, producing allyl sulfenic acid and dehydroalanine in the case of alliin. One allicin molecule is produced when two allyl sulfenic acid molecules spontaneously condense. Alliin can be found in </w:t>
      </w:r>
      <w:proofErr w:type="spellStart"/>
      <w:r w:rsidR="003216D0" w:rsidRPr="003216D0">
        <w:rPr>
          <w:rFonts w:ascii="Arial" w:hAnsi="Arial" w:cs="Arial"/>
          <w:sz w:val="18"/>
          <w:szCs w:val="18"/>
        </w:rPr>
        <w:t>ramsons</w:t>
      </w:r>
      <w:proofErr w:type="spellEnd"/>
      <w:r w:rsidR="003216D0" w:rsidRPr="003216D0">
        <w:rPr>
          <w:rFonts w:ascii="Arial" w:hAnsi="Arial" w:cs="Arial"/>
          <w:sz w:val="18"/>
          <w:szCs w:val="18"/>
        </w:rPr>
        <w:t xml:space="preserve"> (</w:t>
      </w:r>
      <w:commentRangeStart w:id="5"/>
      <w:r w:rsidR="003216D0" w:rsidRPr="003216D0">
        <w:rPr>
          <w:rFonts w:ascii="Arial" w:hAnsi="Arial" w:cs="Arial"/>
          <w:sz w:val="18"/>
          <w:szCs w:val="18"/>
        </w:rPr>
        <w:t xml:space="preserve">Allium </w:t>
      </w:r>
      <w:proofErr w:type="spellStart"/>
      <w:r w:rsidR="003216D0" w:rsidRPr="003216D0">
        <w:rPr>
          <w:rFonts w:ascii="Arial" w:hAnsi="Arial" w:cs="Arial"/>
          <w:sz w:val="18"/>
          <w:szCs w:val="18"/>
        </w:rPr>
        <w:t>ursinum</w:t>
      </w:r>
      <w:commentRangeEnd w:id="5"/>
      <w:proofErr w:type="spellEnd"/>
      <w:r>
        <w:rPr>
          <w:rStyle w:val="CommentReference"/>
          <w:rFonts w:ascii="Calibri" w:eastAsia="MS Mincho" w:hAnsi="Calibri" w:cs="Arial"/>
          <w:lang w:val="en-NZ"/>
        </w:rPr>
        <w:commentReference w:id="5"/>
      </w:r>
      <w:r w:rsidR="003216D0" w:rsidRPr="003216D0">
        <w:rPr>
          <w:rFonts w:ascii="Arial" w:hAnsi="Arial" w:cs="Arial"/>
          <w:sz w:val="18"/>
          <w:szCs w:val="18"/>
        </w:rPr>
        <w:t>) and garlic (Allium sativum). It's interesting to note that onions (Allium cepa) produce isoalliin (trans-(+)) rather than alliin.</w:t>
      </w:r>
      <w:r w:rsidR="00575616">
        <w:rPr>
          <w:rFonts w:ascii="Arial" w:hAnsi="Arial" w:cs="Arial"/>
          <w:sz w:val="18"/>
          <w:szCs w:val="18"/>
        </w:rPr>
        <w:t xml:space="preserve"> </w:t>
      </w:r>
      <w:r w:rsidR="003216D0" w:rsidRPr="003216D0">
        <w:rPr>
          <w:rFonts w:ascii="Arial" w:hAnsi="Arial" w:cs="Arial"/>
          <w:sz w:val="18"/>
          <w:szCs w:val="18"/>
        </w:rPr>
        <w:t>The sulfoxide of S-(1-propenyl)-l-cysteine</w:t>
      </w:r>
      <w:r w:rsidR="00087F3F">
        <w:rPr>
          <w:rFonts w:ascii="Arial" w:hAnsi="Arial" w:cs="Arial"/>
          <w:sz w:val="18"/>
          <w:szCs w:val="18"/>
        </w:rPr>
        <w:t xml:space="preserve">. </w:t>
      </w:r>
      <w:r w:rsidR="00087F3F" w:rsidRPr="00087F3F">
        <w:rPr>
          <w:rFonts w:ascii="Arial" w:hAnsi="Arial" w:cs="Arial"/>
          <w:sz w:val="18"/>
          <w:szCs w:val="18"/>
        </w:rPr>
        <w:t>It is still unclear how alliin is biosynthesized. Granroth's groundbreaking research, which identified two potential biosynthetic routes based on radioactive labeling tests, hasn't been improved upon as of yet. Scheme 1 presents his findings.</w:t>
      </w:r>
      <w:r w:rsidR="00C7413E">
        <w:rPr>
          <w:rFonts w:ascii="Arial" w:hAnsi="Arial" w:cs="Arial"/>
          <w:sz w:val="18"/>
          <w:szCs w:val="18"/>
        </w:rPr>
        <w:t xml:space="preserve"> </w:t>
      </w:r>
      <w:r w:rsidR="00EE00DF">
        <w:rPr>
          <w:rFonts w:ascii="Arial" w:hAnsi="Arial" w:cs="Arial"/>
          <w:sz w:val="18"/>
          <w:szCs w:val="18"/>
        </w:rPr>
        <w:t>[</w:t>
      </w:r>
      <w:r w:rsidR="009005A6" w:rsidRPr="009005A6">
        <w:rPr>
          <w:rFonts w:ascii="Arial" w:hAnsi="Arial" w:cs="Arial"/>
          <w:sz w:val="18"/>
          <w:szCs w:val="18"/>
        </w:rPr>
        <w:t>Jan Borlinghaus</w:t>
      </w:r>
      <w:r w:rsidR="009005A6">
        <w:rPr>
          <w:rFonts w:ascii="Arial" w:hAnsi="Arial" w:cs="Arial"/>
          <w:sz w:val="18"/>
          <w:szCs w:val="18"/>
        </w:rPr>
        <w:t xml:space="preserve"> </w:t>
      </w:r>
      <w:r w:rsidR="009005A6" w:rsidRPr="009005A6">
        <w:rPr>
          <w:rFonts w:ascii="Arial" w:hAnsi="Arial" w:cs="Arial"/>
          <w:sz w:val="18"/>
          <w:szCs w:val="18"/>
        </w:rPr>
        <w:t>2014</w:t>
      </w:r>
      <w:r w:rsidR="00EE00DF">
        <w:rPr>
          <w:rFonts w:ascii="Arial" w:hAnsi="Arial" w:cs="Arial"/>
          <w:sz w:val="18"/>
          <w:szCs w:val="18"/>
        </w:rPr>
        <w:t>]</w:t>
      </w:r>
    </w:p>
    <w:p w14:paraId="2426C848" w14:textId="6195118D" w:rsidR="003216D0" w:rsidRPr="003216D0" w:rsidRDefault="00087F3F" w:rsidP="00087F3F">
      <w:pPr>
        <w:jc w:val="center"/>
        <w:rPr>
          <w:rFonts w:ascii="Arial" w:hAnsi="Arial" w:cs="Arial"/>
          <w:b/>
          <w:bCs/>
          <w:sz w:val="18"/>
          <w:szCs w:val="18"/>
        </w:rPr>
      </w:pPr>
      <w:r>
        <w:rPr>
          <w:noProof/>
          <w:lang w:val="en-IN" w:eastAsia="en-IN" w:bidi="hi-IN"/>
        </w:rPr>
        <w:lastRenderedPageBreak/>
        <w:drawing>
          <wp:inline distT="0" distB="0" distL="0" distR="0" wp14:anchorId="5A4D1F99" wp14:editId="6EC3ED85">
            <wp:extent cx="3100070" cy="4252913"/>
            <wp:effectExtent l="19050" t="19050" r="5080" b="0"/>
            <wp:docPr id="802460715" name="Picture 1" descr="Sche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e 1"/>
                    <pic:cNvPicPr>
                      <a:picLocks noChangeAspect="1" noChangeArrowheads="1"/>
                    </pic:cNvPicPr>
                  </pic:nvPicPr>
                  <pic:blipFill>
                    <a:blip r:embed="rId11">
                      <a:alphaModFix amt="85000"/>
                      <a:extLst>
                        <a:ext uri="{28A0092B-C50C-407E-A947-70E740481C1C}">
                          <a14:useLocalDpi xmlns:a14="http://schemas.microsoft.com/office/drawing/2010/main" val="0"/>
                        </a:ext>
                      </a:extLst>
                    </a:blip>
                    <a:srcRect/>
                    <a:stretch>
                      <a:fillRect/>
                    </a:stretch>
                  </pic:blipFill>
                  <pic:spPr bwMode="auto">
                    <a:xfrm>
                      <a:off x="0" y="0"/>
                      <a:ext cx="3138774" cy="4306010"/>
                    </a:xfrm>
                    <a:prstGeom prst="rect">
                      <a:avLst/>
                    </a:prstGeom>
                    <a:noFill/>
                    <a:ln>
                      <a:solidFill>
                        <a:schemeClr val="tx1">
                          <a:lumMod val="95000"/>
                          <a:lumOff val="5000"/>
                        </a:schemeClr>
                      </a:solidFill>
                    </a:ln>
                  </pic:spPr>
                </pic:pic>
              </a:graphicData>
            </a:graphic>
          </wp:inline>
        </w:drawing>
      </w:r>
    </w:p>
    <w:p w14:paraId="435146E2" w14:textId="024CF8DF" w:rsidR="003216D0" w:rsidRPr="00EE00DF" w:rsidRDefault="00087F3F" w:rsidP="00C7413E">
      <w:pPr>
        <w:jc w:val="center"/>
        <w:rPr>
          <w:rFonts w:ascii="Arial" w:hAnsi="Arial" w:cs="Arial"/>
          <w:sz w:val="18"/>
          <w:szCs w:val="18"/>
        </w:rPr>
      </w:pPr>
      <w:r w:rsidRPr="00EE00DF">
        <w:rPr>
          <w:rFonts w:ascii="Arial" w:hAnsi="Arial" w:cs="Arial"/>
          <w:sz w:val="18"/>
          <w:szCs w:val="18"/>
        </w:rPr>
        <w:t>Fig No:1 Biosynthesis of allicin</w:t>
      </w:r>
    </w:p>
    <w:p w14:paraId="3A429A4F" w14:textId="63DCADE9" w:rsidR="00EE00DF" w:rsidRDefault="00EE00DF" w:rsidP="00EE00DF">
      <w:pPr>
        <w:rPr>
          <w:rFonts w:ascii="Arial" w:hAnsi="Arial" w:cs="Arial"/>
          <w:b/>
          <w:bCs/>
          <w:noProof/>
          <w:sz w:val="18"/>
          <w:szCs w:val="18"/>
        </w:rPr>
      </w:pPr>
      <w:r w:rsidRPr="00EE00DF">
        <w:rPr>
          <w:rFonts w:ascii="Arial" w:hAnsi="Arial" w:cs="Arial"/>
          <w:b/>
          <w:bCs/>
          <w:sz w:val="18"/>
          <w:szCs w:val="18"/>
        </w:rPr>
        <w:t>2.2 Z</w:t>
      </w:r>
      <w:r w:rsidRPr="00EE00DF">
        <w:rPr>
          <w:rFonts w:ascii="Arial" w:hAnsi="Arial" w:cs="Arial"/>
          <w:b/>
          <w:bCs/>
          <w:sz w:val="18"/>
          <w:szCs w:val="18"/>
        </w:rPr>
        <w:noBreakHyphen/>
      </w:r>
      <w:proofErr w:type="spellStart"/>
      <w:r w:rsidRPr="00EE00DF">
        <w:rPr>
          <w:rFonts w:ascii="Arial" w:hAnsi="Arial" w:cs="Arial"/>
          <w:b/>
          <w:bCs/>
          <w:sz w:val="18"/>
          <w:szCs w:val="18"/>
        </w:rPr>
        <w:t>Ajoene</w:t>
      </w:r>
      <w:proofErr w:type="spellEnd"/>
    </w:p>
    <w:p w14:paraId="544B0C71" w14:textId="77777777" w:rsidR="00805AB7" w:rsidRDefault="00805AB7" w:rsidP="00473167">
      <w:pPr>
        <w:jc w:val="both"/>
        <w:rPr>
          <w:rFonts w:ascii="Arial" w:hAnsi="Arial" w:cs="Arial"/>
          <w:sz w:val="18"/>
          <w:szCs w:val="18"/>
        </w:rPr>
      </w:pPr>
    </w:p>
    <w:p w14:paraId="6C8D0415" w14:textId="77777777" w:rsidR="00805AB7" w:rsidRDefault="00805AB7" w:rsidP="00473167">
      <w:pPr>
        <w:jc w:val="both"/>
        <w:rPr>
          <w:rFonts w:ascii="Arial" w:hAnsi="Arial" w:cs="Arial"/>
          <w:sz w:val="18"/>
          <w:szCs w:val="18"/>
        </w:rPr>
      </w:pPr>
    </w:p>
    <w:p w14:paraId="5AE19A96" w14:textId="77777777" w:rsidR="00805AB7" w:rsidRDefault="00805AB7" w:rsidP="00805AB7">
      <w:pPr>
        <w:jc w:val="center"/>
        <w:rPr>
          <w:rFonts w:ascii="Arial" w:hAnsi="Arial" w:cs="Arial"/>
          <w:sz w:val="18"/>
          <w:szCs w:val="18"/>
        </w:rPr>
      </w:pPr>
    </w:p>
    <w:p w14:paraId="26572798" w14:textId="7C0BE5B4" w:rsidR="00805AB7" w:rsidRDefault="00805AB7" w:rsidP="00805AB7">
      <w:pPr>
        <w:jc w:val="center"/>
        <w:rPr>
          <w:rFonts w:ascii="Arial" w:hAnsi="Arial" w:cs="Arial"/>
          <w:sz w:val="18"/>
          <w:szCs w:val="18"/>
        </w:rPr>
      </w:pPr>
      <w:r>
        <w:rPr>
          <w:rFonts w:ascii="Arial" w:hAnsi="Arial" w:cs="Arial"/>
          <w:sz w:val="18"/>
          <w:szCs w:val="18"/>
        </w:rPr>
        <w:t>Structure of Ajoene [</w:t>
      </w:r>
      <w:r w:rsidRPr="00805AB7">
        <w:rPr>
          <w:rFonts w:ascii="Arial" w:hAnsi="Arial" w:cs="Arial"/>
          <w:sz w:val="18"/>
          <w:szCs w:val="18"/>
        </w:rPr>
        <w:t>Roger Hunter</w:t>
      </w:r>
      <w:r>
        <w:rPr>
          <w:rFonts w:ascii="Arial" w:hAnsi="Arial" w:cs="Arial"/>
          <w:sz w:val="18"/>
          <w:szCs w:val="18"/>
        </w:rPr>
        <w:t xml:space="preserve"> 2009]</w:t>
      </w:r>
    </w:p>
    <w:p w14:paraId="7AF515CE" w14:textId="16DCDE1D" w:rsidR="00473167" w:rsidRPr="00473167" w:rsidRDefault="00F74AE7" w:rsidP="00473167">
      <w:pPr>
        <w:jc w:val="both"/>
        <w:rPr>
          <w:rFonts w:ascii="Arial" w:hAnsi="Arial" w:cs="Arial"/>
          <w:sz w:val="18"/>
          <w:szCs w:val="18"/>
        </w:rPr>
      </w:pPr>
      <w:r w:rsidRPr="00F74AE7">
        <w:rPr>
          <w:rFonts w:ascii="Arial" w:hAnsi="Arial" w:cs="Arial"/>
          <w:sz w:val="18"/>
          <w:szCs w:val="18"/>
        </w:rPr>
        <w:t xml:space="preserve">Extracts of garlic (Allium sativum) include an organosulfur component called ajoene. It is a colorless liquid with functional groups of disulfide and sulfoxide. </w:t>
      </w:r>
      <w:r w:rsidRPr="00F74AE7">
        <w:rPr>
          <w:rFonts w:ascii="Arial" w:hAnsi="Arial" w:cs="Arial"/>
          <w:sz w:val="18"/>
          <w:szCs w:val="18"/>
        </w:rPr>
        <w:lastRenderedPageBreak/>
        <w:t xml:space="preserve">Garlic is called "ajo" in Spanish, which is where the name (and pronunciation) originate. </w:t>
      </w:r>
      <w:r w:rsidR="00425553" w:rsidRPr="00425553">
        <w:rPr>
          <w:rFonts w:ascii="Arial" w:hAnsi="Arial" w:cs="Arial"/>
          <w:sz w:val="18"/>
          <w:szCs w:val="18"/>
        </w:rPr>
        <w:t>It contains up to four stereoisomers, which differ in the stereochemistry of the core alkene (E- vs. Z-) and the chirality of the sulfoxide sulfur (R- vs. S-).</w:t>
      </w:r>
      <w:r w:rsidR="00425553">
        <w:rPr>
          <w:rFonts w:ascii="Arial" w:hAnsi="Arial" w:cs="Arial"/>
          <w:sz w:val="18"/>
          <w:szCs w:val="18"/>
        </w:rPr>
        <w:t xml:space="preserve"> </w:t>
      </w:r>
      <w:r>
        <w:rPr>
          <w:rFonts w:ascii="Arial" w:hAnsi="Arial" w:cs="Arial"/>
          <w:sz w:val="18"/>
          <w:szCs w:val="18"/>
        </w:rPr>
        <w:t>[</w:t>
      </w:r>
      <w:r w:rsidR="009005A6" w:rsidRPr="009005A6">
        <w:rPr>
          <w:rFonts w:ascii="Arial" w:hAnsi="Arial" w:cs="Arial"/>
          <w:sz w:val="18"/>
          <w:szCs w:val="18"/>
        </w:rPr>
        <w:t>Catherine H. Kaschula</w:t>
      </w:r>
      <w:r w:rsidR="009005A6">
        <w:rPr>
          <w:rFonts w:ascii="Arial" w:hAnsi="Arial" w:cs="Arial"/>
          <w:sz w:val="18"/>
          <w:szCs w:val="18"/>
        </w:rPr>
        <w:t xml:space="preserve"> </w:t>
      </w:r>
      <w:r w:rsidR="009005A6" w:rsidRPr="009005A6">
        <w:rPr>
          <w:rFonts w:ascii="Arial" w:hAnsi="Arial" w:cs="Arial"/>
          <w:sz w:val="18"/>
          <w:szCs w:val="18"/>
        </w:rPr>
        <w:t>2010</w:t>
      </w:r>
      <w:r>
        <w:rPr>
          <w:rFonts w:ascii="Arial" w:hAnsi="Arial" w:cs="Arial"/>
          <w:sz w:val="18"/>
          <w:szCs w:val="18"/>
        </w:rPr>
        <w:t>]</w:t>
      </w:r>
      <w:r w:rsidR="00BF6FC3">
        <w:rPr>
          <w:rFonts w:ascii="Arial" w:hAnsi="Arial" w:cs="Arial"/>
          <w:sz w:val="18"/>
          <w:szCs w:val="18"/>
        </w:rPr>
        <w:t xml:space="preserve"> </w:t>
      </w:r>
      <w:r w:rsidR="00BF6FC3" w:rsidRPr="00BF6FC3">
        <w:rPr>
          <w:rFonts w:ascii="Arial" w:hAnsi="Arial" w:cs="Arial"/>
          <w:sz w:val="18"/>
          <w:szCs w:val="18"/>
        </w:rPr>
        <w:t xml:space="preserve">The first isolation of Z-ajoene was made from processed garlic in an E/Z combination. </w:t>
      </w:r>
      <w:r w:rsidR="00BF6FC3">
        <w:rPr>
          <w:rFonts w:ascii="Arial" w:hAnsi="Arial" w:cs="Arial"/>
          <w:sz w:val="18"/>
          <w:szCs w:val="18"/>
        </w:rPr>
        <w:t>[</w:t>
      </w:r>
      <w:r w:rsidR="00BF6FC3" w:rsidRPr="00BF6FC3">
        <w:rPr>
          <w:rFonts w:ascii="Arial" w:hAnsi="Arial" w:cs="Arial"/>
          <w:sz w:val="18"/>
          <w:szCs w:val="18"/>
        </w:rPr>
        <w:t>Yuchae Jung</w:t>
      </w:r>
      <w:r w:rsidR="00BF6FC3">
        <w:rPr>
          <w:rFonts w:ascii="Arial" w:hAnsi="Arial" w:cs="Arial"/>
          <w:sz w:val="18"/>
          <w:szCs w:val="18"/>
        </w:rPr>
        <w:t xml:space="preserve"> </w:t>
      </w:r>
      <w:r w:rsidR="00BF6FC3" w:rsidRPr="00BF6FC3">
        <w:rPr>
          <w:rFonts w:ascii="Arial" w:hAnsi="Arial" w:cs="Arial"/>
          <w:sz w:val="18"/>
          <w:szCs w:val="18"/>
        </w:rPr>
        <w:t>2014</w:t>
      </w:r>
      <w:r w:rsidR="00BF6FC3">
        <w:rPr>
          <w:rFonts w:ascii="Arial" w:hAnsi="Arial" w:cs="Arial"/>
          <w:sz w:val="18"/>
          <w:szCs w:val="18"/>
        </w:rPr>
        <w:t>]</w:t>
      </w:r>
      <w:r w:rsidR="00473167">
        <w:rPr>
          <w:rFonts w:ascii="Arial" w:hAnsi="Arial" w:cs="Arial"/>
          <w:sz w:val="18"/>
          <w:szCs w:val="18"/>
        </w:rPr>
        <w:t xml:space="preserve">. </w:t>
      </w:r>
      <w:r w:rsidR="003E3E5F">
        <w:rPr>
          <w:rFonts w:ascii="Arial" w:hAnsi="Arial" w:cs="Arial"/>
          <w:sz w:val="18"/>
          <w:szCs w:val="18"/>
        </w:rPr>
        <w:t xml:space="preserve">Ajoene </w:t>
      </w:r>
      <w:r w:rsidR="00473167" w:rsidRPr="00473167">
        <w:rPr>
          <w:rFonts w:ascii="Arial" w:hAnsi="Arial" w:cs="Arial"/>
          <w:sz w:val="18"/>
          <w:szCs w:val="18"/>
        </w:rPr>
        <w:t xml:space="preserve">consists of </w:t>
      </w:r>
      <w:r w:rsidR="00425553" w:rsidRPr="00425553">
        <w:rPr>
          <w:rFonts w:ascii="Arial" w:hAnsi="Arial" w:cs="Arial"/>
          <w:sz w:val="18"/>
          <w:szCs w:val="18"/>
        </w:rPr>
        <w:t>Two isomers are combined to form ajoene [(E, Z)-4,5,9-trithiadodeca-1,6,11-triene-9-oxide].</w:t>
      </w:r>
      <w:r w:rsidR="00425553">
        <w:rPr>
          <w:rFonts w:ascii="Arial" w:hAnsi="Arial" w:cs="Arial"/>
          <w:sz w:val="18"/>
          <w:szCs w:val="18"/>
        </w:rPr>
        <w:t xml:space="preserve"> </w:t>
      </w:r>
      <w:r w:rsidR="003E3E5F">
        <w:rPr>
          <w:rFonts w:ascii="Arial" w:hAnsi="Arial" w:cs="Arial"/>
          <w:sz w:val="18"/>
          <w:szCs w:val="18"/>
        </w:rPr>
        <w:t>[Min Li 2002].</w:t>
      </w:r>
    </w:p>
    <w:p w14:paraId="4F111105" w14:textId="21598B80" w:rsidR="00524DA4" w:rsidRPr="00524DA4" w:rsidRDefault="00BF6FC3" w:rsidP="00524DA4">
      <w:pPr>
        <w:jc w:val="both"/>
        <w:rPr>
          <w:rFonts w:ascii="Arial" w:hAnsi="Arial" w:cs="Arial"/>
          <w:sz w:val="18"/>
          <w:szCs w:val="18"/>
        </w:rPr>
      </w:pPr>
      <w:r>
        <w:rPr>
          <w:rFonts w:ascii="Arial" w:hAnsi="Arial" w:cs="Arial"/>
          <w:sz w:val="18"/>
          <w:szCs w:val="18"/>
        </w:rPr>
        <w:t xml:space="preserve"> </w:t>
      </w:r>
      <w:r w:rsidR="00524DA4" w:rsidRPr="00524DA4">
        <w:rPr>
          <w:rFonts w:ascii="Arial" w:hAnsi="Arial" w:cs="Arial"/>
          <w:sz w:val="18"/>
          <w:szCs w:val="18"/>
        </w:rPr>
        <w:t xml:space="preserve">Allicin is released when a garlic clove is crushed or finely minced, and when the substance dissolves in different solvents, such as edible oils, ajoene is formed. Garlic extract also contains ajoene. The most plentiful and stable form of ajoene is found in garlic macerate, which is made from chopped garlic in edible oil. </w:t>
      </w:r>
      <w:r w:rsidR="00524DA4" w:rsidRPr="00524DA4">
        <w:rPr>
          <w:rFonts w:ascii="Arial" w:hAnsi="Arial" w:cs="Arial"/>
          <w:sz w:val="18"/>
          <w:szCs w:val="18"/>
        </w:rPr>
        <w:br/>
      </w:r>
      <w:r w:rsidR="00524DA4" w:rsidRPr="00524DA4">
        <w:rPr>
          <w:rFonts w:ascii="Arial" w:hAnsi="Arial" w:cs="Arial"/>
          <w:sz w:val="18"/>
          <w:szCs w:val="18"/>
        </w:rPr>
        <w:br/>
        <w:t xml:space="preserve">Two allicin molecules are involved in the chemical sequence that creates ajoene (2 in the diagram). First, 2-propenesulfenic acid and thioacrolein are formed when one allicin molecule (1 in the picture) breaks apart. </w:t>
      </w:r>
      <w:r w:rsidR="00425553" w:rsidRPr="00425553">
        <w:rPr>
          <w:rFonts w:ascii="Arial" w:hAnsi="Arial" w:cs="Arial"/>
          <w:sz w:val="18"/>
          <w:szCs w:val="18"/>
        </w:rPr>
        <w:t>These two react with another allicin molecule in distinct phases using a conjugated thiocationic intermediate</w:t>
      </w:r>
      <w:r w:rsidR="00524DA4" w:rsidRPr="00524DA4">
        <w:rPr>
          <w:rFonts w:ascii="Arial" w:hAnsi="Arial" w:cs="Arial"/>
          <w:sz w:val="18"/>
          <w:szCs w:val="18"/>
        </w:rPr>
        <w:t>.</w:t>
      </w:r>
      <w:r w:rsidR="00425553">
        <w:rPr>
          <w:rFonts w:ascii="Arial" w:hAnsi="Arial" w:cs="Arial"/>
          <w:sz w:val="18"/>
          <w:szCs w:val="18"/>
        </w:rPr>
        <w:t xml:space="preserve"> </w:t>
      </w:r>
      <w:r w:rsidR="00D646E6" w:rsidRPr="00D646E6">
        <w:rPr>
          <w:rFonts w:ascii="Arial" w:hAnsi="Arial" w:cs="Arial"/>
          <w:sz w:val="18"/>
          <w:szCs w:val="18"/>
        </w:rPr>
        <w:t xml:space="preserve">It has an interesting allyl </w:t>
      </w:r>
      <w:commentRangeStart w:id="6"/>
      <w:r w:rsidR="00D646E6" w:rsidRPr="00D646E6">
        <w:rPr>
          <w:rFonts w:ascii="Arial" w:hAnsi="Arial" w:cs="Arial"/>
          <w:sz w:val="18"/>
          <w:szCs w:val="18"/>
        </w:rPr>
        <w:t xml:space="preserve">vinyl </w:t>
      </w:r>
      <w:proofErr w:type="spellStart"/>
      <w:r w:rsidR="00D646E6" w:rsidRPr="00D646E6">
        <w:rPr>
          <w:rFonts w:ascii="Arial" w:hAnsi="Arial" w:cs="Arial"/>
          <w:sz w:val="18"/>
          <w:szCs w:val="18"/>
        </w:rPr>
        <w:t>disul</w:t>
      </w:r>
      <w:proofErr w:type="spellEnd"/>
      <w:r w:rsidR="00D646E6" w:rsidRPr="00D646E6">
        <w:rPr>
          <w:rFonts w:ascii="Arial" w:hAnsi="Arial" w:cs="Arial"/>
          <w:sz w:val="18"/>
          <w:szCs w:val="18"/>
        </w:rPr>
        <w:t xml:space="preserve"> de </w:t>
      </w:r>
      <w:commentRangeEnd w:id="6"/>
      <w:r w:rsidR="005A1F5D">
        <w:rPr>
          <w:rStyle w:val="CommentReference"/>
          <w:rFonts w:ascii="Calibri" w:eastAsia="MS Mincho" w:hAnsi="Calibri" w:cs="Arial"/>
          <w:lang w:val="en-NZ"/>
        </w:rPr>
        <w:commentReference w:id="6"/>
      </w:r>
      <w:r w:rsidR="00D646E6" w:rsidRPr="00D646E6">
        <w:rPr>
          <w:rFonts w:ascii="Arial" w:hAnsi="Arial" w:cs="Arial"/>
          <w:sz w:val="18"/>
          <w:szCs w:val="18"/>
        </w:rPr>
        <w:t xml:space="preserve">functional grouping that probably explains its variety of biological actions by functioning as a sulfenylating agent against sulfhydryl groups in proteins. </w:t>
      </w:r>
      <w:r w:rsidR="00D646E6">
        <w:rPr>
          <w:rFonts w:ascii="Arial" w:hAnsi="Arial" w:cs="Arial"/>
          <w:sz w:val="18"/>
          <w:szCs w:val="18"/>
        </w:rPr>
        <w:t>[</w:t>
      </w:r>
      <w:r w:rsidR="00D646E6" w:rsidRPr="00D646E6">
        <w:rPr>
          <w:rFonts w:ascii="Arial" w:hAnsi="Arial" w:cs="Arial"/>
          <w:sz w:val="18"/>
          <w:szCs w:val="18"/>
        </w:rPr>
        <w:t>Roger Hunter</w:t>
      </w:r>
      <w:r w:rsidR="00D646E6">
        <w:rPr>
          <w:rFonts w:ascii="Arial" w:hAnsi="Arial" w:cs="Arial"/>
          <w:sz w:val="18"/>
          <w:szCs w:val="18"/>
        </w:rPr>
        <w:t xml:space="preserve"> </w:t>
      </w:r>
      <w:r w:rsidR="00D646E6" w:rsidRPr="00D646E6">
        <w:rPr>
          <w:rFonts w:ascii="Arial" w:hAnsi="Arial" w:cs="Arial"/>
          <w:sz w:val="18"/>
          <w:szCs w:val="18"/>
        </w:rPr>
        <w:t>2008</w:t>
      </w:r>
      <w:r w:rsidR="00D646E6">
        <w:rPr>
          <w:rFonts w:ascii="Arial" w:hAnsi="Arial" w:cs="Arial"/>
          <w:sz w:val="18"/>
          <w:szCs w:val="18"/>
        </w:rPr>
        <w:t>]</w:t>
      </w:r>
      <w:r w:rsidR="00BA3F3F">
        <w:rPr>
          <w:rFonts w:ascii="Arial" w:hAnsi="Arial" w:cs="Arial"/>
          <w:sz w:val="18"/>
          <w:szCs w:val="18"/>
        </w:rPr>
        <w:t>.</w:t>
      </w:r>
    </w:p>
    <w:p w14:paraId="10412309" w14:textId="2BE0184D" w:rsidR="00F74AE7" w:rsidRPr="00F74AE7" w:rsidRDefault="00524DA4" w:rsidP="00524DA4">
      <w:pPr>
        <w:jc w:val="both"/>
        <w:rPr>
          <w:rFonts w:ascii="Arial" w:hAnsi="Arial" w:cs="Arial"/>
          <w:sz w:val="18"/>
          <w:szCs w:val="18"/>
        </w:rPr>
      </w:pPr>
      <w:commentRangeStart w:id="7"/>
      <w:r>
        <w:rPr>
          <w:noProof/>
          <w:lang w:val="en-IN" w:eastAsia="en-IN" w:bidi="hi-IN"/>
        </w:rPr>
        <w:drawing>
          <wp:inline distT="0" distB="0" distL="0" distR="0" wp14:anchorId="21CD869F" wp14:editId="01CD6C0C">
            <wp:extent cx="4114800" cy="2124075"/>
            <wp:effectExtent l="0" t="0" r="0" b="0"/>
            <wp:docPr id="265609591"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defined"/>
                    <pic:cNvPicPr>
                      <a:picLocks noChangeAspect="1" noChangeArrowheads="1"/>
                    </pic:cNvPicPr>
                  </pic:nvPicPr>
                  <pic:blipFill>
                    <a:blip r:embed="rId1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4122104" cy="2127845"/>
                    </a:xfrm>
                    <a:prstGeom prst="rect">
                      <a:avLst/>
                    </a:prstGeom>
                    <a:noFill/>
                    <a:ln>
                      <a:noFill/>
                    </a:ln>
                  </pic:spPr>
                </pic:pic>
              </a:graphicData>
            </a:graphic>
          </wp:inline>
        </w:drawing>
      </w:r>
      <w:commentRangeEnd w:id="7"/>
      <w:r w:rsidR="005A1F5D">
        <w:rPr>
          <w:rStyle w:val="CommentReference"/>
          <w:rFonts w:ascii="Calibri" w:eastAsia="MS Mincho" w:hAnsi="Calibri" w:cs="Arial"/>
          <w:lang w:val="en-NZ"/>
        </w:rPr>
        <w:commentReference w:id="7"/>
      </w:r>
    </w:p>
    <w:p w14:paraId="3C84BB99" w14:textId="670406F5" w:rsidR="00524DA4" w:rsidRDefault="00524DA4" w:rsidP="00524DA4">
      <w:pPr>
        <w:jc w:val="center"/>
        <w:rPr>
          <w:rFonts w:ascii="Arial" w:hAnsi="Arial" w:cs="Arial"/>
          <w:sz w:val="18"/>
          <w:szCs w:val="18"/>
        </w:rPr>
      </w:pPr>
      <w:r w:rsidRPr="00EE00DF">
        <w:rPr>
          <w:rFonts w:ascii="Arial" w:hAnsi="Arial" w:cs="Arial"/>
          <w:sz w:val="18"/>
          <w:szCs w:val="18"/>
        </w:rPr>
        <w:t>Fig No:</w:t>
      </w:r>
      <w:r w:rsidR="00BA3F3F">
        <w:rPr>
          <w:rFonts w:ascii="Arial" w:hAnsi="Arial" w:cs="Arial"/>
          <w:sz w:val="18"/>
          <w:szCs w:val="18"/>
        </w:rPr>
        <w:t>2</w:t>
      </w:r>
      <w:r w:rsidRPr="00EE00DF">
        <w:rPr>
          <w:rFonts w:ascii="Arial" w:hAnsi="Arial" w:cs="Arial"/>
          <w:sz w:val="18"/>
          <w:szCs w:val="18"/>
        </w:rPr>
        <w:t xml:space="preserve"> Biosynthesis of a</w:t>
      </w:r>
      <w:r>
        <w:rPr>
          <w:rFonts w:ascii="Arial" w:hAnsi="Arial" w:cs="Arial"/>
          <w:sz w:val="18"/>
          <w:szCs w:val="18"/>
        </w:rPr>
        <w:t xml:space="preserve"> </w:t>
      </w:r>
      <w:r w:rsidRPr="00524DA4">
        <w:rPr>
          <w:rFonts w:ascii="Arial" w:hAnsi="Arial" w:cs="Arial"/>
          <w:sz w:val="18"/>
          <w:szCs w:val="18"/>
        </w:rPr>
        <w:t>Z</w:t>
      </w:r>
      <w:r w:rsidRPr="00524DA4">
        <w:rPr>
          <w:rFonts w:ascii="Arial" w:hAnsi="Arial" w:cs="Arial"/>
          <w:sz w:val="18"/>
          <w:szCs w:val="18"/>
        </w:rPr>
        <w:noBreakHyphen/>
        <w:t>Ajoene</w:t>
      </w:r>
    </w:p>
    <w:p w14:paraId="53EFE3F7" w14:textId="77777777" w:rsidR="00BD2F79" w:rsidRPr="00DB407B" w:rsidRDefault="00BD2F79" w:rsidP="00DB407B">
      <w:pPr>
        <w:pStyle w:val="Heading2"/>
        <w:rPr>
          <w:rFonts w:eastAsia="Times New Roman" w:cs="Arial"/>
          <w:caps/>
          <w:sz w:val="20"/>
          <w:szCs w:val="20"/>
        </w:rPr>
      </w:pPr>
      <w:r w:rsidRPr="00DB407B">
        <w:rPr>
          <w:rFonts w:eastAsia="Times New Roman" w:cs="Arial"/>
          <w:caps/>
          <w:sz w:val="20"/>
          <w:szCs w:val="20"/>
        </w:rPr>
        <w:t>3. Mechanisms of Anticancer Action</w:t>
      </w:r>
    </w:p>
    <w:p w14:paraId="35095F5C"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 Allicin</w:t>
      </w:r>
    </w:p>
    <w:p w14:paraId="439C2417"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3.1.1 Apoptosis &amp; Cell-Cycle Arrest</w:t>
      </w:r>
    </w:p>
    <w:p w14:paraId="3DBE0E61" w14:textId="6BAEF1C6" w:rsidR="005F1805" w:rsidRPr="00E81D15" w:rsidRDefault="00E81D15" w:rsidP="005F1805">
      <w:pPr>
        <w:jc w:val="both"/>
        <w:rPr>
          <w:rFonts w:ascii="Arial" w:hAnsi="Arial" w:cs="Arial"/>
          <w:sz w:val="18"/>
          <w:szCs w:val="18"/>
        </w:rPr>
      </w:pPr>
      <w:r w:rsidRPr="00E81D15">
        <w:rPr>
          <w:rFonts w:ascii="Arial" w:hAnsi="Arial" w:cs="Arial"/>
          <w:b/>
          <w:bCs/>
          <w:sz w:val="18"/>
          <w:szCs w:val="18"/>
        </w:rPr>
        <w:lastRenderedPageBreak/>
        <w:t>3.1.1.1</w:t>
      </w:r>
      <w:r>
        <w:rPr>
          <w:rFonts w:ascii="Arial" w:hAnsi="Arial" w:cs="Arial"/>
          <w:b/>
          <w:bCs/>
          <w:i/>
          <w:iCs/>
          <w:sz w:val="18"/>
          <w:szCs w:val="18"/>
        </w:rPr>
        <w:t xml:space="preserve"> </w:t>
      </w:r>
      <w:r w:rsidR="005F1805" w:rsidRPr="00E81D15">
        <w:rPr>
          <w:rFonts w:ascii="Arial" w:hAnsi="Arial" w:cs="Arial"/>
          <w:b/>
          <w:bCs/>
          <w:i/>
          <w:iCs/>
          <w:sz w:val="18"/>
          <w:szCs w:val="18"/>
        </w:rPr>
        <w:t>Promotion of Apoptosis</w:t>
      </w:r>
      <w:r w:rsidR="005F1805" w:rsidRPr="00E81D15">
        <w:rPr>
          <w:rFonts w:ascii="Arial" w:hAnsi="Arial" w:cs="Arial"/>
          <w:i/>
          <w:iCs/>
          <w:sz w:val="18"/>
          <w:szCs w:val="18"/>
        </w:rPr>
        <w:t>:</w:t>
      </w:r>
      <w:r w:rsidR="005F1805" w:rsidRPr="00E81D15">
        <w:rPr>
          <w:rFonts w:ascii="Arial" w:hAnsi="Arial" w:cs="Arial"/>
          <w:sz w:val="18"/>
          <w:szCs w:val="18"/>
        </w:rPr>
        <w:t xml:space="preserve"> Allicin inhibits the PI3K/Akt signaling pathway, which is essential for cell viability, while downregulating anti-apoptotic proteins such as Nrf2 and heme oxygenase 1. This facilitates planned cell death by triggering pro-apoptotic pathways and upregulating the production of molecules such as caspases and Bax.  </w:t>
      </w:r>
    </w:p>
    <w:p w14:paraId="16664420" w14:textId="48D7AC75" w:rsidR="005F1805" w:rsidRPr="00E81D15" w:rsidRDefault="00E81D15" w:rsidP="00BD2F79">
      <w:pPr>
        <w:jc w:val="both"/>
        <w:rPr>
          <w:rFonts w:ascii="Arial" w:hAnsi="Arial" w:cs="Arial"/>
          <w:sz w:val="18"/>
          <w:szCs w:val="18"/>
        </w:rPr>
      </w:pPr>
      <w:r w:rsidRPr="00E81D15">
        <w:rPr>
          <w:rFonts w:ascii="Arial" w:hAnsi="Arial" w:cs="Arial"/>
          <w:b/>
          <w:bCs/>
          <w:sz w:val="18"/>
          <w:szCs w:val="18"/>
        </w:rPr>
        <w:t>3.1.1.2</w:t>
      </w:r>
      <w:r>
        <w:rPr>
          <w:rFonts w:ascii="Arial" w:hAnsi="Arial" w:cs="Arial"/>
          <w:b/>
          <w:bCs/>
          <w:i/>
          <w:iCs/>
          <w:sz w:val="18"/>
          <w:szCs w:val="18"/>
        </w:rPr>
        <w:t xml:space="preserve"> </w:t>
      </w:r>
      <w:r w:rsidR="005F1805" w:rsidRPr="00E81D15">
        <w:rPr>
          <w:rFonts w:ascii="Arial" w:hAnsi="Arial" w:cs="Arial"/>
          <w:b/>
          <w:bCs/>
          <w:i/>
          <w:iCs/>
          <w:sz w:val="18"/>
          <w:szCs w:val="18"/>
        </w:rPr>
        <w:t>Cell-Cycle Arrest</w:t>
      </w:r>
      <w:r w:rsidR="005F1805" w:rsidRPr="00E81D15">
        <w:rPr>
          <w:rFonts w:ascii="Arial" w:hAnsi="Arial" w:cs="Arial"/>
          <w:i/>
          <w:iCs/>
          <w:sz w:val="18"/>
          <w:szCs w:val="18"/>
        </w:rPr>
        <w:t>:</w:t>
      </w:r>
      <w:r w:rsidR="005F1805" w:rsidRPr="00E81D15">
        <w:rPr>
          <w:rFonts w:ascii="Arial" w:hAnsi="Arial" w:cs="Arial"/>
          <w:sz w:val="18"/>
          <w:szCs w:val="18"/>
        </w:rPr>
        <w:t xml:space="preserve"> Allicin inhibits the growth of cancer cells by influencing cell cycle regulators, which results in arrest in particular phases. Modification of signaling pathways including p53 and NF-κB that are important in cell cycle progression mediates this inhibition. </w:t>
      </w:r>
      <w:r w:rsidR="00BD2F79" w:rsidRPr="00E81D15">
        <w:rPr>
          <w:rFonts w:ascii="Arial" w:hAnsi="Arial" w:cs="Arial"/>
          <w:sz w:val="18"/>
          <w:szCs w:val="18"/>
        </w:rPr>
        <w:t>[</w:t>
      </w:r>
      <w:r w:rsidR="005F1805" w:rsidRPr="00E81D15">
        <w:rPr>
          <w:rFonts w:ascii="Arial" w:hAnsi="Arial" w:cs="Arial"/>
          <w:sz w:val="18"/>
          <w:szCs w:val="18"/>
        </w:rPr>
        <w:t>Wamidh H. Talib 2024</w:t>
      </w:r>
      <w:r w:rsidR="00BD2F79" w:rsidRPr="00E81D15">
        <w:rPr>
          <w:rFonts w:ascii="Arial" w:hAnsi="Arial" w:cs="Arial"/>
          <w:sz w:val="18"/>
          <w:szCs w:val="18"/>
        </w:rPr>
        <w:t>].</w:t>
      </w:r>
    </w:p>
    <w:p w14:paraId="58214DC3" w14:textId="3533919F" w:rsidR="00BD2F79" w:rsidRPr="00E81D15" w:rsidRDefault="00623389" w:rsidP="00BD2F79">
      <w:pPr>
        <w:jc w:val="both"/>
        <w:rPr>
          <w:rFonts w:ascii="Arial" w:hAnsi="Arial" w:cs="Arial"/>
          <w:noProof/>
        </w:rPr>
      </w:pPr>
      <w:r w:rsidRPr="00E81D15">
        <w:rPr>
          <w:rFonts w:ascii="Arial" w:hAnsi="Arial" w:cs="Arial"/>
          <w:noProof/>
        </w:rPr>
        <w:t xml:space="preserve"> </w:t>
      </w:r>
      <w:r w:rsidRPr="00E81D15">
        <w:rPr>
          <w:rFonts w:ascii="Arial" w:hAnsi="Arial" w:cs="Arial"/>
          <w:noProof/>
          <w:lang w:val="en-IN" w:eastAsia="en-IN" w:bidi="hi-IN"/>
        </w:rPr>
        <w:drawing>
          <wp:inline distT="0" distB="0" distL="0" distR="0" wp14:anchorId="6D8E65AB" wp14:editId="5744C311">
            <wp:extent cx="4114087" cy="2589680"/>
            <wp:effectExtent l="19050" t="19050" r="1270" b="1270"/>
            <wp:docPr id="7" name="Picture 1" descr="mdpi.com/1422-006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dpi.com/1422-0067/20/4/..."/>
                    <pic:cNvPicPr>
                      <a:picLocks noChangeAspect="1" noChangeArrowheads="1"/>
                    </pic:cNvPicPr>
                  </pic:nvPicPr>
                  <pic:blipFill>
                    <a:blip r:embed="rId13" cstate="print">
                      <a:alphaModFix amt="85000"/>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26377" cy="2597416"/>
                    </a:xfrm>
                    <a:prstGeom prst="rect">
                      <a:avLst/>
                    </a:prstGeom>
                    <a:noFill/>
                    <a:ln>
                      <a:solidFill>
                        <a:schemeClr val="tx1"/>
                      </a:solidFill>
                    </a:ln>
                  </pic:spPr>
                </pic:pic>
              </a:graphicData>
            </a:graphic>
          </wp:inline>
        </w:drawing>
      </w:r>
    </w:p>
    <w:p w14:paraId="2A8B02AB" w14:textId="7386E6BE" w:rsidR="00623389" w:rsidRPr="00E81D15" w:rsidRDefault="00623389" w:rsidP="00623389">
      <w:pPr>
        <w:jc w:val="center"/>
        <w:rPr>
          <w:rFonts w:ascii="Arial" w:hAnsi="Arial" w:cs="Arial"/>
          <w:sz w:val="18"/>
          <w:szCs w:val="18"/>
        </w:rPr>
      </w:pPr>
      <w:r w:rsidRPr="00E81D15">
        <w:rPr>
          <w:rFonts w:ascii="Arial" w:hAnsi="Arial" w:cs="Arial"/>
          <w:noProof/>
          <w:sz w:val="18"/>
          <w:szCs w:val="18"/>
        </w:rPr>
        <w:t>Fig No.</w:t>
      </w:r>
      <w:r w:rsidR="00BA3F3F" w:rsidRPr="00E81D15">
        <w:rPr>
          <w:rFonts w:ascii="Arial" w:hAnsi="Arial" w:cs="Arial"/>
          <w:noProof/>
          <w:sz w:val="18"/>
          <w:szCs w:val="18"/>
        </w:rPr>
        <w:t>3</w:t>
      </w:r>
      <w:r w:rsidRPr="00E81D15">
        <w:rPr>
          <w:rFonts w:ascii="Arial" w:hAnsi="Arial" w:cs="Arial"/>
          <w:noProof/>
          <w:sz w:val="18"/>
          <w:szCs w:val="18"/>
        </w:rPr>
        <w:t xml:space="preserve">  Mechanism of Apoptosis</w:t>
      </w:r>
    </w:p>
    <w:p w14:paraId="10B10FA7"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3.1.2 Oxidative Stress &amp; Nrf2</w:t>
      </w:r>
    </w:p>
    <w:p w14:paraId="62FCB627" w14:textId="77777777" w:rsidR="005C7CA6" w:rsidRPr="00E81D15" w:rsidRDefault="005C7CA6" w:rsidP="005C7CA6">
      <w:pPr>
        <w:jc w:val="both"/>
        <w:rPr>
          <w:rFonts w:ascii="Arial" w:hAnsi="Arial" w:cs="Arial"/>
          <w:sz w:val="18"/>
          <w:szCs w:val="18"/>
        </w:rPr>
      </w:pPr>
      <w:r w:rsidRPr="00E81D15">
        <w:rPr>
          <w:rFonts w:ascii="Arial" w:hAnsi="Arial" w:cs="Arial"/>
          <w:sz w:val="18"/>
          <w:szCs w:val="18"/>
        </w:rPr>
        <w:t xml:space="preserve">An imbalance between the body's capacity to use antioxidants to counteract dangerous chemicals known as free radicals results in oxidative stress. Cell damage from this can lead to illnesses like cancer. </w:t>
      </w:r>
      <w:r w:rsidRPr="00E81D15">
        <w:rPr>
          <w:rFonts w:ascii="Arial" w:hAnsi="Arial" w:cs="Arial"/>
          <w:sz w:val="18"/>
          <w:szCs w:val="18"/>
        </w:rPr>
        <w:br/>
        <w:t xml:space="preserve">A protein called Nrf2 aids in shielding cells from oxidative damage. It helps cells fight off harm by triggering the synthesis of antioxidants and other defense-related enzymes. </w:t>
      </w:r>
    </w:p>
    <w:p w14:paraId="17DC1AB3"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3.1.3 Protein Thiolation</w:t>
      </w:r>
    </w:p>
    <w:p w14:paraId="71F900E4" w14:textId="411482CF" w:rsidR="00BD2F79" w:rsidRPr="00E81D15" w:rsidRDefault="005C7CA6" w:rsidP="00BD2F79">
      <w:pPr>
        <w:jc w:val="both"/>
        <w:rPr>
          <w:rFonts w:ascii="Arial" w:hAnsi="Arial" w:cs="Arial"/>
          <w:sz w:val="18"/>
          <w:szCs w:val="18"/>
        </w:rPr>
      </w:pPr>
      <w:r w:rsidRPr="00E81D15">
        <w:rPr>
          <w:rFonts w:ascii="Arial" w:hAnsi="Arial" w:cs="Arial"/>
          <w:sz w:val="18"/>
          <w:szCs w:val="18"/>
        </w:rPr>
        <w:lastRenderedPageBreak/>
        <w:t xml:space="preserve">The chemical process by which sulfur-containing groups, known as thiols, bind to proteins is known as protein thiolation. Protein function may be altered by this alteration, which frequently has an impact on cell growth, survival, or death. </w:t>
      </w:r>
      <w:r w:rsidR="00BD2F79" w:rsidRPr="00E81D15">
        <w:rPr>
          <w:rFonts w:ascii="Arial" w:hAnsi="Arial" w:cs="Arial"/>
          <w:sz w:val="18"/>
          <w:szCs w:val="18"/>
        </w:rPr>
        <w:t>Targets proteins like NF</w:t>
      </w:r>
      <w:r w:rsidR="00BD2F79" w:rsidRPr="00E81D15">
        <w:rPr>
          <w:rFonts w:ascii="Arial" w:hAnsi="Arial" w:cs="Arial"/>
          <w:sz w:val="18"/>
          <w:szCs w:val="18"/>
        </w:rPr>
        <w:noBreakHyphen/>
        <w:t>κB, STAT3, HIF</w:t>
      </w:r>
      <w:r w:rsidR="00BD2F79" w:rsidRPr="00E81D15">
        <w:rPr>
          <w:rFonts w:ascii="Arial" w:hAnsi="Arial" w:cs="Arial"/>
          <w:sz w:val="18"/>
          <w:szCs w:val="18"/>
        </w:rPr>
        <w:noBreakHyphen/>
        <w:t>1α via thiol modification to inhibit proliferation and metastasis</w:t>
      </w:r>
      <w:r w:rsidRPr="00E81D15">
        <w:rPr>
          <w:rFonts w:ascii="Arial" w:hAnsi="Arial" w:cs="Arial"/>
          <w:sz w:val="18"/>
          <w:szCs w:val="18"/>
        </w:rPr>
        <w:t>.</w:t>
      </w:r>
    </w:p>
    <w:p w14:paraId="78A4300C"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3.1.4 Chemoresistance Reversal</w:t>
      </w:r>
    </w:p>
    <w:p w14:paraId="27EDBA9C" w14:textId="49E094DD" w:rsidR="005C7CA6" w:rsidRPr="00E81D15" w:rsidRDefault="005C7CA6" w:rsidP="005C7CA6">
      <w:pPr>
        <w:jc w:val="both"/>
        <w:rPr>
          <w:rFonts w:ascii="Arial" w:hAnsi="Arial" w:cs="Arial"/>
          <w:sz w:val="18"/>
          <w:szCs w:val="18"/>
        </w:rPr>
      </w:pPr>
      <w:r w:rsidRPr="00E81D15">
        <w:rPr>
          <w:rFonts w:ascii="Arial" w:hAnsi="Arial" w:cs="Arial"/>
          <w:sz w:val="18"/>
          <w:szCs w:val="18"/>
        </w:rPr>
        <w:t xml:space="preserve">When cancer cells cease reacting to chemotherapy medications, it is known as chemoresistance, which reduces the effectiveness of treatment. </w:t>
      </w:r>
      <w:r w:rsidRPr="00E81D15">
        <w:rPr>
          <w:rFonts w:ascii="Arial" w:hAnsi="Arial" w:cs="Arial"/>
          <w:sz w:val="18"/>
          <w:szCs w:val="18"/>
        </w:rPr>
        <w:br/>
        <w:t>Reversing chemoresistance increases the likelihood of a successful course of treatment by figuring out how to make cancer cells susceptible to these medications once more. [Yang Zhou</w:t>
      </w:r>
      <w:r w:rsidRPr="00E81D15">
        <w:rPr>
          <w:rFonts w:ascii="Arial" w:hAnsi="Arial" w:cs="Arial"/>
          <w:color w:val="282828"/>
          <w:sz w:val="21"/>
          <w:szCs w:val="21"/>
          <w:shd w:val="clear" w:color="auto" w:fill="F7F7F7"/>
        </w:rPr>
        <w:t xml:space="preserve"> </w:t>
      </w:r>
      <w:r w:rsidRPr="00E81D15">
        <w:rPr>
          <w:rFonts w:ascii="Arial" w:hAnsi="Arial" w:cs="Arial"/>
          <w:sz w:val="18"/>
          <w:szCs w:val="18"/>
        </w:rPr>
        <w:t>2022]</w:t>
      </w:r>
    </w:p>
    <w:p w14:paraId="61EAB4A5"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3.1.5 In Silico Targeting</w:t>
      </w:r>
    </w:p>
    <w:p w14:paraId="042103FF" w14:textId="0D1868BF" w:rsidR="00BD2F79" w:rsidRPr="00E81D15" w:rsidRDefault="001A6EB5" w:rsidP="00BD2F79">
      <w:pPr>
        <w:jc w:val="both"/>
        <w:rPr>
          <w:rFonts w:ascii="Arial" w:hAnsi="Arial" w:cs="Arial"/>
          <w:sz w:val="18"/>
          <w:szCs w:val="18"/>
        </w:rPr>
      </w:pPr>
      <w:r w:rsidRPr="00E81D15">
        <w:rPr>
          <w:rFonts w:ascii="Arial" w:hAnsi="Arial" w:cs="Arial"/>
          <w:sz w:val="18"/>
          <w:szCs w:val="18"/>
        </w:rPr>
        <w:t xml:space="preserve">This is the process of predicting how allicin would interact with various disease-related proteins, including those implicated in bacterial infections, inflammation, cancer, and viruses like COVID-19, using computer simulations. </w:t>
      </w:r>
      <w:r w:rsidRPr="00E81D15">
        <w:rPr>
          <w:rFonts w:ascii="Arial" w:hAnsi="Arial" w:cs="Arial"/>
          <w:sz w:val="18"/>
          <w:szCs w:val="18"/>
        </w:rPr>
        <w:br/>
        <w:t xml:space="preserve">In order to create successful medicines without requiring preliminary laboratory testing, scientists can better understand which allicin forms bind to certain targets with the aid of these computer models. </w:t>
      </w:r>
      <w:r w:rsidR="00BD2F79" w:rsidRPr="00E81D15">
        <w:rPr>
          <w:rFonts w:ascii="Arial" w:hAnsi="Arial" w:cs="Arial"/>
          <w:sz w:val="18"/>
          <w:szCs w:val="18"/>
        </w:rPr>
        <w:t>Modeling studies confirm high-affinity interactions with HER-2, PI3K, and AKT, guiding analog design</w:t>
      </w:r>
      <w:r w:rsidRPr="00E81D15">
        <w:rPr>
          <w:rFonts w:ascii="Arial" w:hAnsi="Arial" w:cs="Arial"/>
          <w:sz w:val="18"/>
          <w:szCs w:val="18"/>
        </w:rPr>
        <w:t>.</w:t>
      </w:r>
    </w:p>
    <w:p w14:paraId="01A31041"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3.1.6 Nano</w:t>
      </w:r>
      <w:r w:rsidRPr="00E81D15">
        <w:rPr>
          <w:rFonts w:ascii="Arial" w:hAnsi="Arial" w:cs="Arial"/>
          <w:b/>
          <w:bCs/>
          <w:sz w:val="18"/>
          <w:szCs w:val="18"/>
        </w:rPr>
        <w:noBreakHyphen/>
        <w:t>Formulation Advances</w:t>
      </w:r>
    </w:p>
    <w:p w14:paraId="79A0D821" w14:textId="1A166DD5" w:rsidR="001A6EB5" w:rsidRPr="00E81D15" w:rsidRDefault="001A6EB5" w:rsidP="001A6EB5">
      <w:pPr>
        <w:jc w:val="both"/>
        <w:rPr>
          <w:rFonts w:ascii="Arial" w:hAnsi="Arial" w:cs="Arial"/>
          <w:sz w:val="18"/>
          <w:szCs w:val="18"/>
        </w:rPr>
      </w:pPr>
      <w:r w:rsidRPr="00E81D15">
        <w:rPr>
          <w:rFonts w:ascii="Arial" w:hAnsi="Arial" w:cs="Arial"/>
          <w:sz w:val="18"/>
          <w:szCs w:val="18"/>
        </w:rPr>
        <w:t>To better carry allicin into the body, researchers are creating nanotechnology-based carriers known as nanocages. Allicin can be encapsulated by these microscopic carriers (such as Al</w:t>
      </w:r>
      <w:r w:rsidRPr="00E81D15">
        <w:rPr>
          <w:rFonts w:ascii="Cambria Math" w:hAnsi="Cambria Math" w:cs="Cambria Math"/>
          <w:sz w:val="18"/>
          <w:szCs w:val="18"/>
        </w:rPr>
        <w:t>₁₂</w:t>
      </w:r>
      <w:r w:rsidRPr="00E81D15">
        <w:rPr>
          <w:rFonts w:ascii="Arial" w:hAnsi="Arial" w:cs="Arial"/>
          <w:sz w:val="18"/>
          <w:szCs w:val="18"/>
        </w:rPr>
        <w:t>N</w:t>
      </w:r>
      <w:r w:rsidRPr="00E81D15">
        <w:rPr>
          <w:rFonts w:ascii="Cambria Math" w:hAnsi="Cambria Math" w:cs="Cambria Math"/>
          <w:sz w:val="18"/>
          <w:szCs w:val="18"/>
        </w:rPr>
        <w:t>₁₂</w:t>
      </w:r>
      <w:r w:rsidRPr="00E81D15">
        <w:rPr>
          <w:rFonts w:ascii="Arial" w:hAnsi="Arial" w:cs="Arial"/>
          <w:sz w:val="18"/>
          <w:szCs w:val="18"/>
        </w:rPr>
        <w:t>, B</w:t>
      </w:r>
      <w:r w:rsidRPr="00E81D15">
        <w:rPr>
          <w:rFonts w:ascii="Cambria Math" w:hAnsi="Cambria Math" w:cs="Cambria Math"/>
          <w:sz w:val="18"/>
          <w:szCs w:val="18"/>
        </w:rPr>
        <w:t>₁₂</w:t>
      </w:r>
      <w:r w:rsidRPr="00E81D15">
        <w:rPr>
          <w:rFonts w:ascii="Arial" w:hAnsi="Arial" w:cs="Arial"/>
          <w:sz w:val="18"/>
          <w:szCs w:val="18"/>
        </w:rPr>
        <w:t>N</w:t>
      </w:r>
      <w:r w:rsidRPr="00E81D15">
        <w:rPr>
          <w:rFonts w:ascii="Cambria Math" w:hAnsi="Cambria Math" w:cs="Cambria Math"/>
          <w:sz w:val="18"/>
          <w:szCs w:val="18"/>
        </w:rPr>
        <w:t>₁₂</w:t>
      </w:r>
      <w:r w:rsidRPr="00E81D15">
        <w:rPr>
          <w:rFonts w:ascii="Arial" w:hAnsi="Arial" w:cs="Arial"/>
          <w:sz w:val="18"/>
          <w:szCs w:val="18"/>
        </w:rPr>
        <w:t>, and C</w:t>
      </w:r>
      <w:r w:rsidRPr="00E81D15">
        <w:rPr>
          <w:rFonts w:ascii="Cambria Math" w:hAnsi="Cambria Math" w:cs="Cambria Math"/>
          <w:sz w:val="18"/>
          <w:szCs w:val="18"/>
        </w:rPr>
        <w:t>₂₄</w:t>
      </w:r>
      <w:r w:rsidRPr="00E81D15">
        <w:rPr>
          <w:rFonts w:ascii="Arial" w:hAnsi="Arial" w:cs="Arial"/>
          <w:sz w:val="18"/>
          <w:szCs w:val="18"/>
        </w:rPr>
        <w:t xml:space="preserve">), which improves its stability, prevents degradation, and facilitates its delivery to particular sick cells or tissues. </w:t>
      </w:r>
      <w:r w:rsidRPr="00E81D15">
        <w:rPr>
          <w:rFonts w:ascii="Arial" w:hAnsi="Arial" w:cs="Arial"/>
          <w:sz w:val="18"/>
          <w:szCs w:val="18"/>
        </w:rPr>
        <w:br/>
        <w:t>The use of these nanocages increases the therapeutic potential of allicin by improving its stability and absorption as well as its capacity to interact with disease targets. [E. S. Mozafari 2025].</w:t>
      </w:r>
    </w:p>
    <w:p w14:paraId="18593D98"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 Z</w:t>
      </w:r>
      <w:r w:rsidRPr="00E81D15">
        <w:rPr>
          <w:rFonts w:ascii="Arial" w:hAnsi="Arial" w:cs="Arial"/>
          <w:b/>
          <w:bCs/>
          <w:sz w:val="18"/>
          <w:szCs w:val="18"/>
        </w:rPr>
        <w:noBreakHyphen/>
        <w:t>Ajoene</w:t>
      </w:r>
    </w:p>
    <w:p w14:paraId="329C9F20"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3.2.1 ER Stress-Related Apoptosis</w:t>
      </w:r>
    </w:p>
    <w:p w14:paraId="3D915D3A" w14:textId="57D3692C" w:rsidR="00BD2F79" w:rsidRPr="00E81D15" w:rsidRDefault="00A3018C" w:rsidP="00BD2F79">
      <w:pPr>
        <w:jc w:val="both"/>
        <w:rPr>
          <w:rFonts w:ascii="Arial" w:hAnsi="Arial" w:cs="Arial"/>
          <w:sz w:val="18"/>
          <w:szCs w:val="18"/>
        </w:rPr>
      </w:pPr>
      <w:r w:rsidRPr="00E81D15">
        <w:rPr>
          <w:rFonts w:ascii="Arial" w:hAnsi="Arial" w:cs="Arial"/>
          <w:sz w:val="18"/>
          <w:szCs w:val="18"/>
        </w:rPr>
        <w:t xml:space="preserve">The endoplasmic reticulum (ER), a cell structure involved in protein folding, is stressed in this way. Cancer cells can die as a result of apoptosis, a process that is triggered by excessive ER stress. </w:t>
      </w:r>
      <w:r w:rsidR="00BD2F79" w:rsidRPr="00E81D15">
        <w:rPr>
          <w:rFonts w:ascii="Arial" w:hAnsi="Arial" w:cs="Arial"/>
          <w:sz w:val="18"/>
          <w:szCs w:val="18"/>
        </w:rPr>
        <w:t xml:space="preserve">Induces ER stress markers (BiP, PERK, </w:t>
      </w:r>
      <w:r w:rsidR="00BD2F79" w:rsidRPr="00E81D15">
        <w:rPr>
          <w:rFonts w:ascii="Arial" w:hAnsi="Arial" w:cs="Arial"/>
          <w:sz w:val="18"/>
          <w:szCs w:val="18"/>
        </w:rPr>
        <w:lastRenderedPageBreak/>
        <w:t xml:space="preserve">ATF4, CHOP), increases Bax and caspases, while suppressing Bcl-2 in </w:t>
      </w:r>
      <w:commentRangeStart w:id="8"/>
      <w:r w:rsidR="00BD2F79" w:rsidRPr="00E81D15">
        <w:rPr>
          <w:rFonts w:ascii="Arial" w:hAnsi="Arial" w:cs="Arial"/>
          <w:sz w:val="18"/>
          <w:szCs w:val="18"/>
        </w:rPr>
        <w:t>NSCLC</w:t>
      </w:r>
      <w:commentRangeEnd w:id="8"/>
      <w:r w:rsidR="00F06034">
        <w:rPr>
          <w:rStyle w:val="CommentReference"/>
          <w:rFonts w:ascii="Calibri" w:eastAsia="MS Mincho" w:hAnsi="Calibri" w:cs="Arial"/>
          <w:lang w:val="en-NZ"/>
        </w:rPr>
        <w:commentReference w:id="8"/>
      </w:r>
      <w:r w:rsidR="00BD2F79" w:rsidRPr="00E81D15">
        <w:rPr>
          <w:rFonts w:ascii="Arial" w:hAnsi="Arial" w:cs="Arial"/>
          <w:sz w:val="18"/>
          <w:szCs w:val="18"/>
        </w:rPr>
        <w:t>; 4</w:t>
      </w:r>
      <w:r w:rsidR="00BD2F79" w:rsidRPr="00E81D15">
        <w:rPr>
          <w:rFonts w:ascii="Arial" w:hAnsi="Arial" w:cs="Arial"/>
          <w:sz w:val="18"/>
          <w:szCs w:val="18"/>
        </w:rPr>
        <w:noBreakHyphen/>
        <w:t>PBA reverses effects</w:t>
      </w:r>
      <w:r w:rsidRPr="00E81D15">
        <w:rPr>
          <w:rFonts w:ascii="Arial" w:hAnsi="Arial" w:cs="Arial"/>
          <w:sz w:val="18"/>
          <w:szCs w:val="18"/>
        </w:rPr>
        <w:t xml:space="preserve">. </w:t>
      </w:r>
    </w:p>
    <w:p w14:paraId="0CB2424E"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3.2.2 DLG1/YAP Axis Inhibition</w:t>
      </w:r>
    </w:p>
    <w:p w14:paraId="6F2C323F" w14:textId="77777777" w:rsidR="00A3018C" w:rsidRPr="00E81D15" w:rsidRDefault="00A3018C" w:rsidP="00A3018C">
      <w:pPr>
        <w:jc w:val="both"/>
        <w:rPr>
          <w:rFonts w:ascii="Arial" w:hAnsi="Arial" w:cs="Arial"/>
          <w:sz w:val="18"/>
          <w:szCs w:val="18"/>
        </w:rPr>
      </w:pPr>
      <w:r w:rsidRPr="00E81D15">
        <w:rPr>
          <w:rFonts w:ascii="Arial" w:hAnsi="Arial" w:cs="Arial"/>
          <w:sz w:val="18"/>
          <w:szCs w:val="18"/>
        </w:rPr>
        <w:t>DLG1 and YAP are proteins involved in cell growth and survival. Blocking the interaction or pathway (called the DLG1/YAP axis) that promotes cancer cell proliferation can inhibit tumor growth.</w:t>
      </w:r>
    </w:p>
    <w:p w14:paraId="62FF3F82"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3.2.3 Apoptosis in Leukemia</w:t>
      </w:r>
    </w:p>
    <w:p w14:paraId="7534477F" w14:textId="4D4B9C40" w:rsidR="00BD2F79" w:rsidRPr="00E81D15" w:rsidRDefault="00A3018C" w:rsidP="00BD2F79">
      <w:pPr>
        <w:jc w:val="both"/>
        <w:rPr>
          <w:rFonts w:ascii="Arial" w:hAnsi="Arial" w:cs="Arial"/>
          <w:sz w:val="18"/>
          <w:szCs w:val="18"/>
        </w:rPr>
      </w:pPr>
      <w:r w:rsidRPr="00E81D15">
        <w:rPr>
          <w:rFonts w:ascii="Arial" w:hAnsi="Arial" w:cs="Arial"/>
          <w:sz w:val="18"/>
          <w:szCs w:val="18"/>
        </w:rPr>
        <w:t xml:space="preserve">Promoting apoptosis, or programmed cell death, in leukemia cells aids in the reduction or eradication of the cancer. </w:t>
      </w:r>
      <w:r w:rsidR="00BD2F79" w:rsidRPr="00E81D15">
        <w:rPr>
          <w:rFonts w:ascii="Arial" w:hAnsi="Arial" w:cs="Arial"/>
          <w:sz w:val="18"/>
          <w:szCs w:val="18"/>
        </w:rPr>
        <w:t>ROS-driven, caspase-3-dependent apoptosis in HL</w:t>
      </w:r>
      <w:r w:rsidR="00BD2F79" w:rsidRPr="00E81D15">
        <w:rPr>
          <w:rFonts w:ascii="Arial" w:hAnsi="Arial" w:cs="Arial"/>
          <w:sz w:val="18"/>
          <w:szCs w:val="18"/>
        </w:rPr>
        <w:noBreakHyphen/>
        <w:t>60 cells; counteracted by antioxidants and caspase inhibitors</w:t>
      </w:r>
      <w:r w:rsidRPr="00E81D15">
        <w:rPr>
          <w:rFonts w:ascii="Arial" w:hAnsi="Arial" w:cs="Arial"/>
          <w:sz w:val="18"/>
          <w:szCs w:val="18"/>
        </w:rPr>
        <w:t>.</w:t>
      </w:r>
    </w:p>
    <w:p w14:paraId="71A7DB34"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3.2.4 G</w:t>
      </w:r>
      <w:r w:rsidRPr="00E81D15">
        <w:rPr>
          <w:rFonts w:ascii="Cambria Math" w:hAnsi="Cambria Math" w:cs="Cambria Math"/>
          <w:b/>
          <w:bCs/>
          <w:sz w:val="18"/>
          <w:szCs w:val="18"/>
        </w:rPr>
        <w:t>₂</w:t>
      </w:r>
      <w:r w:rsidRPr="00E81D15">
        <w:rPr>
          <w:rFonts w:ascii="Arial" w:hAnsi="Arial" w:cs="Arial"/>
          <w:b/>
          <w:bCs/>
          <w:sz w:val="18"/>
          <w:szCs w:val="18"/>
        </w:rPr>
        <w:t>/M Arrest &amp; hTERT Inhibition</w:t>
      </w:r>
    </w:p>
    <w:p w14:paraId="4F9154B3" w14:textId="1830E1A4" w:rsidR="00BD2F79" w:rsidRPr="00E81D15" w:rsidRDefault="00A3018C" w:rsidP="00BD2F79">
      <w:pPr>
        <w:jc w:val="both"/>
        <w:rPr>
          <w:rFonts w:ascii="Arial" w:hAnsi="Arial" w:cs="Arial"/>
          <w:sz w:val="18"/>
          <w:szCs w:val="18"/>
        </w:rPr>
      </w:pPr>
      <w:r w:rsidRPr="00E81D15">
        <w:rPr>
          <w:rFonts w:ascii="Arial" w:hAnsi="Arial" w:cs="Arial"/>
          <w:sz w:val="18"/>
          <w:szCs w:val="18"/>
        </w:rPr>
        <w:t>Cell division can be stopped by stopping the cell cycle at the G</w:t>
      </w:r>
      <w:r w:rsidRPr="00E81D15">
        <w:rPr>
          <w:rFonts w:ascii="Cambria Math" w:hAnsi="Cambria Math" w:cs="Cambria Math"/>
          <w:sz w:val="18"/>
          <w:szCs w:val="18"/>
        </w:rPr>
        <w:t>₂</w:t>
      </w:r>
      <w:r w:rsidRPr="00E81D15">
        <w:rPr>
          <w:rFonts w:ascii="Arial" w:hAnsi="Arial" w:cs="Arial"/>
          <w:sz w:val="18"/>
          <w:szCs w:val="18"/>
        </w:rPr>
        <w:t xml:space="preserve">/M phase. Furthermore, cancer cells' capacity to preserve their telomeres is restricted when hTERT (the telomerase enzyme) is blocked, which results in cell aging and death. </w:t>
      </w:r>
      <w:r w:rsidR="00BD2F79" w:rsidRPr="00E81D15">
        <w:rPr>
          <w:rFonts w:ascii="Arial" w:hAnsi="Arial" w:cs="Arial"/>
          <w:sz w:val="18"/>
          <w:szCs w:val="18"/>
        </w:rPr>
        <w:t>Arrests cycle via cyclin B1/Cdc2 and suppresses telomerase activity in leukemia models</w:t>
      </w:r>
      <w:r w:rsidRPr="00E81D15">
        <w:rPr>
          <w:rFonts w:ascii="Arial" w:hAnsi="Arial" w:cs="Arial"/>
          <w:sz w:val="18"/>
          <w:szCs w:val="18"/>
        </w:rPr>
        <w:t>.</w:t>
      </w:r>
    </w:p>
    <w:p w14:paraId="156B25C8"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3.2.5 Wnt/β</w:t>
      </w:r>
      <w:r w:rsidRPr="00E81D15">
        <w:rPr>
          <w:rFonts w:ascii="Arial" w:hAnsi="Arial" w:cs="Arial"/>
          <w:b/>
          <w:bCs/>
          <w:sz w:val="18"/>
          <w:szCs w:val="18"/>
        </w:rPr>
        <w:noBreakHyphen/>
        <w:t>catenin Pathway Suppression</w:t>
      </w:r>
    </w:p>
    <w:p w14:paraId="30E637B6" w14:textId="6980347B" w:rsidR="00DB407B" w:rsidRPr="00E81D15" w:rsidRDefault="00A3018C" w:rsidP="00BD2F79">
      <w:pPr>
        <w:jc w:val="both"/>
        <w:rPr>
          <w:rFonts w:ascii="Arial" w:hAnsi="Arial" w:cs="Arial"/>
          <w:sz w:val="18"/>
          <w:szCs w:val="18"/>
        </w:rPr>
      </w:pPr>
      <w:r w:rsidRPr="00E81D15">
        <w:rPr>
          <w:rFonts w:ascii="Arial" w:hAnsi="Arial" w:cs="Arial"/>
          <w:sz w:val="18"/>
          <w:szCs w:val="18"/>
        </w:rPr>
        <w:t xml:space="preserve">The signaling system of Wnt/β-catenin promotes cell division and proliferation. Cancer cell proliferation can be decreased by inhibiting this mechanism. </w:t>
      </w:r>
      <w:r w:rsidR="00BD2F79" w:rsidRPr="00E81D15">
        <w:rPr>
          <w:rFonts w:ascii="Arial" w:hAnsi="Arial" w:cs="Arial"/>
          <w:sz w:val="18"/>
          <w:szCs w:val="18"/>
        </w:rPr>
        <w:t>Enhances CK1α-mediated β</w:t>
      </w:r>
      <w:r w:rsidR="00BD2F79" w:rsidRPr="00E81D15">
        <w:rPr>
          <w:rFonts w:ascii="Arial" w:hAnsi="Arial" w:cs="Arial"/>
          <w:sz w:val="18"/>
          <w:szCs w:val="18"/>
        </w:rPr>
        <w:noBreakHyphen/>
        <w:t>catenin phosphorylation, promoting degradation and reducing c-Myc and cyclin D1 in colon cancer</w:t>
      </w:r>
      <w:r w:rsidR="00EA2745" w:rsidRPr="00E81D15">
        <w:rPr>
          <w:rFonts w:ascii="Arial" w:hAnsi="Arial" w:cs="Arial"/>
          <w:sz w:val="18"/>
          <w:szCs w:val="18"/>
        </w:rPr>
        <w:t>.</w:t>
      </w:r>
    </w:p>
    <w:p w14:paraId="4A951976" w14:textId="37423B53" w:rsidR="00BD2F79" w:rsidRPr="00E81D15" w:rsidRDefault="00DB407B" w:rsidP="00DB407B">
      <w:pPr>
        <w:jc w:val="center"/>
        <w:rPr>
          <w:rFonts w:ascii="Arial" w:hAnsi="Arial" w:cs="Arial"/>
          <w:sz w:val="18"/>
          <w:szCs w:val="18"/>
        </w:rPr>
      </w:pPr>
      <w:r w:rsidRPr="00E81D15">
        <w:rPr>
          <w:rFonts w:ascii="Arial" w:hAnsi="Arial" w:cs="Arial"/>
          <w:noProof/>
          <w:lang w:val="en-IN" w:eastAsia="en-IN" w:bidi="hi-IN"/>
        </w:rPr>
        <w:lastRenderedPageBreak/>
        <w:drawing>
          <wp:inline distT="0" distB="0" distL="0" distR="0" wp14:anchorId="7EFC1C56" wp14:editId="0DE4F5C1">
            <wp:extent cx="4113530" cy="2414868"/>
            <wp:effectExtent l="19050" t="19050" r="1270" b="5080"/>
            <wp:docPr id="16" name="Picture 10" descr="jhoonline.biomed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hoonline.biomedcentral...."/>
                    <pic:cNvPicPr>
                      <a:picLocks noChangeAspect="1" noChangeArrowheads="1"/>
                    </pic:cNvPicPr>
                  </pic:nvPicPr>
                  <pic:blipFill>
                    <a:blip r:embed="rId15" cstate="print">
                      <a:alphaModFix amt="85000"/>
                      <a:extLst>
                        <a:ext uri="{28A0092B-C50C-407E-A947-70E740481C1C}">
                          <a14:useLocalDpi xmlns:a14="http://schemas.microsoft.com/office/drawing/2010/main" val="0"/>
                        </a:ext>
                      </a:extLst>
                    </a:blip>
                    <a:srcRect/>
                    <a:stretch>
                      <a:fillRect/>
                    </a:stretch>
                  </pic:blipFill>
                  <pic:spPr bwMode="auto">
                    <a:xfrm>
                      <a:off x="0" y="0"/>
                      <a:ext cx="4132509" cy="2426010"/>
                    </a:xfrm>
                    <a:prstGeom prst="rect">
                      <a:avLst/>
                    </a:prstGeom>
                    <a:noFill/>
                    <a:ln>
                      <a:solidFill>
                        <a:schemeClr val="tx1">
                          <a:lumMod val="95000"/>
                          <a:lumOff val="5000"/>
                        </a:schemeClr>
                      </a:solidFill>
                    </a:ln>
                  </pic:spPr>
                </pic:pic>
              </a:graphicData>
            </a:graphic>
          </wp:inline>
        </w:drawing>
      </w:r>
      <w:r w:rsidR="00BD2F79" w:rsidRPr="00E81D15">
        <w:rPr>
          <w:rFonts w:ascii="Arial" w:hAnsi="Arial" w:cs="Arial"/>
          <w:sz w:val="18"/>
          <w:szCs w:val="18"/>
        </w:rPr>
        <w:br/>
      </w:r>
      <w:commentRangeStart w:id="9"/>
      <w:r w:rsidR="00EB53A2" w:rsidRPr="00E81D15">
        <w:rPr>
          <w:rFonts w:ascii="Arial" w:hAnsi="Arial" w:cs="Arial"/>
          <w:sz w:val="18"/>
          <w:szCs w:val="18"/>
        </w:rPr>
        <w:t xml:space="preserve">Fig.no:4 </w:t>
      </w:r>
      <w:proofErr w:type="spellStart"/>
      <w:r w:rsidR="00EB53A2" w:rsidRPr="00E81D15">
        <w:rPr>
          <w:rFonts w:ascii="Arial" w:hAnsi="Arial" w:cs="Arial"/>
          <w:sz w:val="18"/>
          <w:szCs w:val="18"/>
        </w:rPr>
        <w:t>Wnt</w:t>
      </w:r>
      <w:proofErr w:type="spellEnd"/>
      <w:r w:rsidR="00BD2F79" w:rsidRPr="00E81D15">
        <w:rPr>
          <w:rFonts w:ascii="Arial" w:hAnsi="Arial" w:cs="Arial"/>
          <w:sz w:val="18"/>
          <w:szCs w:val="18"/>
        </w:rPr>
        <w:t>/β</w:t>
      </w:r>
      <w:r w:rsidR="00BD2F79" w:rsidRPr="00E81D15">
        <w:rPr>
          <w:rFonts w:ascii="Arial" w:hAnsi="Arial" w:cs="Arial"/>
          <w:sz w:val="18"/>
          <w:szCs w:val="18"/>
        </w:rPr>
        <w:noBreakHyphen/>
        <w:t xml:space="preserve">Catenin </w:t>
      </w:r>
      <w:commentRangeEnd w:id="9"/>
      <w:r w:rsidR="00F06034">
        <w:rPr>
          <w:rStyle w:val="CommentReference"/>
          <w:rFonts w:ascii="Calibri" w:eastAsia="MS Mincho" w:hAnsi="Calibri" w:cs="Arial"/>
          <w:lang w:val="en-NZ"/>
        </w:rPr>
        <w:commentReference w:id="9"/>
      </w:r>
      <w:r w:rsidR="00BD2F79" w:rsidRPr="00E81D15">
        <w:rPr>
          <w:rFonts w:ascii="Arial" w:hAnsi="Arial" w:cs="Arial"/>
          <w:sz w:val="18"/>
          <w:szCs w:val="18"/>
        </w:rPr>
        <w:t>Inhibition by Z</w:t>
      </w:r>
      <w:r w:rsidR="00BD2F79" w:rsidRPr="00E81D15">
        <w:rPr>
          <w:rFonts w:ascii="Arial" w:hAnsi="Arial" w:cs="Arial"/>
          <w:sz w:val="18"/>
          <w:szCs w:val="18"/>
        </w:rPr>
        <w:noBreakHyphen/>
      </w:r>
      <w:proofErr w:type="spellStart"/>
      <w:r w:rsidR="00BD2F79" w:rsidRPr="00E81D15">
        <w:rPr>
          <w:rFonts w:ascii="Arial" w:hAnsi="Arial" w:cs="Arial"/>
          <w:sz w:val="18"/>
          <w:szCs w:val="18"/>
        </w:rPr>
        <w:t>Ajoene</w:t>
      </w:r>
      <w:proofErr w:type="spellEnd"/>
    </w:p>
    <w:p w14:paraId="54FE995C"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3.2.6 Cytoskeletal Disruption</w:t>
      </w:r>
    </w:p>
    <w:p w14:paraId="464E41ED" w14:textId="1BCAE5F9" w:rsidR="00BD2F79" w:rsidRPr="00E81D15" w:rsidRDefault="00A3018C" w:rsidP="00BD2F79">
      <w:pPr>
        <w:jc w:val="both"/>
        <w:rPr>
          <w:rFonts w:ascii="Arial" w:hAnsi="Arial" w:cs="Arial"/>
          <w:sz w:val="18"/>
          <w:szCs w:val="18"/>
        </w:rPr>
      </w:pPr>
      <w:r w:rsidRPr="00E81D15">
        <w:rPr>
          <w:rFonts w:ascii="Arial" w:hAnsi="Arial" w:cs="Arial"/>
          <w:sz w:val="18"/>
          <w:szCs w:val="18"/>
        </w:rPr>
        <w:t xml:space="preserve">Cell mobility and shape are preserved by the cytoskeleton. By interfering with its migration and invasion, cancer cells can be prevented from spreading. </w:t>
      </w:r>
      <w:r w:rsidR="00BD2F79" w:rsidRPr="00E81D15">
        <w:rPr>
          <w:rFonts w:ascii="Arial" w:hAnsi="Arial" w:cs="Arial"/>
          <w:sz w:val="18"/>
          <w:szCs w:val="18"/>
        </w:rPr>
        <w:t>Modifies vimentin to hinder motility and metastasis in breast/esophageal cancers</w:t>
      </w:r>
      <w:r w:rsidRPr="00E81D15">
        <w:rPr>
          <w:rFonts w:ascii="Arial" w:hAnsi="Arial" w:cs="Arial"/>
          <w:sz w:val="18"/>
          <w:szCs w:val="18"/>
        </w:rPr>
        <w:t>.</w:t>
      </w:r>
    </w:p>
    <w:p w14:paraId="43440354"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 xml:space="preserve">3.2.7 </w:t>
      </w:r>
      <w:commentRangeStart w:id="10"/>
      <w:r w:rsidRPr="00E81D15">
        <w:rPr>
          <w:rFonts w:ascii="Arial" w:hAnsi="Arial" w:cs="Arial"/>
          <w:b/>
          <w:bCs/>
          <w:sz w:val="18"/>
          <w:szCs w:val="18"/>
        </w:rPr>
        <w:t>CSC</w:t>
      </w:r>
      <w:commentRangeEnd w:id="10"/>
      <w:r w:rsidR="00F06034">
        <w:rPr>
          <w:rStyle w:val="CommentReference"/>
          <w:rFonts w:ascii="Calibri" w:eastAsia="MS Mincho" w:hAnsi="Calibri" w:cs="Arial"/>
          <w:lang w:val="en-NZ"/>
        </w:rPr>
        <w:commentReference w:id="10"/>
      </w:r>
      <w:r w:rsidRPr="00E81D15">
        <w:rPr>
          <w:rFonts w:ascii="Arial" w:hAnsi="Arial" w:cs="Arial"/>
          <w:b/>
          <w:bCs/>
          <w:sz w:val="18"/>
          <w:szCs w:val="18"/>
        </w:rPr>
        <w:t xml:space="preserve"> Targeting</w:t>
      </w:r>
    </w:p>
    <w:p w14:paraId="23408C60" w14:textId="329C97F5" w:rsidR="00BD2F79" w:rsidRPr="00E81D15" w:rsidRDefault="00FE63EC" w:rsidP="00BD2F79">
      <w:pPr>
        <w:jc w:val="both"/>
        <w:rPr>
          <w:rFonts w:ascii="Arial" w:hAnsi="Arial" w:cs="Arial"/>
          <w:sz w:val="18"/>
          <w:szCs w:val="18"/>
        </w:rPr>
      </w:pPr>
      <w:r w:rsidRPr="00E81D15">
        <w:rPr>
          <w:rFonts w:ascii="Arial" w:hAnsi="Arial" w:cs="Arial"/>
          <w:sz w:val="18"/>
          <w:szCs w:val="18"/>
        </w:rPr>
        <w:t xml:space="preserve">A tiny subset of tumor cells called cancer stem cells has the ability to regenerate the malignancy. The goal of targeting these cells is to enhance therapy results and stop tumor recurrence. </w:t>
      </w:r>
      <w:r w:rsidR="00BD2F79" w:rsidRPr="00E81D15">
        <w:rPr>
          <w:rFonts w:ascii="Arial" w:hAnsi="Arial" w:cs="Arial"/>
          <w:sz w:val="18"/>
          <w:szCs w:val="18"/>
        </w:rPr>
        <w:t>Affects glioblastoma CSCs (CD133+/ALDH+) by inhibiting AKT, TGF-β, Notch, Hedgehog, while activating ERK/p38</w:t>
      </w:r>
      <w:r w:rsidRPr="00E81D15">
        <w:rPr>
          <w:rFonts w:ascii="Arial" w:hAnsi="Arial" w:cs="Arial"/>
          <w:sz w:val="18"/>
          <w:szCs w:val="18"/>
        </w:rPr>
        <w:t>.</w:t>
      </w:r>
    </w:p>
    <w:p w14:paraId="7E561710"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3.2.8 Antioxidant/Cytotoxic Duality</w:t>
      </w:r>
    </w:p>
    <w:p w14:paraId="47BFB8FF" w14:textId="45CEE6BB" w:rsidR="00BD2F79" w:rsidRPr="00E81D15" w:rsidRDefault="00FE63EC" w:rsidP="00BD2F79">
      <w:pPr>
        <w:jc w:val="both"/>
        <w:rPr>
          <w:rFonts w:ascii="Arial" w:hAnsi="Arial" w:cs="Arial"/>
          <w:sz w:val="18"/>
          <w:szCs w:val="18"/>
        </w:rPr>
      </w:pPr>
      <w:r w:rsidRPr="00E81D15">
        <w:rPr>
          <w:rFonts w:ascii="Arial" w:hAnsi="Arial" w:cs="Arial"/>
          <w:sz w:val="18"/>
          <w:szCs w:val="18"/>
        </w:rPr>
        <w:t xml:space="preserve">Certain substances have the capacity to kill cancer cells (cytotoxic effect) as well as neutralize dangerous reactive oxygen species (antioxidant effect). This dual function can attack cancer cells while defending healthy cells. </w:t>
      </w:r>
      <w:r w:rsidR="00BD2F79" w:rsidRPr="00E81D15">
        <w:rPr>
          <w:rFonts w:ascii="Arial" w:hAnsi="Arial" w:cs="Arial"/>
          <w:sz w:val="18"/>
          <w:szCs w:val="18"/>
        </w:rPr>
        <w:t>ERK–Nrf2–NQO1 activation at low doses vs ROS-mediated apoptosis at higher exposures</w:t>
      </w:r>
      <w:r w:rsidR="00EA2745" w:rsidRPr="00E81D15">
        <w:rPr>
          <w:rFonts w:ascii="Arial" w:hAnsi="Arial" w:cs="Arial"/>
          <w:sz w:val="18"/>
          <w:szCs w:val="18"/>
        </w:rPr>
        <w:t xml:space="preserve"> </w:t>
      </w:r>
      <w:r w:rsidR="00BD2F79" w:rsidRPr="00E81D15">
        <w:rPr>
          <w:rFonts w:ascii="Arial" w:hAnsi="Arial" w:cs="Arial"/>
          <w:sz w:val="18"/>
          <w:szCs w:val="18"/>
        </w:rPr>
        <w:t>[</w:t>
      </w:r>
      <w:r w:rsidRPr="00E81D15">
        <w:rPr>
          <w:rFonts w:ascii="Arial" w:hAnsi="Arial" w:cs="Arial"/>
          <w:sz w:val="18"/>
          <w:szCs w:val="18"/>
        </w:rPr>
        <w:t xml:space="preserve"> Wamidh H. Talib 2024]</w:t>
      </w:r>
    </w:p>
    <w:p w14:paraId="2128F5F7" w14:textId="77777777" w:rsidR="00BD2F79" w:rsidRPr="00DB407B" w:rsidRDefault="00BD2F79" w:rsidP="00DB407B">
      <w:pPr>
        <w:pStyle w:val="Heading2"/>
        <w:rPr>
          <w:rFonts w:eastAsia="Times New Roman" w:cs="Arial"/>
          <w:caps/>
          <w:sz w:val="20"/>
          <w:szCs w:val="20"/>
        </w:rPr>
      </w:pPr>
    </w:p>
    <w:p w14:paraId="711D9AFB" w14:textId="446A6D03" w:rsidR="00BD2F79" w:rsidRPr="00DB407B" w:rsidRDefault="00BD2F79" w:rsidP="00F2265C">
      <w:pPr>
        <w:pStyle w:val="Heading2"/>
        <w:rPr>
          <w:rFonts w:eastAsia="Times New Roman" w:cs="Arial"/>
          <w:caps/>
          <w:sz w:val="20"/>
          <w:szCs w:val="20"/>
        </w:rPr>
      </w:pPr>
      <w:r w:rsidRPr="00DB407B">
        <w:rPr>
          <w:rFonts w:eastAsia="Times New Roman" w:cs="Arial"/>
          <w:caps/>
          <w:sz w:val="20"/>
          <w:szCs w:val="20"/>
        </w:rPr>
        <w:t>4. Comparative Analysis</w:t>
      </w:r>
    </w:p>
    <w:p w14:paraId="06192458" w14:textId="77777777" w:rsidR="00F2265C" w:rsidRPr="00F2265C" w:rsidRDefault="00F2265C" w:rsidP="00F2265C"/>
    <w:tbl>
      <w:tblPr>
        <w:tblStyle w:val="GridTable1Light"/>
        <w:tblW w:w="0" w:type="auto"/>
        <w:tblLook w:val="04A0" w:firstRow="1" w:lastRow="0" w:firstColumn="1" w:lastColumn="0" w:noHBand="0" w:noVBand="1"/>
      </w:tblPr>
      <w:tblGrid>
        <w:gridCol w:w="1947"/>
        <w:gridCol w:w="1931"/>
        <w:gridCol w:w="2818"/>
      </w:tblGrid>
      <w:tr w:rsidR="00BD2F79" w:rsidRPr="00BD2F79" w14:paraId="2FADF7F7" w14:textId="77777777" w:rsidTr="00DB407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hideMark/>
          </w:tcPr>
          <w:p w14:paraId="17CF7A7C" w14:textId="77777777" w:rsidR="00BD2F79" w:rsidRPr="00BD2F79" w:rsidRDefault="00BD2F79" w:rsidP="00BD2F79">
            <w:pPr>
              <w:jc w:val="both"/>
              <w:rPr>
                <w:rFonts w:ascii="Arial" w:eastAsia="Times New Roman" w:hAnsi="Arial" w:cs="Arial"/>
                <w:b w:val="0"/>
                <w:bCs w:val="0"/>
                <w:sz w:val="18"/>
                <w:szCs w:val="18"/>
              </w:rPr>
            </w:pPr>
            <w:r w:rsidRPr="00BD2F79">
              <w:rPr>
                <w:rFonts w:ascii="Arial" w:eastAsia="Times New Roman" w:hAnsi="Arial" w:cs="Arial"/>
                <w:sz w:val="18"/>
                <w:szCs w:val="18"/>
              </w:rPr>
              <w:lastRenderedPageBreak/>
              <w:t>Characteristic</w:t>
            </w:r>
          </w:p>
        </w:tc>
        <w:tc>
          <w:tcPr>
            <w:tcW w:w="0" w:type="auto"/>
            <w:hideMark/>
          </w:tcPr>
          <w:p w14:paraId="0D9A9EB9" w14:textId="77777777" w:rsidR="00BD2F79" w:rsidRPr="00BD2F79" w:rsidRDefault="00BD2F79" w:rsidP="00BD2F79">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8"/>
                <w:szCs w:val="18"/>
              </w:rPr>
            </w:pPr>
            <w:r w:rsidRPr="00BD2F79">
              <w:rPr>
                <w:rFonts w:ascii="Arial" w:eastAsia="Times New Roman" w:hAnsi="Arial" w:cs="Arial"/>
                <w:sz w:val="18"/>
                <w:szCs w:val="18"/>
              </w:rPr>
              <w:t>Allicin</w:t>
            </w:r>
          </w:p>
        </w:tc>
        <w:tc>
          <w:tcPr>
            <w:tcW w:w="0" w:type="auto"/>
            <w:hideMark/>
          </w:tcPr>
          <w:p w14:paraId="7FC7D11B" w14:textId="77777777" w:rsidR="00BD2F79" w:rsidRPr="00BD2F79" w:rsidRDefault="00BD2F79" w:rsidP="00BD2F79">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8"/>
                <w:szCs w:val="18"/>
              </w:rPr>
            </w:pPr>
            <w:r w:rsidRPr="00BD2F79">
              <w:rPr>
                <w:rFonts w:ascii="Arial" w:eastAsia="Times New Roman" w:hAnsi="Arial" w:cs="Arial"/>
                <w:sz w:val="18"/>
                <w:szCs w:val="18"/>
              </w:rPr>
              <w:t>Z</w:t>
            </w:r>
            <w:r w:rsidRPr="00BD2F79">
              <w:rPr>
                <w:rFonts w:ascii="Arial" w:eastAsia="Times New Roman" w:hAnsi="Arial" w:cs="Arial"/>
                <w:sz w:val="18"/>
                <w:szCs w:val="18"/>
              </w:rPr>
              <w:noBreakHyphen/>
              <w:t>Ajoene</w:t>
            </w:r>
          </w:p>
        </w:tc>
      </w:tr>
      <w:tr w:rsidR="00BD2F79" w:rsidRPr="00BD2F79" w14:paraId="1CED5830" w14:textId="77777777" w:rsidTr="00DB407B">
        <w:tc>
          <w:tcPr>
            <w:cnfStyle w:val="001000000000" w:firstRow="0" w:lastRow="0" w:firstColumn="1" w:lastColumn="0" w:oddVBand="0" w:evenVBand="0" w:oddHBand="0" w:evenHBand="0" w:firstRowFirstColumn="0" w:firstRowLastColumn="0" w:lastRowFirstColumn="0" w:lastRowLastColumn="0"/>
            <w:tcW w:w="0" w:type="auto"/>
            <w:hideMark/>
          </w:tcPr>
          <w:p w14:paraId="400E7BA6" w14:textId="77777777" w:rsidR="00BD2F79" w:rsidRPr="00BD2F79" w:rsidRDefault="00BD2F79" w:rsidP="00BD2F79">
            <w:pPr>
              <w:jc w:val="both"/>
              <w:rPr>
                <w:rFonts w:ascii="Arial" w:eastAsia="Times New Roman" w:hAnsi="Arial" w:cs="Arial"/>
                <w:sz w:val="18"/>
                <w:szCs w:val="18"/>
              </w:rPr>
            </w:pPr>
            <w:r w:rsidRPr="00BD2F79">
              <w:rPr>
                <w:rFonts w:ascii="Arial" w:eastAsia="Times New Roman" w:hAnsi="Arial" w:cs="Arial"/>
                <w:sz w:val="18"/>
                <w:szCs w:val="18"/>
              </w:rPr>
              <w:t>Stability</w:t>
            </w:r>
          </w:p>
        </w:tc>
        <w:tc>
          <w:tcPr>
            <w:tcW w:w="0" w:type="auto"/>
            <w:hideMark/>
          </w:tcPr>
          <w:p w14:paraId="06AA5CA2"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Unstable; rapidly degraded</w:t>
            </w:r>
          </w:p>
        </w:tc>
        <w:tc>
          <w:tcPr>
            <w:tcW w:w="0" w:type="auto"/>
            <w:hideMark/>
          </w:tcPr>
          <w:p w14:paraId="50B077B6"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Stable; suitable for oral formulations</w:t>
            </w:r>
          </w:p>
        </w:tc>
      </w:tr>
      <w:tr w:rsidR="00BD2F79" w:rsidRPr="00BD2F79" w14:paraId="19950324" w14:textId="77777777" w:rsidTr="00DB407B">
        <w:tc>
          <w:tcPr>
            <w:cnfStyle w:val="001000000000" w:firstRow="0" w:lastRow="0" w:firstColumn="1" w:lastColumn="0" w:oddVBand="0" w:evenVBand="0" w:oddHBand="0" w:evenHBand="0" w:firstRowFirstColumn="0" w:firstRowLastColumn="0" w:lastRowFirstColumn="0" w:lastRowLastColumn="0"/>
            <w:tcW w:w="0" w:type="auto"/>
            <w:hideMark/>
          </w:tcPr>
          <w:p w14:paraId="585CDF76" w14:textId="77777777" w:rsidR="00BD2F79" w:rsidRPr="00BD2F79" w:rsidRDefault="00BD2F79" w:rsidP="00BD2F79">
            <w:pPr>
              <w:jc w:val="both"/>
              <w:rPr>
                <w:rFonts w:ascii="Arial" w:eastAsia="Times New Roman" w:hAnsi="Arial" w:cs="Arial"/>
                <w:sz w:val="18"/>
                <w:szCs w:val="18"/>
              </w:rPr>
            </w:pPr>
            <w:r w:rsidRPr="00BD2F79">
              <w:rPr>
                <w:rFonts w:ascii="Arial" w:eastAsia="Times New Roman" w:hAnsi="Arial" w:cs="Arial"/>
                <w:sz w:val="18"/>
                <w:szCs w:val="18"/>
              </w:rPr>
              <w:t>Mechanism Breadth</w:t>
            </w:r>
          </w:p>
        </w:tc>
        <w:tc>
          <w:tcPr>
            <w:tcW w:w="0" w:type="auto"/>
            <w:hideMark/>
          </w:tcPr>
          <w:p w14:paraId="7DF58A47"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Broad thiol reactivity, apoptosis</w:t>
            </w:r>
          </w:p>
        </w:tc>
        <w:tc>
          <w:tcPr>
            <w:tcW w:w="0" w:type="auto"/>
            <w:hideMark/>
          </w:tcPr>
          <w:p w14:paraId="4FC6D2E2"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ER stress, Wnt inhibition, cytoskeletal and CSC targeting</w:t>
            </w:r>
          </w:p>
        </w:tc>
      </w:tr>
      <w:tr w:rsidR="00BD2F79" w:rsidRPr="00BD2F79" w14:paraId="2F70515B" w14:textId="77777777" w:rsidTr="00DB407B">
        <w:tc>
          <w:tcPr>
            <w:cnfStyle w:val="001000000000" w:firstRow="0" w:lastRow="0" w:firstColumn="1" w:lastColumn="0" w:oddVBand="0" w:evenVBand="0" w:oddHBand="0" w:evenHBand="0" w:firstRowFirstColumn="0" w:firstRowLastColumn="0" w:lastRowFirstColumn="0" w:lastRowLastColumn="0"/>
            <w:tcW w:w="0" w:type="auto"/>
            <w:hideMark/>
          </w:tcPr>
          <w:p w14:paraId="04A64A28" w14:textId="77777777" w:rsidR="00BD2F79" w:rsidRPr="00BD2F79" w:rsidRDefault="00BD2F79" w:rsidP="00BD2F79">
            <w:pPr>
              <w:jc w:val="both"/>
              <w:rPr>
                <w:rFonts w:ascii="Arial" w:eastAsia="Times New Roman" w:hAnsi="Arial" w:cs="Arial"/>
                <w:sz w:val="18"/>
                <w:szCs w:val="18"/>
              </w:rPr>
            </w:pPr>
            <w:r w:rsidRPr="00BD2F79">
              <w:rPr>
                <w:rFonts w:ascii="Arial" w:eastAsia="Times New Roman" w:hAnsi="Arial" w:cs="Arial"/>
                <w:sz w:val="18"/>
                <w:szCs w:val="18"/>
              </w:rPr>
              <w:t>Chemoresistance Effect</w:t>
            </w:r>
          </w:p>
        </w:tc>
        <w:tc>
          <w:tcPr>
            <w:tcW w:w="0" w:type="auto"/>
            <w:hideMark/>
          </w:tcPr>
          <w:p w14:paraId="7A779E58"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Reverses NSCLC drug resistance</w:t>
            </w:r>
          </w:p>
        </w:tc>
        <w:tc>
          <w:tcPr>
            <w:tcW w:w="0" w:type="auto"/>
            <w:hideMark/>
          </w:tcPr>
          <w:p w14:paraId="5A02908D"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Synergizes with chemotherapy; CSC elimination possible</w:t>
            </w:r>
          </w:p>
        </w:tc>
      </w:tr>
      <w:tr w:rsidR="00BD2F79" w:rsidRPr="00BD2F79" w14:paraId="1FFBC8D6" w14:textId="77777777" w:rsidTr="00DB407B">
        <w:tc>
          <w:tcPr>
            <w:cnfStyle w:val="001000000000" w:firstRow="0" w:lastRow="0" w:firstColumn="1" w:lastColumn="0" w:oddVBand="0" w:evenVBand="0" w:oddHBand="0" w:evenHBand="0" w:firstRowFirstColumn="0" w:firstRowLastColumn="0" w:lastRowFirstColumn="0" w:lastRowLastColumn="0"/>
            <w:tcW w:w="0" w:type="auto"/>
            <w:hideMark/>
          </w:tcPr>
          <w:p w14:paraId="02EDEBA0" w14:textId="77777777" w:rsidR="00BD2F79" w:rsidRPr="00BD2F79" w:rsidRDefault="00BD2F79" w:rsidP="00BD2F79">
            <w:pPr>
              <w:jc w:val="both"/>
              <w:rPr>
                <w:rFonts w:ascii="Arial" w:eastAsia="Times New Roman" w:hAnsi="Arial" w:cs="Arial"/>
                <w:sz w:val="18"/>
                <w:szCs w:val="18"/>
              </w:rPr>
            </w:pPr>
            <w:r w:rsidRPr="00BD2F79">
              <w:rPr>
                <w:rFonts w:ascii="Arial" w:eastAsia="Times New Roman" w:hAnsi="Arial" w:cs="Arial"/>
                <w:sz w:val="18"/>
                <w:szCs w:val="18"/>
              </w:rPr>
              <w:t>Bioavailability</w:t>
            </w:r>
          </w:p>
        </w:tc>
        <w:tc>
          <w:tcPr>
            <w:tcW w:w="0" w:type="auto"/>
            <w:hideMark/>
          </w:tcPr>
          <w:p w14:paraId="7C750B40"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Enhanced via nanocarriers</w:t>
            </w:r>
          </w:p>
        </w:tc>
        <w:tc>
          <w:tcPr>
            <w:tcW w:w="0" w:type="auto"/>
            <w:hideMark/>
          </w:tcPr>
          <w:p w14:paraId="313D83F3" w14:textId="77777777" w:rsidR="00BD2F79" w:rsidRPr="00BD2F79" w:rsidRDefault="00BD2F79" w:rsidP="00BD2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D2F79">
              <w:rPr>
                <w:rFonts w:ascii="Arial" w:eastAsia="Times New Roman" w:hAnsi="Arial" w:cs="Arial"/>
                <w:sz w:val="18"/>
                <w:szCs w:val="18"/>
              </w:rPr>
              <w:t>Drinkable/oil formulations viable</w:t>
            </w:r>
          </w:p>
        </w:tc>
      </w:tr>
    </w:tbl>
    <w:p w14:paraId="19547F21" w14:textId="77777777" w:rsidR="00BD2F79" w:rsidRPr="00BD2F79" w:rsidRDefault="00BD2F79" w:rsidP="00BD2F79">
      <w:pPr>
        <w:jc w:val="both"/>
        <w:rPr>
          <w:rFonts w:ascii="Arial" w:hAnsi="Arial" w:cs="Arial"/>
          <w:sz w:val="18"/>
          <w:szCs w:val="18"/>
        </w:rPr>
      </w:pPr>
    </w:p>
    <w:p w14:paraId="599DD01B" w14:textId="77777777" w:rsidR="00BD2F79" w:rsidRDefault="00BD2F79" w:rsidP="00BD2F79">
      <w:pPr>
        <w:pStyle w:val="Heading2"/>
        <w:rPr>
          <w:rFonts w:eastAsia="Times New Roman" w:cs="Arial"/>
          <w:caps/>
          <w:sz w:val="20"/>
          <w:szCs w:val="20"/>
        </w:rPr>
      </w:pPr>
      <w:r w:rsidRPr="00DB407B">
        <w:rPr>
          <w:rFonts w:eastAsia="Times New Roman" w:cs="Arial"/>
          <w:caps/>
          <w:sz w:val="20"/>
          <w:szCs w:val="20"/>
        </w:rPr>
        <w:t>5. Translational &amp; Clinical Perspectives</w:t>
      </w:r>
    </w:p>
    <w:p w14:paraId="3CD51FC7" w14:textId="77777777" w:rsidR="001A6EB5" w:rsidRPr="001A6EB5" w:rsidRDefault="001A6EB5" w:rsidP="001A6EB5"/>
    <w:p w14:paraId="164581B7" w14:textId="77777777" w:rsidR="00BD2F79" w:rsidRPr="00E81D15" w:rsidRDefault="00BD2F79" w:rsidP="00BD2F79">
      <w:pPr>
        <w:jc w:val="both"/>
        <w:rPr>
          <w:rFonts w:ascii="Arial" w:hAnsi="Arial" w:cs="Arial"/>
          <w:b/>
          <w:bCs/>
          <w:sz w:val="18"/>
          <w:szCs w:val="18"/>
        </w:rPr>
      </w:pPr>
      <w:r w:rsidRPr="00E81D15">
        <w:rPr>
          <w:rFonts w:ascii="Arial" w:hAnsi="Arial" w:cs="Arial"/>
          <w:b/>
          <w:bCs/>
          <w:sz w:val="18"/>
          <w:szCs w:val="18"/>
        </w:rPr>
        <w:t>5.1 Advanced Formulations</w:t>
      </w:r>
    </w:p>
    <w:p w14:paraId="038DFE29" w14:textId="010749F2" w:rsidR="00BD2F79" w:rsidRPr="00E81D15" w:rsidRDefault="00BD2F79" w:rsidP="00C735C2">
      <w:pPr>
        <w:widowControl w:val="0"/>
        <w:numPr>
          <w:ilvl w:val="0"/>
          <w:numId w:val="17"/>
        </w:numPr>
        <w:spacing w:after="160" w:line="278" w:lineRule="auto"/>
        <w:jc w:val="both"/>
        <w:rPr>
          <w:rFonts w:ascii="Arial" w:hAnsi="Arial" w:cs="Arial"/>
          <w:sz w:val="18"/>
          <w:szCs w:val="18"/>
        </w:rPr>
      </w:pPr>
      <w:r w:rsidRPr="00E81D15">
        <w:rPr>
          <w:rFonts w:ascii="Arial" w:hAnsi="Arial" w:cs="Arial"/>
          <w:b/>
          <w:bCs/>
          <w:sz w:val="18"/>
          <w:szCs w:val="18"/>
        </w:rPr>
        <w:t>Allicin</w:t>
      </w:r>
      <w:r w:rsidRPr="00E81D15">
        <w:rPr>
          <w:rFonts w:ascii="Arial" w:hAnsi="Arial" w:cs="Arial"/>
          <w:sz w:val="18"/>
          <w:szCs w:val="18"/>
        </w:rPr>
        <w:t xml:space="preserve">: </w:t>
      </w:r>
      <w:r w:rsidR="00FE63EC" w:rsidRPr="00E81D15">
        <w:rPr>
          <w:rFonts w:ascii="Arial" w:hAnsi="Arial" w:cs="Arial"/>
          <w:sz w:val="18"/>
          <w:szCs w:val="18"/>
        </w:rPr>
        <w:t>Computational analyses show that, in comparison to free allicin, the development of nanocomplexes such as Allicin/C</w:t>
      </w:r>
      <w:r w:rsidR="00FE63EC" w:rsidRPr="00E81D15">
        <w:rPr>
          <w:rFonts w:ascii="Cambria Math" w:hAnsi="Cambria Math" w:cs="Cambria Math"/>
          <w:sz w:val="18"/>
          <w:szCs w:val="18"/>
        </w:rPr>
        <w:t>₂₄</w:t>
      </w:r>
      <w:r w:rsidR="00FE63EC" w:rsidRPr="00E81D15">
        <w:rPr>
          <w:rFonts w:ascii="Arial" w:hAnsi="Arial" w:cs="Arial"/>
          <w:sz w:val="18"/>
          <w:szCs w:val="18"/>
        </w:rPr>
        <w:t>, Allicin/B</w:t>
      </w:r>
      <w:r w:rsidR="00FE63EC" w:rsidRPr="00E81D15">
        <w:rPr>
          <w:rFonts w:ascii="Cambria Math" w:hAnsi="Cambria Math" w:cs="Cambria Math"/>
          <w:sz w:val="18"/>
          <w:szCs w:val="18"/>
        </w:rPr>
        <w:t>₁₂</w:t>
      </w:r>
      <w:r w:rsidR="00FE63EC" w:rsidRPr="00E81D15">
        <w:rPr>
          <w:rFonts w:ascii="Arial" w:hAnsi="Arial" w:cs="Arial"/>
          <w:sz w:val="18"/>
          <w:szCs w:val="18"/>
        </w:rPr>
        <w:t>N</w:t>
      </w:r>
      <w:r w:rsidR="00FE63EC" w:rsidRPr="00E81D15">
        <w:rPr>
          <w:rFonts w:ascii="Cambria Math" w:hAnsi="Cambria Math" w:cs="Cambria Math"/>
          <w:sz w:val="18"/>
          <w:szCs w:val="18"/>
        </w:rPr>
        <w:t>₁₂</w:t>
      </w:r>
      <w:r w:rsidR="00FE63EC" w:rsidRPr="00E81D15">
        <w:rPr>
          <w:rFonts w:ascii="Arial" w:hAnsi="Arial" w:cs="Arial"/>
          <w:sz w:val="18"/>
          <w:szCs w:val="18"/>
        </w:rPr>
        <w:t>, and Allicin/Al</w:t>
      </w:r>
      <w:r w:rsidR="00FE63EC" w:rsidRPr="00E81D15">
        <w:rPr>
          <w:rFonts w:ascii="Cambria Math" w:hAnsi="Cambria Math" w:cs="Cambria Math"/>
          <w:sz w:val="18"/>
          <w:szCs w:val="18"/>
        </w:rPr>
        <w:t>₁₂</w:t>
      </w:r>
      <w:r w:rsidR="00FE63EC" w:rsidRPr="00E81D15">
        <w:rPr>
          <w:rFonts w:ascii="Arial" w:hAnsi="Arial" w:cs="Arial"/>
          <w:sz w:val="18"/>
          <w:szCs w:val="18"/>
        </w:rPr>
        <w:t>N</w:t>
      </w:r>
      <w:r w:rsidR="00FE63EC" w:rsidRPr="00E81D15">
        <w:rPr>
          <w:rFonts w:ascii="Cambria Math" w:hAnsi="Cambria Math" w:cs="Cambria Math"/>
          <w:sz w:val="18"/>
          <w:szCs w:val="18"/>
        </w:rPr>
        <w:t>₁₂</w:t>
      </w:r>
      <w:r w:rsidR="00FE63EC" w:rsidRPr="00E81D15">
        <w:rPr>
          <w:rFonts w:ascii="Arial" w:hAnsi="Arial" w:cs="Arial"/>
          <w:sz w:val="18"/>
          <w:szCs w:val="18"/>
        </w:rPr>
        <w:t xml:space="preserve"> has increased stability and stronger interactions with biological targets. </w:t>
      </w:r>
      <w:commentRangeStart w:id="11"/>
      <w:r w:rsidR="00FE63EC" w:rsidRPr="00E81D15">
        <w:rPr>
          <w:rFonts w:ascii="Arial" w:hAnsi="Arial" w:cs="Arial"/>
          <w:sz w:val="18"/>
          <w:szCs w:val="18"/>
        </w:rPr>
        <w:t xml:space="preserve">sophisticated </w:t>
      </w:r>
      <w:commentRangeEnd w:id="11"/>
      <w:r w:rsidR="00F06034">
        <w:rPr>
          <w:rStyle w:val="CommentReference"/>
          <w:rFonts w:ascii="Calibri" w:eastAsia="MS Mincho" w:hAnsi="Calibri" w:cs="Arial"/>
          <w:lang w:val="en-NZ"/>
        </w:rPr>
        <w:commentReference w:id="11"/>
      </w:r>
      <w:r w:rsidR="00FE63EC" w:rsidRPr="00E81D15">
        <w:rPr>
          <w:rFonts w:ascii="Arial" w:hAnsi="Arial" w:cs="Arial"/>
          <w:sz w:val="18"/>
          <w:szCs w:val="18"/>
        </w:rPr>
        <w:t xml:space="preserve">formulations that include </w:t>
      </w:r>
      <w:proofErr w:type="spellStart"/>
      <w:r w:rsidR="00FE63EC" w:rsidRPr="00E81D15">
        <w:rPr>
          <w:rFonts w:ascii="Arial" w:hAnsi="Arial" w:cs="Arial"/>
          <w:sz w:val="18"/>
          <w:szCs w:val="18"/>
        </w:rPr>
        <w:t>allicin</w:t>
      </w:r>
      <w:proofErr w:type="spellEnd"/>
      <w:r w:rsidR="00FE63EC" w:rsidRPr="00E81D15">
        <w:rPr>
          <w:rFonts w:ascii="Arial" w:hAnsi="Arial" w:cs="Arial"/>
          <w:sz w:val="18"/>
          <w:szCs w:val="18"/>
        </w:rPr>
        <w:t>, especially when it comes to its inclusion in nanocages like C</w:t>
      </w:r>
      <w:r w:rsidR="00FE63EC" w:rsidRPr="00E81D15">
        <w:rPr>
          <w:rFonts w:ascii="Cambria Math" w:hAnsi="Cambria Math" w:cs="Cambria Math"/>
          <w:sz w:val="18"/>
          <w:szCs w:val="18"/>
        </w:rPr>
        <w:t>₂₄</w:t>
      </w:r>
      <w:r w:rsidR="00FE63EC" w:rsidRPr="00E81D15">
        <w:rPr>
          <w:rFonts w:ascii="Arial" w:hAnsi="Arial" w:cs="Arial"/>
          <w:sz w:val="18"/>
          <w:szCs w:val="18"/>
        </w:rPr>
        <w:t>, B</w:t>
      </w:r>
      <w:r w:rsidR="00FE63EC" w:rsidRPr="00E81D15">
        <w:rPr>
          <w:rFonts w:ascii="Cambria Math" w:hAnsi="Cambria Math" w:cs="Cambria Math"/>
          <w:sz w:val="18"/>
          <w:szCs w:val="18"/>
        </w:rPr>
        <w:t>₁₂</w:t>
      </w:r>
      <w:r w:rsidR="00FE63EC" w:rsidRPr="00E81D15">
        <w:rPr>
          <w:rFonts w:ascii="Arial" w:hAnsi="Arial" w:cs="Arial"/>
          <w:sz w:val="18"/>
          <w:szCs w:val="18"/>
        </w:rPr>
        <w:t>N</w:t>
      </w:r>
      <w:r w:rsidR="00FE63EC" w:rsidRPr="00E81D15">
        <w:rPr>
          <w:rFonts w:ascii="Cambria Math" w:hAnsi="Cambria Math" w:cs="Cambria Math"/>
          <w:sz w:val="18"/>
          <w:szCs w:val="18"/>
        </w:rPr>
        <w:t>₁₂</w:t>
      </w:r>
      <w:r w:rsidR="00FE63EC" w:rsidRPr="00E81D15">
        <w:rPr>
          <w:rFonts w:ascii="Arial" w:hAnsi="Arial" w:cs="Arial"/>
          <w:sz w:val="18"/>
          <w:szCs w:val="18"/>
        </w:rPr>
        <w:t>, and Al</w:t>
      </w:r>
      <w:r w:rsidR="00FE63EC" w:rsidRPr="00E81D15">
        <w:rPr>
          <w:rFonts w:ascii="Cambria Math" w:hAnsi="Cambria Math" w:cs="Cambria Math"/>
          <w:sz w:val="18"/>
          <w:szCs w:val="18"/>
        </w:rPr>
        <w:t>₁₂</w:t>
      </w:r>
      <w:r w:rsidR="00FE63EC" w:rsidRPr="00E81D15">
        <w:rPr>
          <w:rFonts w:ascii="Arial" w:hAnsi="Arial" w:cs="Arial"/>
          <w:sz w:val="18"/>
          <w:szCs w:val="18"/>
        </w:rPr>
        <w:t>N</w:t>
      </w:r>
      <w:r w:rsidR="00FE63EC" w:rsidRPr="00E81D15">
        <w:rPr>
          <w:rFonts w:ascii="Cambria Math" w:hAnsi="Cambria Math" w:cs="Cambria Math"/>
          <w:sz w:val="18"/>
          <w:szCs w:val="18"/>
        </w:rPr>
        <w:t>₁₂</w:t>
      </w:r>
      <w:r w:rsidR="00FE63EC" w:rsidRPr="00E81D15">
        <w:rPr>
          <w:rFonts w:ascii="Arial" w:hAnsi="Arial" w:cs="Arial"/>
          <w:sz w:val="18"/>
          <w:szCs w:val="18"/>
        </w:rPr>
        <w:t>. These nanocages are promising drug delivery vehicles that improve allicin's stability, bioavailability, and targeted delivery. [</w:t>
      </w:r>
      <w:r w:rsidR="00C735C2" w:rsidRPr="00E81D15">
        <w:rPr>
          <w:rFonts w:ascii="Arial" w:hAnsi="Arial" w:cs="Arial"/>
          <w:sz w:val="18"/>
          <w:szCs w:val="18"/>
        </w:rPr>
        <w:t>E. S. Mozafari 2025]</w:t>
      </w:r>
    </w:p>
    <w:p w14:paraId="795C129A" w14:textId="77777777" w:rsidR="00BD2F79" w:rsidRPr="00BD2F79" w:rsidRDefault="00BD2F79" w:rsidP="00BD2F79">
      <w:pPr>
        <w:widowControl w:val="0"/>
        <w:numPr>
          <w:ilvl w:val="0"/>
          <w:numId w:val="17"/>
        </w:numPr>
        <w:spacing w:after="160" w:line="278" w:lineRule="auto"/>
        <w:jc w:val="both"/>
        <w:rPr>
          <w:rFonts w:ascii="Arial" w:hAnsi="Arial" w:cs="Arial"/>
          <w:sz w:val="18"/>
          <w:szCs w:val="18"/>
        </w:rPr>
      </w:pPr>
      <w:r w:rsidRPr="00BD2F79">
        <w:rPr>
          <w:rFonts w:ascii="Arial" w:hAnsi="Arial" w:cs="Arial"/>
          <w:b/>
          <w:bCs/>
          <w:sz w:val="18"/>
          <w:szCs w:val="18"/>
        </w:rPr>
        <w:t>Z</w:t>
      </w:r>
      <w:r w:rsidRPr="00BD2F79">
        <w:rPr>
          <w:rFonts w:ascii="Arial" w:hAnsi="Arial" w:cs="Arial"/>
          <w:b/>
          <w:bCs/>
          <w:sz w:val="18"/>
          <w:szCs w:val="18"/>
        </w:rPr>
        <w:noBreakHyphen/>
        <w:t>Ajoene</w:t>
      </w:r>
      <w:r w:rsidRPr="00BD2F79">
        <w:rPr>
          <w:rFonts w:ascii="Arial" w:hAnsi="Arial" w:cs="Arial"/>
          <w:sz w:val="18"/>
          <w:szCs w:val="18"/>
        </w:rPr>
        <w:t>: Ideal for nutraceutical formulations; oil-based delivery standardization in progress.</w:t>
      </w:r>
    </w:p>
    <w:p w14:paraId="5C42A87C" w14:textId="77777777" w:rsidR="00BD2F79" w:rsidRPr="00BD2F79" w:rsidRDefault="00BD2F79" w:rsidP="00BD2F79">
      <w:pPr>
        <w:jc w:val="both"/>
        <w:rPr>
          <w:rFonts w:ascii="Arial" w:hAnsi="Arial" w:cs="Arial"/>
          <w:b/>
          <w:bCs/>
          <w:sz w:val="18"/>
          <w:szCs w:val="18"/>
        </w:rPr>
      </w:pPr>
      <w:r w:rsidRPr="00BD2F79">
        <w:rPr>
          <w:rFonts w:ascii="Arial" w:hAnsi="Arial" w:cs="Arial"/>
          <w:b/>
          <w:bCs/>
          <w:sz w:val="18"/>
          <w:szCs w:val="18"/>
        </w:rPr>
        <w:t>5.2 Safety &amp; Pharmacokinetics</w:t>
      </w:r>
    </w:p>
    <w:p w14:paraId="044697B5" w14:textId="4C658B68" w:rsidR="00BD2F79" w:rsidRPr="00BD2F79" w:rsidRDefault="00BD2F79" w:rsidP="00BD2F79">
      <w:pPr>
        <w:widowControl w:val="0"/>
        <w:numPr>
          <w:ilvl w:val="0"/>
          <w:numId w:val="18"/>
        </w:numPr>
        <w:spacing w:after="160" w:line="278" w:lineRule="auto"/>
        <w:jc w:val="both"/>
        <w:rPr>
          <w:rFonts w:ascii="Arial" w:hAnsi="Arial" w:cs="Arial"/>
          <w:sz w:val="18"/>
          <w:szCs w:val="18"/>
        </w:rPr>
      </w:pPr>
      <w:r w:rsidRPr="00BD2F79">
        <w:rPr>
          <w:rFonts w:ascii="Arial" w:hAnsi="Arial" w:cs="Arial"/>
          <w:sz w:val="18"/>
          <w:szCs w:val="18"/>
        </w:rPr>
        <w:t>Allicin is degraded before systemic uptake—necessitating novel delivery forms</w:t>
      </w:r>
    </w:p>
    <w:p w14:paraId="2336BB7E" w14:textId="77777777" w:rsidR="00BD2F79" w:rsidRPr="00BD2F79" w:rsidRDefault="00BD2F79" w:rsidP="00BD2F79">
      <w:pPr>
        <w:widowControl w:val="0"/>
        <w:numPr>
          <w:ilvl w:val="0"/>
          <w:numId w:val="18"/>
        </w:numPr>
        <w:spacing w:after="160" w:line="278" w:lineRule="auto"/>
        <w:jc w:val="both"/>
        <w:rPr>
          <w:rFonts w:ascii="Arial" w:hAnsi="Arial" w:cs="Arial"/>
          <w:sz w:val="18"/>
          <w:szCs w:val="18"/>
        </w:rPr>
      </w:pPr>
      <w:r w:rsidRPr="00BD2F79">
        <w:rPr>
          <w:rFonts w:ascii="Arial" w:hAnsi="Arial" w:cs="Arial"/>
          <w:sz w:val="18"/>
          <w:szCs w:val="18"/>
        </w:rPr>
        <w:t>Z</w:t>
      </w:r>
      <w:r w:rsidRPr="00BD2F79">
        <w:rPr>
          <w:rFonts w:ascii="Arial" w:hAnsi="Arial" w:cs="Arial"/>
          <w:sz w:val="18"/>
          <w:szCs w:val="18"/>
        </w:rPr>
        <w:noBreakHyphen/>
        <w:t>ajoene shows targeted CSC toxicity with minimal normal cell impact, substantiating clinical trials.</w:t>
      </w:r>
    </w:p>
    <w:p w14:paraId="05C3A838" w14:textId="77777777" w:rsidR="00BD2F79" w:rsidRPr="00BD2F79" w:rsidRDefault="00BD2F79" w:rsidP="00BD2F79">
      <w:pPr>
        <w:jc w:val="both"/>
        <w:rPr>
          <w:rFonts w:ascii="Arial" w:hAnsi="Arial" w:cs="Arial"/>
          <w:b/>
          <w:bCs/>
          <w:sz w:val="18"/>
          <w:szCs w:val="18"/>
        </w:rPr>
      </w:pPr>
      <w:r w:rsidRPr="00BD2F79">
        <w:rPr>
          <w:rFonts w:ascii="Arial" w:hAnsi="Arial" w:cs="Arial"/>
          <w:b/>
          <w:bCs/>
          <w:sz w:val="18"/>
          <w:szCs w:val="18"/>
        </w:rPr>
        <w:t>5.3 Clinical Trial Pipeline</w:t>
      </w:r>
    </w:p>
    <w:p w14:paraId="3E191ED9" w14:textId="77777777" w:rsidR="00BD2F79" w:rsidRPr="00BD2F79" w:rsidRDefault="00BD2F79" w:rsidP="00BD2F79">
      <w:pPr>
        <w:widowControl w:val="0"/>
        <w:numPr>
          <w:ilvl w:val="0"/>
          <w:numId w:val="19"/>
        </w:numPr>
        <w:spacing w:after="160" w:line="278" w:lineRule="auto"/>
        <w:jc w:val="both"/>
        <w:rPr>
          <w:rFonts w:ascii="Arial" w:hAnsi="Arial" w:cs="Arial"/>
          <w:sz w:val="18"/>
          <w:szCs w:val="18"/>
        </w:rPr>
      </w:pPr>
      <w:r w:rsidRPr="00BD2F79">
        <w:rPr>
          <w:rFonts w:ascii="Arial" w:hAnsi="Arial" w:cs="Arial"/>
          <w:sz w:val="18"/>
          <w:szCs w:val="18"/>
        </w:rPr>
        <w:t>No major allicin trials in oncology; topical/adjunct studies underway.</w:t>
      </w:r>
    </w:p>
    <w:p w14:paraId="64C12EA4" w14:textId="0F6F4FEA" w:rsidR="00BD2F79" w:rsidRPr="00BD2F79" w:rsidRDefault="00BD2F79" w:rsidP="00BD2F79">
      <w:pPr>
        <w:widowControl w:val="0"/>
        <w:numPr>
          <w:ilvl w:val="0"/>
          <w:numId w:val="19"/>
        </w:numPr>
        <w:spacing w:after="160" w:line="278" w:lineRule="auto"/>
        <w:jc w:val="both"/>
        <w:rPr>
          <w:rFonts w:ascii="Arial" w:hAnsi="Arial" w:cs="Arial"/>
          <w:sz w:val="18"/>
          <w:szCs w:val="18"/>
        </w:rPr>
      </w:pPr>
      <w:commentRangeStart w:id="12"/>
      <w:r w:rsidRPr="00BD2F79">
        <w:rPr>
          <w:rFonts w:ascii="Arial" w:hAnsi="Arial" w:cs="Arial"/>
          <w:sz w:val="18"/>
          <w:szCs w:val="18"/>
        </w:rPr>
        <w:t>Meta-analyses show promise in GI and prostate cancer risk reduction, though RCT data is mixed</w:t>
      </w:r>
      <w:r w:rsidR="00137E81">
        <w:rPr>
          <w:rFonts w:ascii="Arial" w:hAnsi="Arial" w:cs="Arial"/>
          <w:sz w:val="18"/>
          <w:szCs w:val="18"/>
        </w:rPr>
        <w:t>.</w:t>
      </w:r>
      <w:commentRangeEnd w:id="12"/>
      <w:r w:rsidR="00F06034">
        <w:rPr>
          <w:rStyle w:val="CommentReference"/>
          <w:rFonts w:ascii="Calibri" w:eastAsia="MS Mincho" w:hAnsi="Calibri" w:cs="Arial"/>
          <w:lang w:val="en-NZ"/>
        </w:rPr>
        <w:commentReference w:id="12"/>
      </w:r>
    </w:p>
    <w:p w14:paraId="6227322D" w14:textId="77777777" w:rsidR="00BD2F79" w:rsidRPr="00BD2F79" w:rsidRDefault="00BD2F79" w:rsidP="00BD2F79">
      <w:pPr>
        <w:jc w:val="both"/>
        <w:rPr>
          <w:rFonts w:ascii="Arial" w:hAnsi="Arial" w:cs="Arial"/>
          <w:b/>
          <w:bCs/>
          <w:sz w:val="18"/>
          <w:szCs w:val="18"/>
        </w:rPr>
      </w:pPr>
      <w:r w:rsidRPr="00BD2F79">
        <w:rPr>
          <w:rFonts w:ascii="Arial" w:hAnsi="Arial" w:cs="Arial"/>
          <w:b/>
          <w:bCs/>
          <w:sz w:val="18"/>
          <w:szCs w:val="18"/>
        </w:rPr>
        <w:t>5.4 Combinatorial Therapy</w:t>
      </w:r>
    </w:p>
    <w:p w14:paraId="2D350594" w14:textId="6623CC8A" w:rsidR="003E3E5F" w:rsidRDefault="00473167" w:rsidP="00473167">
      <w:pPr>
        <w:jc w:val="both"/>
        <w:rPr>
          <w:rFonts w:ascii="Arial" w:hAnsi="Arial" w:cs="Arial"/>
          <w:sz w:val="18"/>
          <w:szCs w:val="18"/>
        </w:rPr>
      </w:pPr>
      <w:r>
        <w:rPr>
          <w:rFonts w:ascii="Arial" w:hAnsi="Arial" w:cs="Arial"/>
          <w:sz w:val="18"/>
          <w:szCs w:val="18"/>
        </w:rPr>
        <w:lastRenderedPageBreak/>
        <w:t xml:space="preserve"> </w:t>
      </w:r>
      <w:r w:rsidRPr="00473167">
        <w:rPr>
          <w:rFonts w:ascii="Arial" w:hAnsi="Arial" w:cs="Arial"/>
          <w:sz w:val="18"/>
          <w:szCs w:val="18"/>
        </w:rPr>
        <w:t>Compounds from garlic are used in combination therapy to target several cancer hallmarks at once, increasing anticancer efficacy. Among the examples are:</w:t>
      </w:r>
      <w:r w:rsidRPr="00473167">
        <w:rPr>
          <w:rFonts w:ascii="Arial" w:hAnsi="Arial" w:cs="Arial"/>
          <w:sz w:val="18"/>
          <w:szCs w:val="18"/>
        </w:rPr>
        <w:br/>
      </w:r>
      <w:r w:rsidRPr="00473167">
        <w:rPr>
          <w:rFonts w:ascii="Arial" w:hAnsi="Arial" w:cs="Arial"/>
          <w:b/>
          <w:bCs/>
          <w:sz w:val="18"/>
          <w:szCs w:val="18"/>
        </w:rPr>
        <w:br/>
        <w:t xml:space="preserve">5.4.1 Garlic with 5-Fluorouracil (5-FU): </w:t>
      </w:r>
      <w:r w:rsidRPr="00473167">
        <w:rPr>
          <w:rFonts w:ascii="Arial" w:hAnsi="Arial" w:cs="Arial"/>
          <w:sz w:val="18"/>
          <w:szCs w:val="18"/>
        </w:rPr>
        <w:t>Research has shown that allicin and 5-FU together enhance the generation of reactive oxygen species (ROS), cause mitochondrial malfunction, activate caspase-3 and PARP, and decrease the expression of Bcl-2. This multimodal strategy enhances therapeutic results and encourages</w:t>
      </w:r>
      <w:r w:rsidR="003E3E5F">
        <w:rPr>
          <w:rFonts w:ascii="Arial" w:hAnsi="Arial" w:cs="Arial"/>
          <w:sz w:val="18"/>
          <w:szCs w:val="18"/>
        </w:rPr>
        <w:t xml:space="preserve"> </w:t>
      </w:r>
      <w:r w:rsidRPr="00473167">
        <w:rPr>
          <w:rFonts w:ascii="Arial" w:hAnsi="Arial" w:cs="Arial"/>
          <w:sz w:val="18"/>
          <w:szCs w:val="18"/>
        </w:rPr>
        <w:t xml:space="preserve">apoptosis. </w:t>
      </w:r>
    </w:p>
    <w:p w14:paraId="14BCD812" w14:textId="7E9A9DF5" w:rsidR="00BD2F79" w:rsidRPr="00BD2F79" w:rsidRDefault="00473167" w:rsidP="00BD2F79">
      <w:pPr>
        <w:jc w:val="both"/>
        <w:rPr>
          <w:rFonts w:ascii="Arial" w:hAnsi="Arial" w:cs="Arial"/>
          <w:sz w:val="18"/>
          <w:szCs w:val="18"/>
        </w:rPr>
      </w:pPr>
      <w:r w:rsidRPr="00473167">
        <w:rPr>
          <w:rFonts w:ascii="Arial" w:hAnsi="Arial" w:cs="Arial"/>
          <w:b/>
          <w:bCs/>
          <w:sz w:val="18"/>
          <w:szCs w:val="18"/>
        </w:rPr>
        <w:t>5.4.2 Garlic Components with Other drugs:</w:t>
      </w:r>
      <w:r w:rsidRPr="00473167">
        <w:rPr>
          <w:rFonts w:ascii="Arial" w:hAnsi="Arial" w:cs="Arial"/>
          <w:sz w:val="18"/>
          <w:szCs w:val="18"/>
        </w:rPr>
        <w:t xml:space="preserve"> Garlic components can enhance anticancer activities such apoptosis induction, proliferation inhibition, and angiogenesis suppression when combined with targeted drugs or traditional </w:t>
      </w:r>
      <w:r w:rsidR="00EB53A2" w:rsidRPr="00473167">
        <w:rPr>
          <w:rFonts w:ascii="Arial" w:hAnsi="Arial" w:cs="Arial"/>
          <w:sz w:val="18"/>
          <w:szCs w:val="18"/>
        </w:rPr>
        <w:t>chemotherapeutics.</w:t>
      </w:r>
      <w:r w:rsidR="00EB53A2" w:rsidRPr="00BD2F79">
        <w:rPr>
          <w:rFonts w:ascii="Arial" w:hAnsi="Arial" w:cs="Arial"/>
          <w:sz w:val="18"/>
          <w:szCs w:val="18"/>
        </w:rPr>
        <w:t xml:space="preserve"> Studies</w:t>
      </w:r>
      <w:r w:rsidR="00BD2F79" w:rsidRPr="00BD2F79">
        <w:rPr>
          <w:rFonts w:ascii="Arial" w:hAnsi="Arial" w:cs="Arial"/>
          <w:sz w:val="18"/>
          <w:szCs w:val="18"/>
        </w:rPr>
        <w:t xml:space="preserve"> demonstrate synergy with 5</w:t>
      </w:r>
      <w:r w:rsidR="00BD2F79" w:rsidRPr="00BD2F79">
        <w:rPr>
          <w:rFonts w:ascii="Arial" w:hAnsi="Arial" w:cs="Arial"/>
          <w:sz w:val="18"/>
          <w:szCs w:val="18"/>
        </w:rPr>
        <w:noBreakHyphen/>
        <w:t>FU, oxaliplatin, gemcitabine, paclitaxel; Z</w:t>
      </w:r>
      <w:r w:rsidR="00BD2F79" w:rsidRPr="00BD2F79">
        <w:rPr>
          <w:rFonts w:ascii="Arial" w:hAnsi="Arial" w:cs="Arial"/>
          <w:sz w:val="18"/>
          <w:szCs w:val="18"/>
        </w:rPr>
        <w:noBreakHyphen/>
        <w:t>ajoene may complement via CSC targeting</w:t>
      </w:r>
      <w:r>
        <w:rPr>
          <w:rFonts w:ascii="Arial" w:hAnsi="Arial" w:cs="Arial"/>
          <w:sz w:val="18"/>
          <w:szCs w:val="18"/>
        </w:rPr>
        <w:t xml:space="preserve">. [ </w:t>
      </w:r>
      <w:r w:rsidRPr="00473167">
        <w:rPr>
          <w:rFonts w:ascii="Arial" w:hAnsi="Arial" w:cs="Arial"/>
          <w:sz w:val="18"/>
          <w:szCs w:val="18"/>
        </w:rPr>
        <w:t>Wamidh H. Talib</w:t>
      </w:r>
      <w:r>
        <w:rPr>
          <w:rFonts w:ascii="Arial" w:hAnsi="Arial" w:cs="Arial"/>
          <w:sz w:val="18"/>
          <w:szCs w:val="18"/>
        </w:rPr>
        <w:t xml:space="preserve"> 2024]</w:t>
      </w:r>
    </w:p>
    <w:p w14:paraId="2BB9D759" w14:textId="77777777" w:rsidR="00BD2F79" w:rsidRPr="00BD2F79" w:rsidRDefault="00BD2F79" w:rsidP="00BD2F79">
      <w:pPr>
        <w:jc w:val="both"/>
        <w:rPr>
          <w:rFonts w:ascii="Arial" w:hAnsi="Arial" w:cs="Arial"/>
          <w:b/>
          <w:bCs/>
          <w:sz w:val="18"/>
          <w:szCs w:val="18"/>
        </w:rPr>
      </w:pPr>
      <w:r w:rsidRPr="00BD2F79">
        <w:rPr>
          <w:rFonts w:ascii="Arial" w:hAnsi="Arial" w:cs="Arial"/>
          <w:b/>
          <w:bCs/>
          <w:sz w:val="18"/>
          <w:szCs w:val="18"/>
        </w:rPr>
        <w:t>5.5 Development Roadmap</w:t>
      </w:r>
    </w:p>
    <w:p w14:paraId="13873CA3" w14:textId="77777777" w:rsidR="00BD2F79" w:rsidRPr="00BD2F79" w:rsidRDefault="00BD2F79" w:rsidP="00BD2F79">
      <w:pPr>
        <w:widowControl w:val="0"/>
        <w:numPr>
          <w:ilvl w:val="0"/>
          <w:numId w:val="20"/>
        </w:numPr>
        <w:spacing w:after="160" w:line="278" w:lineRule="auto"/>
        <w:jc w:val="both"/>
        <w:rPr>
          <w:rFonts w:ascii="Arial" w:hAnsi="Arial" w:cs="Arial"/>
          <w:sz w:val="18"/>
          <w:szCs w:val="18"/>
        </w:rPr>
      </w:pPr>
      <w:r w:rsidRPr="00BD2F79">
        <w:rPr>
          <w:rFonts w:ascii="Arial" w:hAnsi="Arial" w:cs="Arial"/>
          <w:sz w:val="18"/>
          <w:szCs w:val="18"/>
        </w:rPr>
        <w:t xml:space="preserve">Design and characterize nano </w:t>
      </w:r>
      <w:commentRangeStart w:id="13"/>
      <w:r w:rsidRPr="00BD2F79">
        <w:rPr>
          <w:rFonts w:ascii="Arial" w:hAnsi="Arial" w:cs="Arial"/>
          <w:sz w:val="18"/>
          <w:szCs w:val="18"/>
        </w:rPr>
        <w:t>formulations.</w:t>
      </w:r>
    </w:p>
    <w:p w14:paraId="462E01BF" w14:textId="77777777" w:rsidR="00BD2F79" w:rsidRPr="00BD2F79" w:rsidRDefault="00BD2F79" w:rsidP="00BD2F79">
      <w:pPr>
        <w:widowControl w:val="0"/>
        <w:numPr>
          <w:ilvl w:val="0"/>
          <w:numId w:val="20"/>
        </w:numPr>
        <w:spacing w:after="160" w:line="278" w:lineRule="auto"/>
        <w:jc w:val="both"/>
        <w:rPr>
          <w:rFonts w:ascii="Arial" w:hAnsi="Arial" w:cs="Arial"/>
          <w:sz w:val="18"/>
          <w:szCs w:val="18"/>
        </w:rPr>
      </w:pPr>
      <w:r w:rsidRPr="00BD2F79">
        <w:rPr>
          <w:rFonts w:ascii="Arial" w:hAnsi="Arial" w:cs="Arial"/>
          <w:sz w:val="18"/>
          <w:szCs w:val="18"/>
        </w:rPr>
        <w:t>Conduct PK/PD and safety in animal models.</w:t>
      </w:r>
    </w:p>
    <w:p w14:paraId="6E05CFA1" w14:textId="77777777" w:rsidR="00BD2F79" w:rsidRPr="00BD2F79" w:rsidRDefault="00BD2F79" w:rsidP="00BD2F79">
      <w:pPr>
        <w:widowControl w:val="0"/>
        <w:numPr>
          <w:ilvl w:val="0"/>
          <w:numId w:val="20"/>
        </w:numPr>
        <w:spacing w:after="160" w:line="278" w:lineRule="auto"/>
        <w:jc w:val="both"/>
        <w:rPr>
          <w:rFonts w:ascii="Arial" w:hAnsi="Arial" w:cs="Arial"/>
          <w:sz w:val="18"/>
          <w:szCs w:val="18"/>
        </w:rPr>
      </w:pPr>
      <w:r w:rsidRPr="00BD2F79">
        <w:rPr>
          <w:rFonts w:ascii="Arial" w:hAnsi="Arial" w:cs="Arial"/>
          <w:sz w:val="18"/>
          <w:szCs w:val="18"/>
        </w:rPr>
        <w:t>Use biomarkers (ER stress, β</w:t>
      </w:r>
      <w:r w:rsidRPr="00BD2F79">
        <w:rPr>
          <w:rFonts w:ascii="Arial" w:hAnsi="Arial" w:cs="Arial"/>
          <w:sz w:val="18"/>
          <w:szCs w:val="18"/>
        </w:rPr>
        <w:noBreakHyphen/>
        <w:t>catenin) for translation.</w:t>
      </w:r>
    </w:p>
    <w:p w14:paraId="6FFB4C1F" w14:textId="77777777" w:rsidR="00BD2F79" w:rsidRPr="00BD2F79" w:rsidRDefault="00BD2F79" w:rsidP="00BD2F79">
      <w:pPr>
        <w:widowControl w:val="0"/>
        <w:numPr>
          <w:ilvl w:val="0"/>
          <w:numId w:val="20"/>
        </w:numPr>
        <w:spacing w:after="160" w:line="278" w:lineRule="auto"/>
        <w:jc w:val="both"/>
        <w:rPr>
          <w:rFonts w:ascii="Arial" w:hAnsi="Arial" w:cs="Arial"/>
          <w:sz w:val="18"/>
          <w:szCs w:val="18"/>
        </w:rPr>
      </w:pPr>
      <w:r w:rsidRPr="00BD2F79">
        <w:rPr>
          <w:rFonts w:ascii="Arial" w:hAnsi="Arial" w:cs="Arial"/>
          <w:sz w:val="18"/>
          <w:szCs w:val="18"/>
        </w:rPr>
        <w:t>Initiate Phase I trials in chemoresistant cancers.</w:t>
      </w:r>
    </w:p>
    <w:p w14:paraId="16A42C30" w14:textId="77777777" w:rsidR="00BD2F79" w:rsidRPr="00BD2F79" w:rsidRDefault="00BD2F79" w:rsidP="00BD2F79">
      <w:pPr>
        <w:widowControl w:val="0"/>
        <w:numPr>
          <w:ilvl w:val="0"/>
          <w:numId w:val="20"/>
        </w:numPr>
        <w:spacing w:after="160" w:line="278" w:lineRule="auto"/>
        <w:jc w:val="both"/>
        <w:rPr>
          <w:rFonts w:ascii="Arial" w:hAnsi="Arial" w:cs="Arial"/>
          <w:sz w:val="18"/>
          <w:szCs w:val="18"/>
        </w:rPr>
      </w:pPr>
      <w:r w:rsidRPr="00BD2F79">
        <w:rPr>
          <w:rFonts w:ascii="Arial" w:hAnsi="Arial" w:cs="Arial"/>
          <w:sz w:val="18"/>
          <w:szCs w:val="18"/>
        </w:rPr>
        <w:t>Combine phytochemical and standard chemotherapy regimens.</w:t>
      </w:r>
      <w:commentRangeEnd w:id="13"/>
      <w:r w:rsidR="00F06034">
        <w:rPr>
          <w:rStyle w:val="CommentReference"/>
          <w:rFonts w:ascii="Calibri" w:eastAsia="MS Mincho" w:hAnsi="Calibri" w:cs="Arial"/>
          <w:lang w:val="en-NZ"/>
        </w:rPr>
        <w:commentReference w:id="13"/>
      </w:r>
    </w:p>
    <w:p w14:paraId="333FE8B5" w14:textId="77777777" w:rsidR="00BD2F79" w:rsidRPr="00DB407B" w:rsidRDefault="00BD2F79" w:rsidP="00DB407B">
      <w:pPr>
        <w:pStyle w:val="Heading2"/>
        <w:rPr>
          <w:rFonts w:eastAsia="Times New Roman" w:cs="Arial"/>
          <w:caps/>
          <w:sz w:val="20"/>
          <w:szCs w:val="20"/>
        </w:rPr>
      </w:pPr>
      <w:r w:rsidRPr="00DB407B">
        <w:rPr>
          <w:rFonts w:eastAsia="Times New Roman" w:cs="Arial"/>
          <w:caps/>
          <w:sz w:val="20"/>
          <w:szCs w:val="20"/>
        </w:rPr>
        <w:t>6. Conclusions and Future Directions</w:t>
      </w:r>
    </w:p>
    <w:p w14:paraId="35CF353B" w14:textId="28AC4700" w:rsidR="00BD2F79" w:rsidRPr="00BD2F79" w:rsidRDefault="00BD2F79" w:rsidP="00BD2F79">
      <w:pPr>
        <w:jc w:val="both"/>
        <w:rPr>
          <w:rFonts w:ascii="Arial" w:hAnsi="Arial" w:cs="Arial"/>
          <w:sz w:val="18"/>
          <w:szCs w:val="18"/>
        </w:rPr>
      </w:pPr>
      <w:r w:rsidRPr="00BD2F79">
        <w:rPr>
          <w:rFonts w:ascii="Arial" w:hAnsi="Arial" w:cs="Arial"/>
          <w:sz w:val="18"/>
          <w:szCs w:val="18"/>
        </w:rPr>
        <w:t>Allicin and Z</w:t>
      </w:r>
      <w:r w:rsidRPr="00BD2F79">
        <w:rPr>
          <w:rFonts w:ascii="Arial" w:hAnsi="Arial" w:cs="Arial"/>
          <w:sz w:val="18"/>
          <w:szCs w:val="18"/>
        </w:rPr>
        <w:noBreakHyphen/>
        <w:t>ajoene offer complementary anticancer strategies: allicin reverses chemoresistance via thio</w:t>
      </w:r>
      <w:bookmarkStart w:id="14" w:name="_GoBack"/>
      <w:bookmarkEnd w:id="14"/>
      <w:r w:rsidRPr="00BD2F79">
        <w:rPr>
          <w:rFonts w:ascii="Arial" w:hAnsi="Arial" w:cs="Arial"/>
          <w:sz w:val="18"/>
          <w:szCs w:val="18"/>
        </w:rPr>
        <w:t>l reactivity; Z</w:t>
      </w:r>
      <w:r w:rsidRPr="00BD2F79">
        <w:rPr>
          <w:rFonts w:ascii="Arial" w:hAnsi="Arial" w:cs="Arial"/>
          <w:sz w:val="18"/>
          <w:szCs w:val="18"/>
        </w:rPr>
        <w:noBreakHyphen/>
        <w:t>ajoene induces ER stress, suppresses Wnt signaling, disrupts CSCs and metastasis.</w:t>
      </w:r>
    </w:p>
    <w:p w14:paraId="6939EB3A" w14:textId="77777777" w:rsidR="00BD2F79" w:rsidRPr="00BD2F79" w:rsidRDefault="00BD2F79" w:rsidP="00BD2F79">
      <w:pPr>
        <w:jc w:val="both"/>
        <w:rPr>
          <w:rFonts w:ascii="Arial" w:hAnsi="Arial" w:cs="Arial"/>
          <w:sz w:val="18"/>
          <w:szCs w:val="18"/>
        </w:rPr>
      </w:pPr>
      <w:r w:rsidRPr="00BD2F79">
        <w:rPr>
          <w:rFonts w:ascii="Arial" w:hAnsi="Arial" w:cs="Arial"/>
          <w:b/>
          <w:bCs/>
          <w:sz w:val="18"/>
          <w:szCs w:val="18"/>
        </w:rPr>
        <w:t>Future priorities</w:t>
      </w:r>
      <w:r w:rsidRPr="00BD2F79">
        <w:rPr>
          <w:rFonts w:ascii="Arial" w:hAnsi="Arial" w:cs="Arial"/>
          <w:sz w:val="18"/>
          <w:szCs w:val="18"/>
        </w:rPr>
        <w:t xml:space="preserve"> include:</w:t>
      </w:r>
    </w:p>
    <w:p w14:paraId="6E020541" w14:textId="2477F88A" w:rsidR="00BD2F79" w:rsidRPr="00BD2F79" w:rsidRDefault="00BD2F79" w:rsidP="00BD2F79">
      <w:pPr>
        <w:widowControl w:val="0"/>
        <w:numPr>
          <w:ilvl w:val="0"/>
          <w:numId w:val="21"/>
        </w:numPr>
        <w:spacing w:after="160" w:line="278" w:lineRule="auto"/>
        <w:jc w:val="both"/>
        <w:rPr>
          <w:rFonts w:ascii="Arial" w:hAnsi="Arial" w:cs="Arial"/>
          <w:sz w:val="18"/>
          <w:szCs w:val="18"/>
        </w:rPr>
      </w:pPr>
      <w:r w:rsidRPr="00BD2F79">
        <w:rPr>
          <w:rFonts w:ascii="Arial" w:hAnsi="Arial" w:cs="Arial"/>
          <w:sz w:val="18"/>
          <w:szCs w:val="18"/>
        </w:rPr>
        <w:t>Nano-carrier formulations</w:t>
      </w:r>
      <w:r w:rsidR="00345A57">
        <w:rPr>
          <w:rFonts w:ascii="Arial" w:hAnsi="Arial" w:cs="Arial"/>
          <w:sz w:val="18"/>
          <w:szCs w:val="18"/>
        </w:rPr>
        <w:t>.</w:t>
      </w:r>
    </w:p>
    <w:p w14:paraId="5E90921C" w14:textId="77777777" w:rsidR="00BD2F79" w:rsidRPr="00BD2F79" w:rsidRDefault="00BD2F79" w:rsidP="00BD2F79">
      <w:pPr>
        <w:widowControl w:val="0"/>
        <w:numPr>
          <w:ilvl w:val="0"/>
          <w:numId w:val="21"/>
        </w:numPr>
        <w:spacing w:after="160" w:line="278" w:lineRule="auto"/>
        <w:jc w:val="both"/>
        <w:rPr>
          <w:rFonts w:ascii="Arial" w:hAnsi="Arial" w:cs="Arial"/>
          <w:sz w:val="18"/>
          <w:szCs w:val="18"/>
        </w:rPr>
      </w:pPr>
      <w:r w:rsidRPr="00BD2F79">
        <w:rPr>
          <w:rFonts w:ascii="Arial" w:hAnsi="Arial" w:cs="Arial"/>
          <w:sz w:val="18"/>
          <w:szCs w:val="18"/>
        </w:rPr>
        <w:t>Biomarker-driven preclinical and clinical validation,</w:t>
      </w:r>
    </w:p>
    <w:p w14:paraId="6B4233FB" w14:textId="1F6CF876" w:rsidR="00BD2F79" w:rsidRPr="00BD2F79" w:rsidRDefault="00BD2F79" w:rsidP="00BD2F79">
      <w:pPr>
        <w:widowControl w:val="0"/>
        <w:numPr>
          <w:ilvl w:val="0"/>
          <w:numId w:val="21"/>
        </w:numPr>
        <w:spacing w:after="160" w:line="278" w:lineRule="auto"/>
        <w:jc w:val="both"/>
        <w:rPr>
          <w:rFonts w:ascii="Arial" w:hAnsi="Arial" w:cs="Arial"/>
          <w:sz w:val="18"/>
          <w:szCs w:val="18"/>
        </w:rPr>
      </w:pPr>
      <w:r w:rsidRPr="00BD2F79">
        <w:rPr>
          <w:rFonts w:ascii="Arial" w:hAnsi="Arial" w:cs="Arial"/>
          <w:sz w:val="18"/>
          <w:szCs w:val="18"/>
        </w:rPr>
        <w:t>CSC-focused combination studies</w:t>
      </w:r>
      <w:r w:rsidR="00345A57">
        <w:rPr>
          <w:rFonts w:ascii="Arial" w:hAnsi="Arial" w:cs="Arial"/>
          <w:sz w:val="18"/>
          <w:szCs w:val="18"/>
        </w:rPr>
        <w:t>.</w:t>
      </w:r>
    </w:p>
    <w:p w14:paraId="65D10F08" w14:textId="77777777" w:rsidR="00BD2F79" w:rsidRPr="00BD2F79" w:rsidRDefault="00BD2F79" w:rsidP="00BD2F79">
      <w:pPr>
        <w:widowControl w:val="0"/>
        <w:numPr>
          <w:ilvl w:val="0"/>
          <w:numId w:val="21"/>
        </w:numPr>
        <w:spacing w:after="160" w:line="278" w:lineRule="auto"/>
        <w:jc w:val="both"/>
        <w:rPr>
          <w:rFonts w:ascii="Arial" w:hAnsi="Arial" w:cs="Arial"/>
          <w:sz w:val="18"/>
          <w:szCs w:val="18"/>
        </w:rPr>
      </w:pPr>
      <w:r w:rsidRPr="00BD2F79">
        <w:rPr>
          <w:rFonts w:ascii="Arial" w:hAnsi="Arial" w:cs="Arial"/>
          <w:sz w:val="18"/>
          <w:szCs w:val="18"/>
        </w:rPr>
        <w:t>And initiation of phase I clinical trials.</w:t>
      </w:r>
    </w:p>
    <w:p w14:paraId="203A80A6" w14:textId="77777777" w:rsidR="00BD2F79" w:rsidRDefault="00BD2F79" w:rsidP="00BD2F79">
      <w:pPr>
        <w:jc w:val="both"/>
        <w:rPr>
          <w:rFonts w:ascii="Arial" w:hAnsi="Arial" w:cs="Arial"/>
          <w:sz w:val="18"/>
          <w:szCs w:val="18"/>
        </w:rPr>
      </w:pPr>
      <w:r w:rsidRPr="00BD2F79">
        <w:rPr>
          <w:rFonts w:ascii="Arial" w:hAnsi="Arial" w:cs="Arial"/>
          <w:sz w:val="18"/>
          <w:szCs w:val="18"/>
        </w:rPr>
        <w:t>These compounds meet key translational criteria: multi-pathway efficacy, target selectivity, manageable toxicity, and formulation adaptability.</w:t>
      </w:r>
    </w:p>
    <w:p w14:paraId="0EE887D2" w14:textId="77777777" w:rsidR="003E3E5F" w:rsidRPr="00BD2F79" w:rsidRDefault="003E3E5F" w:rsidP="00BD2F79">
      <w:pPr>
        <w:jc w:val="both"/>
        <w:rPr>
          <w:rFonts w:ascii="Arial" w:hAnsi="Arial" w:cs="Arial"/>
          <w:sz w:val="18"/>
          <w:szCs w:val="18"/>
        </w:rPr>
      </w:pPr>
    </w:p>
    <w:p w14:paraId="712B3AB7" w14:textId="77777777" w:rsidR="00463DDE" w:rsidRPr="00463DDE" w:rsidRDefault="00463DDE" w:rsidP="007B7015">
      <w:pPr>
        <w:spacing w:after="0" w:line="240" w:lineRule="auto"/>
        <w:jc w:val="both"/>
        <w:rPr>
          <w:rFonts w:ascii="Arial" w:eastAsia="Times New Roman" w:hAnsi="Arial" w:cs="Arial"/>
          <w:sz w:val="18"/>
          <w:szCs w:val="18"/>
        </w:rPr>
      </w:pPr>
    </w:p>
    <w:p w14:paraId="7DA39697" w14:textId="77777777" w:rsidR="00463DDE" w:rsidRPr="00463DDE" w:rsidRDefault="00463DDE" w:rsidP="007B7015">
      <w:pPr>
        <w:spacing w:after="0" w:line="240" w:lineRule="auto"/>
        <w:jc w:val="both"/>
        <w:rPr>
          <w:rFonts w:ascii="Arial" w:eastAsia="Times New Roman" w:hAnsi="Arial" w:cs="Arial"/>
          <w:sz w:val="18"/>
          <w:szCs w:val="18"/>
        </w:rPr>
      </w:pPr>
    </w:p>
    <w:p w14:paraId="5BCBE21A" w14:textId="77777777" w:rsidR="007B7015" w:rsidRDefault="007B7015">
      <w:pPr>
        <w:rPr>
          <w:rFonts w:ascii="Arial" w:eastAsia="Times New Roman" w:hAnsi="Arial" w:cs="Arial"/>
          <w:b/>
          <w:caps/>
          <w:sz w:val="18"/>
          <w:szCs w:val="18"/>
        </w:rPr>
      </w:pPr>
      <w:r>
        <w:rPr>
          <w:rFonts w:ascii="Arial" w:eastAsia="Times New Roman" w:hAnsi="Arial" w:cs="Arial"/>
          <w:b/>
          <w:caps/>
          <w:sz w:val="18"/>
          <w:szCs w:val="18"/>
        </w:rPr>
        <w:br w:type="page"/>
      </w:r>
    </w:p>
    <w:p w14:paraId="2A15E69A" w14:textId="77777777" w:rsidR="00CF1093" w:rsidRDefault="00463DDE" w:rsidP="00CF1093">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lastRenderedPageBreak/>
        <w:t>References</w:t>
      </w:r>
    </w:p>
    <w:p w14:paraId="7D2B6F77" w14:textId="77777777" w:rsidR="00436801" w:rsidRPr="00436801" w:rsidRDefault="00436801" w:rsidP="00E81D15">
      <w:pPr>
        <w:spacing w:after="0"/>
        <w:jc w:val="both"/>
        <w:rPr>
          <w:rFonts w:ascii="Arial" w:eastAsia="Times New Roman" w:hAnsi="Arial" w:cs="Arial"/>
          <w:sz w:val="20"/>
          <w:szCs w:val="20"/>
        </w:rPr>
      </w:pPr>
    </w:p>
    <w:p w14:paraId="1AE3444F" w14:textId="63186E11" w:rsidR="004431F7" w:rsidRPr="00E81D15" w:rsidRDefault="00436801"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Catherine H. Kaschula, Rosanna Tuveri, Ellen Ngarande, Kevin Dzobo, Christopher Barnett, Daniel A. Kusza, et al. (2019). The garlic compound ajoene covalently binds vimentin, disrupts the vimentin network and exerts anti-metastatic activity in cancer cells, BMC .</w:t>
      </w:r>
      <w:r w:rsidRPr="00E81D15">
        <w:rPr>
          <w:rFonts w:ascii="Arial" w:hAnsi="Arial" w:cs="Arial"/>
          <w:sz w:val="18"/>
          <w:szCs w:val="18"/>
        </w:rPr>
        <w:t xml:space="preserve"> </w:t>
      </w:r>
      <w:hyperlink r:id="rId16" w:history="1">
        <w:r w:rsidRPr="00E81D15">
          <w:rPr>
            <w:rStyle w:val="Hyperlink"/>
            <w:rFonts w:ascii="Arial" w:eastAsia="Times New Roman" w:hAnsi="Arial" w:cs="Arial"/>
            <w:sz w:val="18"/>
            <w:szCs w:val="18"/>
          </w:rPr>
          <w:t>https://doi.org/10.1186/s12885-019-5388-8</w:t>
        </w:r>
      </w:hyperlink>
      <w:r w:rsidRPr="00E81D15">
        <w:rPr>
          <w:rFonts w:ascii="Arial" w:eastAsia="Times New Roman" w:hAnsi="Arial" w:cs="Arial"/>
          <w:sz w:val="18"/>
          <w:szCs w:val="18"/>
        </w:rPr>
        <w:t>.</w:t>
      </w:r>
    </w:p>
    <w:p w14:paraId="2F8D1679" w14:textId="0D4A2521" w:rsidR="00436801" w:rsidRPr="00E81D15" w:rsidRDefault="00436801"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Hyejin Lee, Ji-Won Heo, A-Reum Kim, Minson Kweon, Sorim Nam, Jong-Seok Lim, et al. (2019). Z-ajoene from Crushed Garlic Alleviates Cancer-Induced Skeletal Muscle Atrophy, MDPI, Nutrients. </w:t>
      </w:r>
      <w:r w:rsidR="0030304D" w:rsidRPr="00E81D15">
        <w:rPr>
          <w:rFonts w:ascii="Arial" w:eastAsia="Times New Roman" w:hAnsi="Arial" w:cs="Arial"/>
          <w:sz w:val="18"/>
          <w:szCs w:val="18"/>
        </w:rPr>
        <w:t>11, 2724; doi:10.3390/nu11112724</w:t>
      </w:r>
    </w:p>
    <w:p w14:paraId="712A25F7" w14:textId="7E362397" w:rsidR="0030304D" w:rsidRPr="00E81D15" w:rsidRDefault="004C52A3" w:rsidP="00E81D15">
      <w:pPr>
        <w:pStyle w:val="ListParagraph"/>
        <w:numPr>
          <w:ilvl w:val="0"/>
          <w:numId w:val="25"/>
        </w:numPr>
        <w:spacing w:after="0"/>
        <w:jc w:val="both"/>
        <w:rPr>
          <w:rFonts w:ascii="Arial" w:eastAsia="Times New Roman" w:hAnsi="Arial" w:cs="Arial"/>
          <w:b/>
          <w:caps/>
          <w:sz w:val="18"/>
          <w:szCs w:val="18"/>
        </w:rPr>
      </w:pPr>
      <w:r w:rsidRPr="00E81D15">
        <w:rPr>
          <w:rFonts w:ascii="Arial" w:eastAsia="Times New Roman" w:hAnsi="Arial" w:cs="Arial"/>
          <w:sz w:val="18"/>
          <w:szCs w:val="18"/>
        </w:rPr>
        <w:t>Jan Borlinghaus, Frank Albrecht, Martin C. H. Gruhlke, Ifeanyi D. Nwachukwu and Alan J. Slusarenko (2014)</w:t>
      </w:r>
      <w:r w:rsidR="00AF0B15" w:rsidRPr="00E81D15">
        <w:rPr>
          <w:rFonts w:ascii="Arial" w:eastAsia="Times New Roman" w:hAnsi="Arial" w:cs="Arial"/>
          <w:sz w:val="18"/>
          <w:szCs w:val="18"/>
        </w:rPr>
        <w:t>.</w:t>
      </w:r>
      <w:r w:rsidRPr="00E81D15">
        <w:rPr>
          <w:rFonts w:ascii="Arial" w:eastAsia="Times New Roman" w:hAnsi="Arial" w:cs="Arial"/>
          <w:sz w:val="18"/>
          <w:szCs w:val="18"/>
        </w:rPr>
        <w:t xml:space="preserve"> Allicin: Chemistry and Biological Properties,</w:t>
      </w:r>
      <w:r w:rsidR="00AF0B15" w:rsidRPr="00E81D15">
        <w:rPr>
          <w:rFonts w:ascii="Arial" w:eastAsia="Times New Roman" w:hAnsi="Arial" w:cs="Arial"/>
          <w:sz w:val="18"/>
          <w:szCs w:val="18"/>
        </w:rPr>
        <w:t xml:space="preserve"> MDPI journal. </w:t>
      </w:r>
      <w:r w:rsidRPr="00E81D15">
        <w:rPr>
          <w:rFonts w:ascii="Arial" w:eastAsia="Times New Roman" w:hAnsi="Arial" w:cs="Arial"/>
          <w:sz w:val="18"/>
          <w:szCs w:val="18"/>
        </w:rPr>
        <w:t xml:space="preserve"> 12591-12618; doi:10.3390/molecules190812591</w:t>
      </w:r>
    </w:p>
    <w:p w14:paraId="6B00FEE3" w14:textId="597BAED6" w:rsidR="00436801" w:rsidRPr="00E81D15" w:rsidRDefault="0030304D"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Paulina Furdak, Grzegorz Bartosz and Izabela Sadowska-Bartosz (2024). Which Constituents Determine the Antioxidant Activity and Cytotoxicity of Garlic? Role of Organosulfur Compounds and Phenolics, MDPI, International Journal of Molecular Science. https://doi.org/10.3390/ijms25158391</w:t>
      </w:r>
    </w:p>
    <w:p w14:paraId="384C3F76" w14:textId="334EF8E2" w:rsidR="004431F7" w:rsidRPr="00E81D15" w:rsidRDefault="00AF0B15"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Mohamed T. El-Saadony, Ahmed M. Saad, Sameh A. Korma, Heba M. Salem, Taia A. Abd El-Mageed, Samar Sami Alkafaas et al. (2024). Garlic bioactive substances and their therapeutic applications for improving human health: a comprehensive review, Frontiers in immunology, Sec. Nutritional Immunology </w:t>
      </w:r>
      <w:hyperlink r:id="rId17" w:history="1">
        <w:r w:rsidRPr="00E81D15">
          <w:rPr>
            <w:rStyle w:val="Hyperlink"/>
            <w:rFonts w:ascii="Arial" w:eastAsia="Times New Roman" w:hAnsi="Arial" w:cs="Arial"/>
            <w:color w:val="auto"/>
            <w:sz w:val="18"/>
            <w:szCs w:val="18"/>
          </w:rPr>
          <w:t>https://doi.org/10.3389/fimmu.2024.1277074</w:t>
        </w:r>
      </w:hyperlink>
    </w:p>
    <w:p w14:paraId="5C4B90F5" w14:textId="413A1E8F" w:rsidR="0030304D" w:rsidRPr="00E81D15" w:rsidRDefault="0030304D"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Yuchae Jung, Heejoo Park, Hui-Yuan Zhao, Raok Jeon, Jae-Ha Ryu, and Woo-Young Kim </w:t>
      </w:r>
      <w:r w:rsidR="009178E0" w:rsidRPr="00E81D15">
        <w:rPr>
          <w:rFonts w:ascii="Arial" w:eastAsia="Times New Roman" w:hAnsi="Arial" w:cs="Arial"/>
          <w:sz w:val="18"/>
          <w:szCs w:val="18"/>
        </w:rPr>
        <w:t xml:space="preserve">(2014). Systemic Approaches Identify a Garlic-Derived Chemical, Z-ajoene, as a Glioblastoma Multiforme Cancer Stem Cell-Specific Targeting Agent, Molecules and cells. </w:t>
      </w:r>
      <w:hyperlink r:id="rId18" w:history="1">
        <w:r w:rsidR="009178E0" w:rsidRPr="00E81D15">
          <w:rPr>
            <w:rStyle w:val="Hyperlink"/>
            <w:rFonts w:ascii="Arial" w:eastAsia="Times New Roman" w:hAnsi="Arial" w:cs="Arial"/>
            <w:sz w:val="18"/>
            <w:szCs w:val="18"/>
          </w:rPr>
          <w:t>http://dx.doi.org/10.14348/molcells.2014.0158</w:t>
        </w:r>
      </w:hyperlink>
    </w:p>
    <w:p w14:paraId="3261A6A9" w14:textId="154C30ED" w:rsidR="004431F7" w:rsidRPr="00E81D15" w:rsidRDefault="009178E0"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Faris J. Alyasiri, Maryam Ghobeh, Masoud Homayouni Tabrizi(2023). Preparation and Characterization of Allicin-Loaded Solid Lipid Nanoparticles Surface-Functionalized with Folic Acid-Bonded Chitosan: In Vitro Anticancer and Antioxidant Activities, Frontiers in Bioscience, Landmark. https://doi.org/10.31083/j.fbl2807135 </w:t>
      </w:r>
    </w:p>
    <w:p w14:paraId="6EFBA7CE" w14:textId="6C74C85A" w:rsidR="004431F7" w:rsidRPr="00E81D15" w:rsidRDefault="00470364" w:rsidP="00E81D15">
      <w:pPr>
        <w:pStyle w:val="ListParagraph"/>
        <w:numPr>
          <w:ilvl w:val="0"/>
          <w:numId w:val="25"/>
        </w:numPr>
        <w:spacing w:after="0"/>
        <w:jc w:val="both"/>
        <w:rPr>
          <w:rFonts w:ascii="Arial" w:eastAsia="Times New Roman" w:hAnsi="Arial" w:cs="Arial"/>
          <w:b/>
          <w:caps/>
          <w:sz w:val="18"/>
          <w:szCs w:val="18"/>
        </w:rPr>
      </w:pPr>
      <w:r w:rsidRPr="00E81D15">
        <w:rPr>
          <w:rFonts w:ascii="Arial" w:eastAsia="Times New Roman" w:hAnsi="Arial" w:cs="Arial"/>
          <w:sz w:val="18"/>
          <w:szCs w:val="18"/>
        </w:rPr>
        <w:t>Wamidh H. Talib, Media Mohammed Baban, Sana Allala and Lina T. AL Kury, Aya O. Azzam, et al. (2024). Allicin and Cancer Hallmarks, MDPI, Molecule. https:// doi.org/10.3390/molecules29061320</w:t>
      </w:r>
    </w:p>
    <w:p w14:paraId="23AFEDB9" w14:textId="6E3C38DA" w:rsidR="004431F7" w:rsidRPr="00E81D15" w:rsidRDefault="00470364" w:rsidP="00E81D15">
      <w:pPr>
        <w:pStyle w:val="ListParagraph"/>
        <w:numPr>
          <w:ilvl w:val="0"/>
          <w:numId w:val="25"/>
        </w:numPr>
        <w:spacing w:after="0"/>
        <w:jc w:val="both"/>
        <w:rPr>
          <w:rFonts w:ascii="Arial" w:eastAsia="Times New Roman" w:hAnsi="Arial" w:cs="Arial"/>
          <w:sz w:val="18"/>
          <w:szCs w:val="18"/>
        </w:rPr>
      </w:pPr>
      <w:r w:rsidRPr="00F33AB6">
        <w:rPr>
          <w:rFonts w:ascii="Arial" w:eastAsia="Times New Roman" w:hAnsi="Arial" w:cs="Arial"/>
          <w:sz w:val="18"/>
          <w:szCs w:val="18"/>
          <w:lang w:val="pt-BR"/>
        </w:rPr>
        <w:t>Elena Catanzaro, Donatella Canistro, Valentina Pellicioni, Fabio Vivarelli, Carmela Fimognari (</w:t>
      </w:r>
      <w:r w:rsidR="00C7413E" w:rsidRPr="00F33AB6">
        <w:rPr>
          <w:rFonts w:ascii="Arial" w:eastAsia="Times New Roman" w:hAnsi="Arial" w:cs="Arial"/>
          <w:sz w:val="18"/>
          <w:szCs w:val="18"/>
          <w:lang w:val="pt-BR"/>
        </w:rPr>
        <w:t>2022</w:t>
      </w:r>
      <w:r w:rsidRPr="00F33AB6">
        <w:rPr>
          <w:rFonts w:ascii="Arial" w:eastAsia="Times New Roman" w:hAnsi="Arial" w:cs="Arial"/>
          <w:sz w:val="18"/>
          <w:szCs w:val="18"/>
          <w:lang w:val="pt-BR"/>
        </w:rPr>
        <w:t>)</w:t>
      </w:r>
      <w:r w:rsidR="00C7413E" w:rsidRPr="00F33AB6">
        <w:rPr>
          <w:rFonts w:ascii="Arial" w:eastAsia="Times New Roman" w:hAnsi="Arial" w:cs="Arial"/>
          <w:sz w:val="18"/>
          <w:szCs w:val="18"/>
          <w:lang w:val="pt-BR"/>
        </w:rPr>
        <w:t xml:space="preserve">. </w:t>
      </w:r>
      <w:r w:rsidR="00C7413E" w:rsidRPr="00E81D15">
        <w:rPr>
          <w:rFonts w:ascii="Arial" w:eastAsia="Times New Roman" w:hAnsi="Arial" w:cs="Arial"/>
          <w:sz w:val="18"/>
          <w:szCs w:val="18"/>
        </w:rPr>
        <w:t xml:space="preserve">Anticancer potential of allicin: A review, DOI: </w:t>
      </w:r>
      <w:hyperlink r:id="rId19" w:history="1">
        <w:r w:rsidR="00C7413E" w:rsidRPr="00E81D15">
          <w:rPr>
            <w:rStyle w:val="Hyperlink"/>
            <w:rFonts w:ascii="Arial" w:eastAsia="Times New Roman" w:hAnsi="Arial" w:cs="Arial"/>
            <w:sz w:val="18"/>
            <w:szCs w:val="18"/>
          </w:rPr>
          <w:t>http://doi.org/10.1016/j.phrs.2022.106118</w:t>
        </w:r>
      </w:hyperlink>
      <w:r w:rsidR="00C7413E" w:rsidRPr="00E81D15">
        <w:rPr>
          <w:rFonts w:ascii="Arial" w:eastAsia="Times New Roman" w:hAnsi="Arial" w:cs="Arial"/>
          <w:sz w:val="18"/>
          <w:szCs w:val="18"/>
        </w:rPr>
        <w:t xml:space="preserve">. </w:t>
      </w:r>
    </w:p>
    <w:p w14:paraId="354B617A" w14:textId="2F5458FC" w:rsidR="004431F7" w:rsidRPr="00E81D15" w:rsidRDefault="00C7413E"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lastRenderedPageBreak/>
        <w:t>Catherine H. Kaschula, Roger Hunter and M. Iqbal Parker(2010). Garlic-derived anticancer agents: Structure and biological activity of ajoene, DOI: 10.1002/biof.76</w:t>
      </w:r>
    </w:p>
    <w:p w14:paraId="7C7D9FA7" w14:textId="1B4FFEF0" w:rsidR="000C3F43" w:rsidRPr="00E81D15" w:rsidRDefault="0023516B"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Yuchae Jung, Heejoo Park, Hui-Yuan Zhao, Raok Jeon, Jae-Ha Ryu, and Woo-Young Kim(2014). Systemic Approaches Identify a Garlic-Derived Chemical, Z-ajoene, as a Glioblastoma Multiforme Cancer Stem Cell-Specific Targeting Agent, Molecules and cells, </w:t>
      </w:r>
      <w:hyperlink r:id="rId20" w:history="1">
        <w:r w:rsidRPr="00E81D15">
          <w:rPr>
            <w:rStyle w:val="Hyperlink"/>
            <w:rFonts w:ascii="Arial" w:eastAsia="Times New Roman" w:hAnsi="Arial" w:cs="Arial"/>
            <w:sz w:val="18"/>
            <w:szCs w:val="18"/>
          </w:rPr>
          <w:t>http://dx.doi.org/10.14348/molcells.2014.0158</w:t>
        </w:r>
      </w:hyperlink>
    </w:p>
    <w:p w14:paraId="19EAFE96" w14:textId="46ECFDCF" w:rsidR="0023516B" w:rsidRPr="00E81D15" w:rsidRDefault="0023516B" w:rsidP="00E81D15">
      <w:pPr>
        <w:pStyle w:val="ListParagraph"/>
        <w:numPr>
          <w:ilvl w:val="0"/>
          <w:numId w:val="25"/>
        </w:numPr>
        <w:spacing w:after="0"/>
        <w:jc w:val="both"/>
        <w:rPr>
          <w:rFonts w:ascii="Arial" w:eastAsia="Times New Roman" w:hAnsi="Arial" w:cs="Arial"/>
          <w:sz w:val="18"/>
          <w:szCs w:val="18"/>
        </w:rPr>
      </w:pPr>
      <w:r w:rsidRPr="00F33AB6">
        <w:rPr>
          <w:rFonts w:ascii="Arial" w:eastAsia="Times New Roman" w:hAnsi="Arial" w:cs="Arial"/>
          <w:sz w:val="18"/>
          <w:szCs w:val="18"/>
          <w:lang w:val="nb-NO"/>
        </w:rPr>
        <w:t>Min Li, jing -Rong Ciu, Ying Ye, Ji-Mei Min, Li-he Zhang, Kui Wang</w:t>
      </w:r>
      <w:r w:rsidR="00BA3F3F" w:rsidRPr="00F33AB6">
        <w:rPr>
          <w:rFonts w:ascii="Arial" w:eastAsia="Times New Roman" w:hAnsi="Arial" w:cs="Arial"/>
          <w:sz w:val="18"/>
          <w:szCs w:val="18"/>
          <w:lang w:val="nb-NO"/>
        </w:rPr>
        <w:t xml:space="preserve">, et al. </w:t>
      </w:r>
      <w:r w:rsidR="00BA3F3F" w:rsidRPr="00E81D15">
        <w:rPr>
          <w:rFonts w:ascii="Arial" w:eastAsia="Times New Roman" w:hAnsi="Arial" w:cs="Arial"/>
          <w:sz w:val="18"/>
          <w:szCs w:val="18"/>
        </w:rPr>
        <w:t xml:space="preserve">(2002). Antitumor activity of Z-ajoene, a natural compound purified from garlic: antimitotic and microtubule-interactoin properties. Carninogenesis vol.23. </w:t>
      </w:r>
    </w:p>
    <w:p w14:paraId="30B441A3" w14:textId="63AAB6AF" w:rsidR="00BA3F3F" w:rsidRPr="00E81D15" w:rsidRDefault="00BA3F3F"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Wamidh H. Talib, Sally Atawneh, Areen Nabil Shakhatreh, Ghyda’a Nabil Shakhatreh, Islam Subhi Rasheed aljarrah, Reem Ali Hamed, et al.(2024). Anticancer potential of garlic bioactive constituents: Allicin, Z-ajoene, and organosulfur compounds. Pharmacia. </w:t>
      </w:r>
      <w:hyperlink r:id="rId21" w:history="1">
        <w:r w:rsidRPr="00E81D15">
          <w:rPr>
            <w:rStyle w:val="Hyperlink"/>
            <w:rFonts w:ascii="Arial" w:eastAsia="Times New Roman" w:hAnsi="Arial" w:cs="Arial"/>
            <w:sz w:val="18"/>
            <w:szCs w:val="18"/>
          </w:rPr>
          <w:t>https://doi.org/10.3897/pharmacia.71.e114556</w:t>
        </w:r>
      </w:hyperlink>
    </w:p>
    <w:p w14:paraId="4401586F" w14:textId="1FC435C2" w:rsidR="00BA3F3F" w:rsidRPr="00E81D15" w:rsidRDefault="00BA3F3F"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Yang Zhou1,2, Xingxuan Li2, Wenyu Luo2, Junfeng Zhu3, Jingwen Zhao4, Mengyao Wang(2022). Allicin in Digestive System Cancer: From Biological Effects to Clinical Treatment. </w:t>
      </w:r>
      <w:r w:rsidR="00EA2745" w:rsidRPr="00E81D15">
        <w:rPr>
          <w:rFonts w:ascii="Arial" w:eastAsia="Times New Roman" w:hAnsi="Arial" w:cs="Arial"/>
          <w:sz w:val="18"/>
          <w:szCs w:val="18"/>
        </w:rPr>
        <w:t>Frontiers, Frontiers in Pharmacology.</w:t>
      </w:r>
      <w:r w:rsidR="00EA2745" w:rsidRPr="00E81D15">
        <w:rPr>
          <w:rFonts w:ascii="Arial" w:hAnsi="Arial" w:cs="Arial"/>
          <w:color w:val="282828"/>
          <w:sz w:val="18"/>
          <w:szCs w:val="18"/>
          <w:shd w:val="clear" w:color="auto" w:fill="F7F7F7"/>
        </w:rPr>
        <w:t xml:space="preserve"> </w:t>
      </w:r>
      <w:hyperlink r:id="rId22" w:history="1">
        <w:r w:rsidR="00EA2745" w:rsidRPr="00E81D15">
          <w:rPr>
            <w:rStyle w:val="Hyperlink"/>
            <w:rFonts w:ascii="Arial" w:eastAsia="Times New Roman" w:hAnsi="Arial" w:cs="Arial"/>
            <w:sz w:val="18"/>
            <w:szCs w:val="18"/>
          </w:rPr>
          <w:t>https://doi.org/10.3389/fphar.2022.903259</w:t>
        </w:r>
      </w:hyperlink>
    </w:p>
    <w:p w14:paraId="78C024FA" w14:textId="52BBAEDE" w:rsidR="00EA2745" w:rsidRPr="00E81D15" w:rsidRDefault="00EA2745"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 xml:space="preserve">E. S. Mozafari, Mohammad T. Baei &amp; E. Tazikeh Lemeski(2025). Computational study of the therapeutic properties of allicin and its nanocomplexes using DFT and molecular docking techniques. Scientific reports. </w:t>
      </w:r>
      <w:hyperlink r:id="rId23" w:history="1">
        <w:r w:rsidRPr="00E81D15">
          <w:rPr>
            <w:rStyle w:val="Hyperlink"/>
            <w:rFonts w:ascii="Arial" w:eastAsia="Times New Roman" w:hAnsi="Arial" w:cs="Arial"/>
            <w:sz w:val="18"/>
            <w:szCs w:val="18"/>
          </w:rPr>
          <w:t>https://doi.org/10.1038/s41598-025-03293-0</w:t>
        </w:r>
      </w:hyperlink>
    </w:p>
    <w:p w14:paraId="64EC0B07" w14:textId="1FA1CA79" w:rsidR="00EA2745" w:rsidRPr="00E81D15" w:rsidRDefault="00BE411D" w:rsidP="00E81D15">
      <w:pPr>
        <w:pStyle w:val="ListParagraph"/>
        <w:numPr>
          <w:ilvl w:val="0"/>
          <w:numId w:val="25"/>
        </w:numPr>
        <w:spacing w:after="0"/>
        <w:jc w:val="both"/>
        <w:rPr>
          <w:rFonts w:ascii="Arial" w:eastAsia="Times New Roman" w:hAnsi="Arial" w:cs="Arial"/>
          <w:sz w:val="18"/>
          <w:szCs w:val="18"/>
        </w:rPr>
      </w:pPr>
      <w:r w:rsidRPr="00E81D15">
        <w:rPr>
          <w:rFonts w:ascii="Arial" w:eastAsia="Times New Roman" w:hAnsi="Arial" w:cs="Arial"/>
          <w:sz w:val="18"/>
          <w:szCs w:val="18"/>
        </w:rPr>
        <w:t>Roger Huntera, Catherine H. Kaschula, Iqbal M. Parkerb, Mino R. Caira, Philip Richards, Susan Travis, et al.(2008). Substituted ajoenes as novel anti-cancer agents. Elesevier, Bioorganic and Medicinal Chemistry Letters. doi:10.1016/j.bmcl.2008.08.056</w:t>
      </w:r>
    </w:p>
    <w:p w14:paraId="42578F1F" w14:textId="77777777" w:rsidR="0023516B" w:rsidRPr="00E81D15" w:rsidRDefault="0023516B" w:rsidP="00E81D15">
      <w:pPr>
        <w:spacing w:after="0"/>
        <w:jc w:val="both"/>
        <w:rPr>
          <w:rFonts w:ascii="Arial" w:eastAsia="Times New Roman" w:hAnsi="Arial" w:cs="Arial"/>
          <w:sz w:val="18"/>
          <w:szCs w:val="18"/>
        </w:rPr>
      </w:pPr>
    </w:p>
    <w:p w14:paraId="0E5DA28C" w14:textId="77777777" w:rsidR="0023516B" w:rsidRPr="00E81D15" w:rsidRDefault="0023516B" w:rsidP="00E81D15">
      <w:pPr>
        <w:spacing w:after="0"/>
        <w:jc w:val="both"/>
        <w:rPr>
          <w:rFonts w:ascii="Arial" w:eastAsia="Times New Roman" w:hAnsi="Arial" w:cs="Arial"/>
          <w:sz w:val="18"/>
          <w:szCs w:val="18"/>
        </w:rPr>
      </w:pPr>
    </w:p>
    <w:p w14:paraId="3EED0E75" w14:textId="77777777" w:rsidR="0023516B" w:rsidRPr="00E81D15" w:rsidRDefault="0023516B" w:rsidP="00E81D15">
      <w:pPr>
        <w:spacing w:after="0"/>
        <w:jc w:val="both"/>
        <w:rPr>
          <w:rFonts w:ascii="Arial" w:eastAsia="Times New Roman" w:hAnsi="Arial" w:cs="Arial"/>
          <w:sz w:val="18"/>
          <w:szCs w:val="18"/>
        </w:rPr>
      </w:pPr>
    </w:p>
    <w:p w14:paraId="563C6D18" w14:textId="77777777" w:rsidR="0023516B" w:rsidRPr="00E81D15" w:rsidRDefault="0023516B" w:rsidP="00E81D15">
      <w:pPr>
        <w:spacing w:after="0"/>
        <w:jc w:val="both"/>
        <w:rPr>
          <w:rFonts w:ascii="Arial" w:eastAsia="Times New Roman" w:hAnsi="Arial" w:cs="Arial"/>
          <w:sz w:val="18"/>
          <w:szCs w:val="18"/>
        </w:rPr>
      </w:pPr>
    </w:p>
    <w:p w14:paraId="0936B8FE" w14:textId="77777777" w:rsidR="0023516B" w:rsidRPr="00E81D15" w:rsidRDefault="0023516B" w:rsidP="00E81D15">
      <w:pPr>
        <w:spacing w:after="0"/>
        <w:jc w:val="both"/>
        <w:rPr>
          <w:rFonts w:ascii="Arial" w:eastAsia="Times New Roman" w:hAnsi="Arial" w:cs="Arial"/>
          <w:sz w:val="18"/>
          <w:szCs w:val="18"/>
        </w:rPr>
      </w:pPr>
    </w:p>
    <w:p w14:paraId="1369CCC8" w14:textId="77777777" w:rsidR="007307D6" w:rsidRPr="007307D6" w:rsidRDefault="007307D6" w:rsidP="007307D6">
      <w:pPr>
        <w:spacing w:after="0" w:line="240" w:lineRule="auto"/>
        <w:jc w:val="both"/>
        <w:rPr>
          <w:rFonts w:ascii="Helvetica" w:eastAsia="Times New Roman" w:hAnsi="Helvetica" w:cs="Times New Roman"/>
          <w:i/>
          <w:sz w:val="20"/>
          <w:szCs w:val="20"/>
        </w:rPr>
      </w:pPr>
    </w:p>
    <w:p w14:paraId="6E603E7D" w14:textId="77777777" w:rsidR="007307D6" w:rsidRPr="007307D6" w:rsidRDefault="007307D6" w:rsidP="007307D6">
      <w:pPr>
        <w:spacing w:after="0" w:line="240" w:lineRule="auto"/>
        <w:jc w:val="both"/>
        <w:rPr>
          <w:rFonts w:ascii="Helvetica" w:eastAsia="Times New Roman" w:hAnsi="Helvetica" w:cs="Times New Roman"/>
          <w:i/>
          <w:sz w:val="20"/>
          <w:szCs w:val="20"/>
          <w:u w:val="single"/>
        </w:rPr>
      </w:pPr>
    </w:p>
    <w:p w14:paraId="16D24E4A" w14:textId="77777777" w:rsidR="004431F7" w:rsidRDefault="004431F7" w:rsidP="000C3F43">
      <w:pPr>
        <w:spacing w:after="0" w:line="240" w:lineRule="auto"/>
        <w:rPr>
          <w:rFonts w:ascii="Arial" w:eastAsia="Times New Roman" w:hAnsi="Arial" w:cs="Arial"/>
          <w:b/>
          <w:sz w:val="20"/>
          <w:szCs w:val="20"/>
        </w:rPr>
      </w:pPr>
    </w:p>
    <w:p w14:paraId="5CA98CFF" w14:textId="77777777" w:rsidR="004431F7" w:rsidRDefault="004431F7" w:rsidP="000C3F43">
      <w:pPr>
        <w:spacing w:after="0" w:line="240" w:lineRule="auto"/>
        <w:rPr>
          <w:rFonts w:ascii="Arial" w:eastAsia="Times New Roman" w:hAnsi="Arial" w:cs="Arial"/>
          <w:b/>
          <w:sz w:val="20"/>
          <w:szCs w:val="20"/>
        </w:rPr>
      </w:pPr>
    </w:p>
    <w:p w14:paraId="7421E37F" w14:textId="77777777" w:rsidR="004431F7" w:rsidRDefault="004431F7" w:rsidP="000C3F43">
      <w:pPr>
        <w:spacing w:after="0" w:line="240" w:lineRule="auto"/>
        <w:rPr>
          <w:rFonts w:ascii="Arial" w:eastAsia="Times New Roman" w:hAnsi="Arial" w:cs="Arial"/>
          <w:b/>
          <w:sz w:val="20"/>
          <w:szCs w:val="20"/>
        </w:rPr>
      </w:pPr>
    </w:p>
    <w:p w14:paraId="44FCD6ED" w14:textId="77777777" w:rsidR="004431F7" w:rsidRDefault="004431F7" w:rsidP="000C3F43">
      <w:pPr>
        <w:spacing w:after="0" w:line="240" w:lineRule="auto"/>
        <w:rPr>
          <w:rFonts w:ascii="Arial" w:eastAsia="Times New Roman" w:hAnsi="Arial" w:cs="Arial"/>
          <w:b/>
          <w:sz w:val="20"/>
          <w:szCs w:val="20"/>
        </w:rPr>
      </w:pPr>
    </w:p>
    <w:p w14:paraId="0798B7F9" w14:textId="77777777" w:rsidR="00E81D15" w:rsidRDefault="00E81D15" w:rsidP="000C3F43">
      <w:pPr>
        <w:spacing w:after="0" w:line="240" w:lineRule="auto"/>
        <w:rPr>
          <w:rFonts w:ascii="Arial" w:eastAsia="Times New Roman" w:hAnsi="Arial" w:cs="Arial"/>
          <w:b/>
          <w:sz w:val="20"/>
          <w:szCs w:val="20"/>
        </w:rPr>
      </w:pPr>
    </w:p>
    <w:p w14:paraId="66D7ADDD" w14:textId="77777777" w:rsidR="003F69C0" w:rsidRPr="00704880" w:rsidRDefault="003F69C0" w:rsidP="007B7015">
      <w:pPr>
        <w:shd w:val="clear" w:color="auto" w:fill="FFFFFF"/>
        <w:spacing w:after="0" w:line="240" w:lineRule="auto"/>
        <w:jc w:val="both"/>
        <w:rPr>
          <w:rFonts w:ascii="Arial" w:eastAsia="Times New Roman" w:hAnsi="Arial" w:cs="Arial"/>
          <w:bCs/>
          <w:sz w:val="12"/>
          <w:szCs w:val="16"/>
        </w:rPr>
      </w:pPr>
    </w:p>
    <w:sectPr w:rsidR="003F69C0" w:rsidRPr="00704880" w:rsidSect="00FD554E">
      <w:headerReference w:type="even" r:id="rId24"/>
      <w:headerReference w:type="default" r:id="rId25"/>
      <w:footerReference w:type="even" r:id="rId26"/>
      <w:footerReference w:type="default" r:id="rId27"/>
      <w:headerReference w:type="first" r:id="rId28"/>
      <w:footerReference w:type="first" r:id="rId29"/>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s" w:date="2025-07-23T13:50:00Z" w:initials="A">
    <w:p w14:paraId="2004C9FD" w14:textId="7C9E68E4" w:rsidR="00A777D9" w:rsidRDefault="00A777D9">
      <w:pPr>
        <w:pStyle w:val="CommentText"/>
      </w:pPr>
      <w:r>
        <w:rPr>
          <w:rStyle w:val="CommentReference"/>
        </w:rPr>
        <w:annotationRef/>
      </w:r>
      <w:r>
        <w:t>Should be written in this way- (</w:t>
      </w:r>
      <w:r w:rsidRPr="00F33AB6">
        <w:rPr>
          <w:rFonts w:ascii="Arial" w:eastAsia="Times New Roman" w:hAnsi="Arial" w:cstheme="majorBidi"/>
          <w:b/>
          <w:bCs/>
          <w:iCs/>
          <w:kern w:val="28"/>
          <w:sz w:val="32"/>
          <w:szCs w:val="28"/>
        </w:rPr>
        <w:t>Z</w:t>
      </w:r>
      <w:r>
        <w:rPr>
          <w:rFonts w:ascii="Arial" w:eastAsia="Times New Roman" w:hAnsi="Arial" w:cstheme="majorBidi"/>
          <w:b/>
          <w:bCs/>
          <w:iCs/>
          <w:kern w:val="28"/>
          <w:sz w:val="32"/>
          <w:szCs w:val="28"/>
        </w:rPr>
        <w:t>)</w:t>
      </w:r>
      <w:r w:rsidRPr="00F33AB6">
        <w:rPr>
          <w:rFonts w:ascii="Arial" w:eastAsia="Times New Roman" w:hAnsi="Arial" w:cstheme="majorBidi"/>
          <w:b/>
          <w:bCs/>
          <w:iCs/>
          <w:kern w:val="28"/>
          <w:sz w:val="32"/>
          <w:szCs w:val="28"/>
        </w:rPr>
        <w:noBreakHyphen/>
      </w:r>
      <w:proofErr w:type="spellStart"/>
      <w:r w:rsidRPr="00F33AB6">
        <w:rPr>
          <w:rFonts w:ascii="Arial" w:eastAsia="Times New Roman" w:hAnsi="Arial" w:cstheme="majorBidi"/>
          <w:b/>
          <w:bCs/>
          <w:iCs/>
          <w:kern w:val="28"/>
          <w:sz w:val="32"/>
          <w:szCs w:val="28"/>
        </w:rPr>
        <w:t>Ajoene</w:t>
      </w:r>
      <w:proofErr w:type="spellEnd"/>
    </w:p>
  </w:comment>
  <w:comment w:id="1" w:author="Admins" w:date="2025-07-23T14:09:00Z" w:initials="A">
    <w:p w14:paraId="7ABCBF52" w14:textId="1A9060CE" w:rsidR="003B092B" w:rsidRDefault="003B092B">
      <w:pPr>
        <w:pStyle w:val="CommentText"/>
      </w:pPr>
      <w:r>
        <w:rPr>
          <w:rStyle w:val="CommentReference"/>
        </w:rPr>
        <w:annotationRef/>
      </w:r>
      <w:r>
        <w:t>italics</w:t>
      </w:r>
    </w:p>
  </w:comment>
  <w:comment w:id="3" w:author="Admins" w:date="2025-07-23T14:00:00Z" w:initials="A">
    <w:p w14:paraId="7B8F8CE7" w14:textId="65330C14" w:rsidR="00A777D9" w:rsidRDefault="00A777D9">
      <w:pPr>
        <w:pStyle w:val="CommentText"/>
      </w:pPr>
      <w:r>
        <w:rPr>
          <w:rStyle w:val="CommentReference"/>
        </w:rPr>
        <w:annotationRef/>
      </w:r>
      <w:r>
        <w:t>Spacing formatting required</w:t>
      </w:r>
    </w:p>
  </w:comment>
  <w:comment w:id="2" w:author="Admins" w:date="2025-07-23T14:00:00Z" w:initials="A">
    <w:p w14:paraId="4067F79B" w14:textId="38C0126D" w:rsidR="003B092B" w:rsidRDefault="003B092B">
      <w:pPr>
        <w:pStyle w:val="CommentText"/>
      </w:pPr>
      <w:r>
        <w:rPr>
          <w:rStyle w:val="CommentReference"/>
        </w:rPr>
        <w:annotationRef/>
      </w:r>
      <w:r>
        <w:t>Incomplete sentence</w:t>
      </w:r>
    </w:p>
  </w:comment>
  <w:comment w:id="4" w:author="Admins" w:date="2025-07-23T14:52:00Z" w:initials="A">
    <w:p w14:paraId="598FA961" w14:textId="76FEF702" w:rsidR="005A1F5D" w:rsidRDefault="005A1F5D">
      <w:pPr>
        <w:pStyle w:val="CommentText"/>
      </w:pPr>
      <w:r>
        <w:rPr>
          <w:rStyle w:val="CommentReference"/>
        </w:rPr>
        <w:annotationRef/>
      </w:r>
      <w:r>
        <w:t>The legends of the figures are not given and the figures are not placed properly</w:t>
      </w:r>
    </w:p>
  </w:comment>
  <w:comment w:id="5" w:author="Admins" w:date="2025-07-23T14:50:00Z" w:initials="A">
    <w:p w14:paraId="3577DB80" w14:textId="26B27404" w:rsidR="005A1F5D" w:rsidRDefault="005A1F5D">
      <w:pPr>
        <w:pStyle w:val="CommentText"/>
      </w:pPr>
      <w:r>
        <w:rPr>
          <w:rStyle w:val="CommentReference"/>
        </w:rPr>
        <w:annotationRef/>
      </w:r>
      <w:r>
        <w:t>Italic the biological names in whole manuscript</w:t>
      </w:r>
    </w:p>
  </w:comment>
  <w:comment w:id="6" w:author="Admins" w:date="2025-07-23T14:57:00Z" w:initials="A">
    <w:p w14:paraId="742E2A4F" w14:textId="27C70DBF" w:rsidR="005A1F5D" w:rsidRDefault="005A1F5D">
      <w:pPr>
        <w:pStyle w:val="CommentText"/>
      </w:pPr>
      <w:r>
        <w:rPr>
          <w:rStyle w:val="CommentReference"/>
        </w:rPr>
        <w:annotationRef/>
      </w:r>
      <w:r>
        <w:t>Revise it??</w:t>
      </w:r>
    </w:p>
  </w:comment>
  <w:comment w:id="7" w:author="Admins" w:date="2025-07-23T14:57:00Z" w:initials="A">
    <w:p w14:paraId="697DD2DF" w14:textId="7594E80F" w:rsidR="005A1F5D" w:rsidRDefault="005A1F5D">
      <w:pPr>
        <w:pStyle w:val="CommentText"/>
      </w:pPr>
      <w:r>
        <w:rPr>
          <w:rStyle w:val="CommentReference"/>
        </w:rPr>
        <w:annotationRef/>
      </w:r>
      <w:r>
        <w:t>Need improvement and proper illustrations. Properly cite it in the appropriate place in text.</w:t>
      </w:r>
    </w:p>
  </w:comment>
  <w:comment w:id="8" w:author="Admins" w:date="2025-07-23T15:05:00Z" w:initials="A">
    <w:p w14:paraId="3A5EAFB1" w14:textId="31061DBF" w:rsidR="00F06034" w:rsidRDefault="00F06034">
      <w:pPr>
        <w:pStyle w:val="CommentText"/>
      </w:pPr>
      <w:r>
        <w:rPr>
          <w:rStyle w:val="CommentReference"/>
        </w:rPr>
        <w:annotationRef/>
      </w:r>
      <w:r>
        <w:t>Mention the abbreviation</w:t>
      </w:r>
    </w:p>
  </w:comment>
  <w:comment w:id="9" w:author="Admins" w:date="2025-07-23T15:03:00Z" w:initials="A">
    <w:p w14:paraId="0A6B6493" w14:textId="1DD6734A" w:rsidR="00F06034" w:rsidRDefault="00F06034">
      <w:pPr>
        <w:pStyle w:val="CommentText"/>
      </w:pPr>
      <w:r>
        <w:rPr>
          <w:rStyle w:val="CommentReference"/>
        </w:rPr>
        <w:annotationRef/>
      </w:r>
      <w:r>
        <w:t>Follow uniform formatting style</w:t>
      </w:r>
    </w:p>
  </w:comment>
  <w:comment w:id="10" w:author="Admins" w:date="2025-07-23T15:04:00Z" w:initials="A">
    <w:p w14:paraId="084DABC4" w14:textId="4E9B5E43" w:rsidR="00F06034" w:rsidRDefault="00F06034">
      <w:pPr>
        <w:pStyle w:val="CommentText"/>
      </w:pPr>
      <w:r>
        <w:rPr>
          <w:rStyle w:val="CommentReference"/>
        </w:rPr>
        <w:annotationRef/>
      </w:r>
      <w:r>
        <w:t>Mention the abbreviation</w:t>
      </w:r>
    </w:p>
  </w:comment>
  <w:comment w:id="11" w:author="Admins" w:date="2025-07-23T15:06:00Z" w:initials="A">
    <w:p w14:paraId="419AA696" w14:textId="150C9836" w:rsidR="00F06034" w:rsidRDefault="00F06034">
      <w:pPr>
        <w:pStyle w:val="CommentText"/>
      </w:pPr>
      <w:r>
        <w:rPr>
          <w:rStyle w:val="CommentReference"/>
        </w:rPr>
        <w:annotationRef/>
      </w:r>
      <w:r>
        <w:t>Formatting</w:t>
      </w:r>
    </w:p>
  </w:comment>
  <w:comment w:id="12" w:author="Admins" w:date="2025-07-23T15:07:00Z" w:initials="A">
    <w:p w14:paraId="7A8A7BCE" w14:textId="4317895B" w:rsidR="00F06034" w:rsidRDefault="00F06034">
      <w:pPr>
        <w:pStyle w:val="CommentText"/>
      </w:pPr>
      <w:r>
        <w:rPr>
          <w:rStyle w:val="CommentReference"/>
        </w:rPr>
        <w:annotationRef/>
      </w:r>
      <w:r>
        <w:t>Put the reference here</w:t>
      </w:r>
    </w:p>
  </w:comment>
  <w:comment w:id="13" w:author="Admins" w:date="2025-07-23T15:08:00Z" w:initials="A">
    <w:p w14:paraId="52AE711E" w14:textId="2C82BC48" w:rsidR="00F06034" w:rsidRDefault="00F06034">
      <w:pPr>
        <w:pStyle w:val="CommentText"/>
      </w:pPr>
      <w:r>
        <w:rPr>
          <w:rStyle w:val="CommentReference"/>
        </w:rPr>
        <w:annotationRef/>
      </w:r>
      <w:r>
        <w:t>Spacing formatting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04C9FD" w15:done="0"/>
  <w15:commentEx w15:paraId="7ABCBF52" w15:done="0"/>
  <w15:commentEx w15:paraId="7B8F8CE7" w15:done="0"/>
  <w15:commentEx w15:paraId="4067F79B" w15:done="0"/>
  <w15:commentEx w15:paraId="598FA961" w15:done="0"/>
  <w15:commentEx w15:paraId="3577DB80" w15:done="0"/>
  <w15:commentEx w15:paraId="742E2A4F" w15:done="0"/>
  <w15:commentEx w15:paraId="697DD2DF" w15:done="0"/>
  <w15:commentEx w15:paraId="3A5EAFB1" w15:done="0"/>
  <w15:commentEx w15:paraId="0A6B6493" w15:done="0"/>
  <w15:commentEx w15:paraId="084DABC4" w15:done="0"/>
  <w15:commentEx w15:paraId="419AA696" w15:done="0"/>
  <w15:commentEx w15:paraId="7A8A7BCE" w15:done="0"/>
  <w15:commentEx w15:paraId="52AE711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D67EF" w14:textId="77777777" w:rsidR="00532C77" w:rsidRDefault="00532C77" w:rsidP="00BC3A09">
      <w:pPr>
        <w:spacing w:after="0" w:line="240" w:lineRule="auto"/>
      </w:pPr>
      <w:r>
        <w:separator/>
      </w:r>
    </w:p>
  </w:endnote>
  <w:endnote w:type="continuationSeparator" w:id="0">
    <w:p w14:paraId="4D9402B5" w14:textId="77777777" w:rsidR="00532C77" w:rsidRDefault="00532C77"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7D9F" w14:textId="77777777" w:rsidR="0047128D" w:rsidRDefault="004712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8"/>
      <w:docPartObj>
        <w:docPartGallery w:val="Page Numbers (Bottom of Page)"/>
        <w:docPartUnique/>
      </w:docPartObj>
    </w:sdtPr>
    <w:sdtEndPr/>
    <w:sdtContent>
      <w:p w14:paraId="3BCD08DD" w14:textId="77777777" w:rsidR="00766215" w:rsidRPr="00FD5522" w:rsidRDefault="00766215">
        <w:pPr>
          <w:pStyle w:val="Footer"/>
          <w:jc w:val="center"/>
          <w:rPr>
            <w:rFonts w:ascii="Arial" w:hAnsi="Arial" w:cs="Arial"/>
            <w:sz w:val="28"/>
          </w:rPr>
        </w:pPr>
      </w:p>
      <w:p w14:paraId="43D9E2BF" w14:textId="362DF8CC" w:rsidR="00766215" w:rsidRPr="005B2DF9" w:rsidRDefault="00FB4143">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F06034">
          <w:rPr>
            <w:rFonts w:ascii="Arial" w:hAnsi="Arial" w:cs="Arial"/>
            <w:noProof/>
            <w:sz w:val="18"/>
          </w:rPr>
          <w:t>2</w:t>
        </w:r>
        <w:r w:rsidRPr="005B2DF9">
          <w:rPr>
            <w:rFonts w:ascii="Arial" w:hAnsi="Arial" w:cs="Arial"/>
            <w:sz w:val="18"/>
          </w:rPr>
          <w:fldChar w:fldCharType="end"/>
        </w:r>
      </w:p>
      <w:p w14:paraId="18DC98C6" w14:textId="77777777" w:rsidR="00766215" w:rsidRPr="005B2DF9" w:rsidRDefault="00532C77">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9353" w14:textId="77777777" w:rsidR="00766215" w:rsidRPr="00F322DF" w:rsidRDefault="00766215" w:rsidP="006647CD">
    <w:pPr>
      <w:pStyle w:val="Footer"/>
      <w:rPr>
        <w:rFonts w:ascii="Arial" w:hAnsi="Arial" w:cs="Arial"/>
        <w:i/>
        <w:sz w:val="16"/>
      </w:rPr>
    </w:pPr>
    <w:r w:rsidRPr="00F322DF">
      <w:rPr>
        <w:rFonts w:ascii="Arial" w:hAnsi="Arial" w:cs="Arial"/>
        <w:i/>
        <w:sz w:val="16"/>
      </w:rPr>
      <w:t>_____________________________________________</w:t>
    </w:r>
    <w:r>
      <w:rPr>
        <w:rFonts w:ascii="Arial" w:hAnsi="Arial" w:cs="Arial"/>
        <w:i/>
        <w:sz w:val="16"/>
      </w:rPr>
      <w:t>_________</w:t>
    </w:r>
    <w:r w:rsidRPr="00F322DF">
      <w:rPr>
        <w:rFonts w:ascii="Arial" w:hAnsi="Arial" w:cs="Arial"/>
        <w:i/>
        <w:sz w:val="16"/>
      </w:rPr>
      <w:t>__</w:t>
    </w:r>
    <w:r>
      <w:rPr>
        <w:rFonts w:ascii="Arial" w:hAnsi="Arial" w:cs="Arial"/>
        <w:i/>
        <w:sz w:val="16"/>
      </w:rPr>
      <w:t>________________</w:t>
    </w:r>
  </w:p>
  <w:p w14:paraId="0EFF237A" w14:textId="77777777" w:rsidR="00766215" w:rsidRPr="00FD5522" w:rsidRDefault="00766215" w:rsidP="00F322DF">
    <w:pPr>
      <w:pStyle w:val="Footer"/>
      <w:jc w:val="both"/>
      <w:rPr>
        <w:rFonts w:ascii="Arial" w:hAnsi="Arial" w:cs="Arial"/>
        <w:b/>
        <w:i/>
        <w:color w:val="FF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28E6F" w14:textId="77777777" w:rsidR="00532C77" w:rsidRDefault="00532C77" w:rsidP="00BC3A09">
      <w:pPr>
        <w:spacing w:after="0" w:line="240" w:lineRule="auto"/>
      </w:pPr>
      <w:r>
        <w:separator/>
      </w:r>
    </w:p>
  </w:footnote>
  <w:footnote w:type="continuationSeparator" w:id="0">
    <w:p w14:paraId="005D2333" w14:textId="77777777" w:rsidR="00532C77" w:rsidRDefault="00532C77"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544F" w14:textId="429EA676" w:rsidR="00766215" w:rsidRDefault="00532C77" w:rsidP="001D1419">
    <w:pPr>
      <w:tabs>
        <w:tab w:val="center" w:pos="4320"/>
        <w:tab w:val="right" w:pos="8640"/>
      </w:tabs>
      <w:spacing w:after="0" w:line="240" w:lineRule="auto"/>
      <w:rPr>
        <w:rFonts w:ascii="Arial" w:eastAsia="Times New Roman" w:hAnsi="Arial" w:cs="Arial"/>
        <w:b/>
        <w:i/>
        <w:sz w:val="16"/>
        <w:szCs w:val="20"/>
      </w:rPr>
    </w:pPr>
    <w:r>
      <w:rPr>
        <w:noProof/>
      </w:rPr>
      <w:pict w14:anchorId="19E00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807251"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2FB27BA"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766215" w:rsidRDefault="00766215"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766215" w:rsidRDefault="00766215">
    <w:pPr>
      <w:pStyle w:val="Header"/>
      <w:rPr>
        <w:sz w:val="16"/>
      </w:rPr>
    </w:pPr>
  </w:p>
  <w:p w14:paraId="3DFE3FC3" w14:textId="77777777" w:rsidR="00766215" w:rsidRPr="001D1419" w:rsidRDefault="00766215">
    <w:pPr>
      <w:pStyle w:val="Header"/>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90E1" w14:textId="20652D41" w:rsidR="00766215" w:rsidRDefault="00532C77"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0EC7C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807252"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647BFC9"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832C" w14:textId="5B3A53C3" w:rsidR="0047128D" w:rsidRDefault="00532C77">
    <w:pPr>
      <w:pStyle w:val="Header"/>
    </w:pPr>
    <w:r>
      <w:rPr>
        <w:noProof/>
      </w:rPr>
      <w:pict w14:anchorId="09ECC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807250"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295B84"/>
    <w:multiLevelType w:val="multilevel"/>
    <w:tmpl w:val="3270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130B36"/>
    <w:multiLevelType w:val="hybridMultilevel"/>
    <w:tmpl w:val="A3A6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650BE"/>
    <w:multiLevelType w:val="multilevel"/>
    <w:tmpl w:val="8FA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50C9A"/>
    <w:multiLevelType w:val="multilevel"/>
    <w:tmpl w:val="56E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E1A49"/>
    <w:multiLevelType w:val="multilevel"/>
    <w:tmpl w:val="31D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01E12"/>
    <w:multiLevelType w:val="hybridMultilevel"/>
    <w:tmpl w:val="B506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A849B4"/>
    <w:multiLevelType w:val="hybridMultilevel"/>
    <w:tmpl w:val="DFC054C4"/>
    <w:lvl w:ilvl="0" w:tplc="399C67D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96155"/>
    <w:multiLevelType w:val="hybridMultilevel"/>
    <w:tmpl w:val="80301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8532D6"/>
    <w:multiLevelType w:val="multilevel"/>
    <w:tmpl w:val="FD52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4"/>
  </w:num>
  <w:num w:numId="3">
    <w:abstractNumId w:val="7"/>
  </w:num>
  <w:num w:numId="4">
    <w:abstractNumId w:val="0"/>
  </w:num>
  <w:num w:numId="5">
    <w:abstractNumId w:val="17"/>
  </w:num>
  <w:num w:numId="6">
    <w:abstractNumId w:val="2"/>
  </w:num>
  <w:num w:numId="7">
    <w:abstractNumId w:val="23"/>
  </w:num>
  <w:num w:numId="8">
    <w:abstractNumId w:val="6"/>
  </w:num>
  <w:num w:numId="9">
    <w:abstractNumId w:val="3"/>
  </w:num>
  <w:num w:numId="10">
    <w:abstractNumId w:val="15"/>
  </w:num>
  <w:num w:numId="11">
    <w:abstractNumId w:val="21"/>
  </w:num>
  <w:num w:numId="12">
    <w:abstractNumId w:val="20"/>
  </w:num>
  <w:num w:numId="13">
    <w:abstractNumId w:val="9"/>
  </w:num>
  <w:num w:numId="14">
    <w:abstractNumId w:val="5"/>
  </w:num>
  <w:num w:numId="15">
    <w:abstractNumId w:val="22"/>
  </w:num>
  <w:num w:numId="16">
    <w:abstractNumId w:val="1"/>
  </w:num>
  <w:num w:numId="17">
    <w:abstractNumId w:val="19"/>
  </w:num>
  <w:num w:numId="18">
    <w:abstractNumId w:val="13"/>
  </w:num>
  <w:num w:numId="19">
    <w:abstractNumId w:val="11"/>
  </w:num>
  <w:num w:numId="20">
    <w:abstractNumId w:val="4"/>
  </w:num>
  <w:num w:numId="21">
    <w:abstractNumId w:val="12"/>
  </w:num>
  <w:num w:numId="22">
    <w:abstractNumId w:val="18"/>
  </w:num>
  <w:num w:numId="23">
    <w:abstractNumId w:val="14"/>
  </w:num>
  <w:num w:numId="24">
    <w:abstractNumId w:val="10"/>
  </w:num>
  <w:num w:numId="25">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s">
    <w15:presenceInfo w15:providerId="None" w15:userId="Adm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C3A09"/>
    <w:rsid w:val="000027B2"/>
    <w:rsid w:val="000102C3"/>
    <w:rsid w:val="00017553"/>
    <w:rsid w:val="0002037D"/>
    <w:rsid w:val="00020DBF"/>
    <w:rsid w:val="000300C0"/>
    <w:rsid w:val="00030F1D"/>
    <w:rsid w:val="0003366C"/>
    <w:rsid w:val="0004319C"/>
    <w:rsid w:val="000462FD"/>
    <w:rsid w:val="00070403"/>
    <w:rsid w:val="00070BB0"/>
    <w:rsid w:val="00074041"/>
    <w:rsid w:val="00076C1B"/>
    <w:rsid w:val="0007762A"/>
    <w:rsid w:val="00081731"/>
    <w:rsid w:val="00083CEA"/>
    <w:rsid w:val="00087F3F"/>
    <w:rsid w:val="000931EC"/>
    <w:rsid w:val="00095E5E"/>
    <w:rsid w:val="000A439E"/>
    <w:rsid w:val="000B69B2"/>
    <w:rsid w:val="000B75DD"/>
    <w:rsid w:val="000C3F43"/>
    <w:rsid w:val="000D2DFF"/>
    <w:rsid w:val="000D5740"/>
    <w:rsid w:val="000E3672"/>
    <w:rsid w:val="000E5BB1"/>
    <w:rsid w:val="000E7EDB"/>
    <w:rsid w:val="000F1DCC"/>
    <w:rsid w:val="000F6BA6"/>
    <w:rsid w:val="00102BC0"/>
    <w:rsid w:val="0010789F"/>
    <w:rsid w:val="00123155"/>
    <w:rsid w:val="00124417"/>
    <w:rsid w:val="00127A43"/>
    <w:rsid w:val="00137E81"/>
    <w:rsid w:val="001401E6"/>
    <w:rsid w:val="00147D2C"/>
    <w:rsid w:val="001611B5"/>
    <w:rsid w:val="00161581"/>
    <w:rsid w:val="001622BB"/>
    <w:rsid w:val="00164CD4"/>
    <w:rsid w:val="00166F1A"/>
    <w:rsid w:val="00170EB0"/>
    <w:rsid w:val="00173481"/>
    <w:rsid w:val="00173660"/>
    <w:rsid w:val="00174407"/>
    <w:rsid w:val="00184A40"/>
    <w:rsid w:val="001926BA"/>
    <w:rsid w:val="001929E6"/>
    <w:rsid w:val="00194B74"/>
    <w:rsid w:val="001969F2"/>
    <w:rsid w:val="001A6EB5"/>
    <w:rsid w:val="001B4AFE"/>
    <w:rsid w:val="001B603E"/>
    <w:rsid w:val="001B7997"/>
    <w:rsid w:val="001C1263"/>
    <w:rsid w:val="001C21FB"/>
    <w:rsid w:val="001C3943"/>
    <w:rsid w:val="001C5940"/>
    <w:rsid w:val="001D1419"/>
    <w:rsid w:val="001D2F5D"/>
    <w:rsid w:val="001D4826"/>
    <w:rsid w:val="001D50F4"/>
    <w:rsid w:val="001D5579"/>
    <w:rsid w:val="001D6C89"/>
    <w:rsid w:val="001E32CC"/>
    <w:rsid w:val="001E5AC6"/>
    <w:rsid w:val="001F029B"/>
    <w:rsid w:val="001F57FF"/>
    <w:rsid w:val="00202A41"/>
    <w:rsid w:val="002065A5"/>
    <w:rsid w:val="002069F3"/>
    <w:rsid w:val="00217A18"/>
    <w:rsid w:val="002336A8"/>
    <w:rsid w:val="00234260"/>
    <w:rsid w:val="0023516B"/>
    <w:rsid w:val="00242C18"/>
    <w:rsid w:val="0024494C"/>
    <w:rsid w:val="00245E29"/>
    <w:rsid w:val="002467DD"/>
    <w:rsid w:val="00246DF6"/>
    <w:rsid w:val="0025070C"/>
    <w:rsid w:val="002533CF"/>
    <w:rsid w:val="00253760"/>
    <w:rsid w:val="0025448F"/>
    <w:rsid w:val="00254928"/>
    <w:rsid w:val="00254D3F"/>
    <w:rsid w:val="00260588"/>
    <w:rsid w:val="00260783"/>
    <w:rsid w:val="00265941"/>
    <w:rsid w:val="00274E73"/>
    <w:rsid w:val="002857A3"/>
    <w:rsid w:val="00293BC8"/>
    <w:rsid w:val="002973D4"/>
    <w:rsid w:val="00297FD8"/>
    <w:rsid w:val="002B1358"/>
    <w:rsid w:val="002B2426"/>
    <w:rsid w:val="002B26BC"/>
    <w:rsid w:val="002B31FE"/>
    <w:rsid w:val="002B65F4"/>
    <w:rsid w:val="002C32D0"/>
    <w:rsid w:val="002C42FB"/>
    <w:rsid w:val="002C56CC"/>
    <w:rsid w:val="002C606A"/>
    <w:rsid w:val="002C73FE"/>
    <w:rsid w:val="002D203E"/>
    <w:rsid w:val="002D4542"/>
    <w:rsid w:val="002D5C57"/>
    <w:rsid w:val="002D6CD5"/>
    <w:rsid w:val="002D6FAD"/>
    <w:rsid w:val="002E579A"/>
    <w:rsid w:val="002F0E2B"/>
    <w:rsid w:val="002F5633"/>
    <w:rsid w:val="002F7DE3"/>
    <w:rsid w:val="0030304D"/>
    <w:rsid w:val="0030437E"/>
    <w:rsid w:val="00305B93"/>
    <w:rsid w:val="00311590"/>
    <w:rsid w:val="00315BDD"/>
    <w:rsid w:val="003216D0"/>
    <w:rsid w:val="003220AC"/>
    <w:rsid w:val="00327894"/>
    <w:rsid w:val="00332D33"/>
    <w:rsid w:val="00333019"/>
    <w:rsid w:val="00335795"/>
    <w:rsid w:val="00336476"/>
    <w:rsid w:val="00345A57"/>
    <w:rsid w:val="00346132"/>
    <w:rsid w:val="0035419E"/>
    <w:rsid w:val="00355DEB"/>
    <w:rsid w:val="003576BF"/>
    <w:rsid w:val="00357905"/>
    <w:rsid w:val="003653C8"/>
    <w:rsid w:val="003654D1"/>
    <w:rsid w:val="003676B0"/>
    <w:rsid w:val="00375144"/>
    <w:rsid w:val="003819AF"/>
    <w:rsid w:val="00385A2F"/>
    <w:rsid w:val="00386363"/>
    <w:rsid w:val="003876C4"/>
    <w:rsid w:val="003940CD"/>
    <w:rsid w:val="00397809"/>
    <w:rsid w:val="00397F4E"/>
    <w:rsid w:val="003A15F4"/>
    <w:rsid w:val="003A20AD"/>
    <w:rsid w:val="003A37AE"/>
    <w:rsid w:val="003A3864"/>
    <w:rsid w:val="003B092B"/>
    <w:rsid w:val="003B11B0"/>
    <w:rsid w:val="003B43D6"/>
    <w:rsid w:val="003B7B22"/>
    <w:rsid w:val="003C0541"/>
    <w:rsid w:val="003C4CBC"/>
    <w:rsid w:val="003C6DB6"/>
    <w:rsid w:val="003D30AA"/>
    <w:rsid w:val="003D5B1B"/>
    <w:rsid w:val="003D7949"/>
    <w:rsid w:val="003D7B5F"/>
    <w:rsid w:val="003E0B3A"/>
    <w:rsid w:val="003E3E5F"/>
    <w:rsid w:val="003E7059"/>
    <w:rsid w:val="003F1E14"/>
    <w:rsid w:val="003F2AFF"/>
    <w:rsid w:val="003F69C0"/>
    <w:rsid w:val="00402B6B"/>
    <w:rsid w:val="00406503"/>
    <w:rsid w:val="004075C2"/>
    <w:rsid w:val="00411A78"/>
    <w:rsid w:val="00414C80"/>
    <w:rsid w:val="004150AA"/>
    <w:rsid w:val="00424C6F"/>
    <w:rsid w:val="00425553"/>
    <w:rsid w:val="00427E04"/>
    <w:rsid w:val="0043106C"/>
    <w:rsid w:val="00432795"/>
    <w:rsid w:val="00434494"/>
    <w:rsid w:val="00436801"/>
    <w:rsid w:val="0043775E"/>
    <w:rsid w:val="004429EB"/>
    <w:rsid w:val="00442AED"/>
    <w:rsid w:val="004431F7"/>
    <w:rsid w:val="0044483A"/>
    <w:rsid w:val="00445F47"/>
    <w:rsid w:val="00453305"/>
    <w:rsid w:val="00453BEF"/>
    <w:rsid w:val="004602CC"/>
    <w:rsid w:val="004624CB"/>
    <w:rsid w:val="00463DDE"/>
    <w:rsid w:val="00464638"/>
    <w:rsid w:val="0046639E"/>
    <w:rsid w:val="00466A2B"/>
    <w:rsid w:val="00470364"/>
    <w:rsid w:val="0047128D"/>
    <w:rsid w:val="00473167"/>
    <w:rsid w:val="0047473B"/>
    <w:rsid w:val="004753A1"/>
    <w:rsid w:val="00491603"/>
    <w:rsid w:val="004B0166"/>
    <w:rsid w:val="004B7F30"/>
    <w:rsid w:val="004C52A3"/>
    <w:rsid w:val="004C6A69"/>
    <w:rsid w:val="004D239E"/>
    <w:rsid w:val="004E05F4"/>
    <w:rsid w:val="004E22F1"/>
    <w:rsid w:val="004F0E65"/>
    <w:rsid w:val="004F3956"/>
    <w:rsid w:val="00503D70"/>
    <w:rsid w:val="00510744"/>
    <w:rsid w:val="00524DA4"/>
    <w:rsid w:val="00525E9E"/>
    <w:rsid w:val="00530AE8"/>
    <w:rsid w:val="00532C77"/>
    <w:rsid w:val="00542C91"/>
    <w:rsid w:val="00547E21"/>
    <w:rsid w:val="005567C7"/>
    <w:rsid w:val="00561754"/>
    <w:rsid w:val="00571AF2"/>
    <w:rsid w:val="00572B7B"/>
    <w:rsid w:val="00575616"/>
    <w:rsid w:val="00576C1D"/>
    <w:rsid w:val="005773CA"/>
    <w:rsid w:val="005929CC"/>
    <w:rsid w:val="00592D2B"/>
    <w:rsid w:val="00592D54"/>
    <w:rsid w:val="005A1822"/>
    <w:rsid w:val="005A1F5D"/>
    <w:rsid w:val="005A55A4"/>
    <w:rsid w:val="005B0523"/>
    <w:rsid w:val="005B2DF9"/>
    <w:rsid w:val="005B4F0E"/>
    <w:rsid w:val="005B5D88"/>
    <w:rsid w:val="005C7CA6"/>
    <w:rsid w:val="005D5569"/>
    <w:rsid w:val="005D7836"/>
    <w:rsid w:val="005E79FA"/>
    <w:rsid w:val="005F1805"/>
    <w:rsid w:val="005F3AD1"/>
    <w:rsid w:val="005F4C5B"/>
    <w:rsid w:val="00604A8D"/>
    <w:rsid w:val="00606448"/>
    <w:rsid w:val="00614FA8"/>
    <w:rsid w:val="00616622"/>
    <w:rsid w:val="00617E4C"/>
    <w:rsid w:val="0062045B"/>
    <w:rsid w:val="00623389"/>
    <w:rsid w:val="006365AA"/>
    <w:rsid w:val="006376AC"/>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B321A"/>
    <w:rsid w:val="006B5C1B"/>
    <w:rsid w:val="006D06BB"/>
    <w:rsid w:val="006E19F4"/>
    <w:rsid w:val="00704880"/>
    <w:rsid w:val="00707CCF"/>
    <w:rsid w:val="007126E6"/>
    <w:rsid w:val="007172CD"/>
    <w:rsid w:val="00724CDF"/>
    <w:rsid w:val="00724D7F"/>
    <w:rsid w:val="007307D6"/>
    <w:rsid w:val="00732D81"/>
    <w:rsid w:val="00744175"/>
    <w:rsid w:val="0074427A"/>
    <w:rsid w:val="007446AE"/>
    <w:rsid w:val="00745884"/>
    <w:rsid w:val="00753617"/>
    <w:rsid w:val="00754B6E"/>
    <w:rsid w:val="007574B5"/>
    <w:rsid w:val="00757540"/>
    <w:rsid w:val="00760439"/>
    <w:rsid w:val="007624EA"/>
    <w:rsid w:val="00766215"/>
    <w:rsid w:val="00767FE9"/>
    <w:rsid w:val="00770B96"/>
    <w:rsid w:val="00776D4F"/>
    <w:rsid w:val="007778E0"/>
    <w:rsid w:val="00784586"/>
    <w:rsid w:val="00792599"/>
    <w:rsid w:val="007A400F"/>
    <w:rsid w:val="007B7015"/>
    <w:rsid w:val="007C7436"/>
    <w:rsid w:val="007D09E2"/>
    <w:rsid w:val="007D0E9E"/>
    <w:rsid w:val="007D1C0B"/>
    <w:rsid w:val="007D4851"/>
    <w:rsid w:val="007D607F"/>
    <w:rsid w:val="007E3171"/>
    <w:rsid w:val="007E6A27"/>
    <w:rsid w:val="007E6EB7"/>
    <w:rsid w:val="007F01CE"/>
    <w:rsid w:val="007F07CC"/>
    <w:rsid w:val="007F3FA3"/>
    <w:rsid w:val="007F48B5"/>
    <w:rsid w:val="007F6B3E"/>
    <w:rsid w:val="007F7D5D"/>
    <w:rsid w:val="00805AB7"/>
    <w:rsid w:val="00821B8D"/>
    <w:rsid w:val="008241EA"/>
    <w:rsid w:val="00825957"/>
    <w:rsid w:val="0083061C"/>
    <w:rsid w:val="008348A2"/>
    <w:rsid w:val="00841744"/>
    <w:rsid w:val="00841957"/>
    <w:rsid w:val="00842431"/>
    <w:rsid w:val="00846949"/>
    <w:rsid w:val="00851F12"/>
    <w:rsid w:val="00855C8D"/>
    <w:rsid w:val="008604C8"/>
    <w:rsid w:val="0086641B"/>
    <w:rsid w:val="008669B7"/>
    <w:rsid w:val="00866A99"/>
    <w:rsid w:val="00867FC4"/>
    <w:rsid w:val="008853CB"/>
    <w:rsid w:val="00892C62"/>
    <w:rsid w:val="008939AF"/>
    <w:rsid w:val="008A1E18"/>
    <w:rsid w:val="008A2903"/>
    <w:rsid w:val="008A5EFF"/>
    <w:rsid w:val="008B267E"/>
    <w:rsid w:val="008B38F6"/>
    <w:rsid w:val="008B7B29"/>
    <w:rsid w:val="008C5FB4"/>
    <w:rsid w:val="008D06B8"/>
    <w:rsid w:val="008D06E2"/>
    <w:rsid w:val="008D217E"/>
    <w:rsid w:val="008D2518"/>
    <w:rsid w:val="008D415A"/>
    <w:rsid w:val="008D670A"/>
    <w:rsid w:val="008E03F3"/>
    <w:rsid w:val="008E1D22"/>
    <w:rsid w:val="008E3326"/>
    <w:rsid w:val="008E3C18"/>
    <w:rsid w:val="008E6CAD"/>
    <w:rsid w:val="008F10AC"/>
    <w:rsid w:val="008F1AB3"/>
    <w:rsid w:val="009005A6"/>
    <w:rsid w:val="009178E0"/>
    <w:rsid w:val="0092126B"/>
    <w:rsid w:val="00930D3C"/>
    <w:rsid w:val="00931A6C"/>
    <w:rsid w:val="009343F9"/>
    <w:rsid w:val="00942194"/>
    <w:rsid w:val="00942A40"/>
    <w:rsid w:val="00943F97"/>
    <w:rsid w:val="009447C5"/>
    <w:rsid w:val="00944A6A"/>
    <w:rsid w:val="00954E28"/>
    <w:rsid w:val="009556EA"/>
    <w:rsid w:val="00963541"/>
    <w:rsid w:val="00966F29"/>
    <w:rsid w:val="00967FF6"/>
    <w:rsid w:val="009A05F6"/>
    <w:rsid w:val="009A3664"/>
    <w:rsid w:val="009B10C1"/>
    <w:rsid w:val="009B1499"/>
    <w:rsid w:val="009B1CAD"/>
    <w:rsid w:val="009B5826"/>
    <w:rsid w:val="009C087D"/>
    <w:rsid w:val="009C1CFC"/>
    <w:rsid w:val="009C45B1"/>
    <w:rsid w:val="009D634A"/>
    <w:rsid w:val="009D7918"/>
    <w:rsid w:val="009E3D04"/>
    <w:rsid w:val="009F0F84"/>
    <w:rsid w:val="00A04FD1"/>
    <w:rsid w:val="00A106D8"/>
    <w:rsid w:val="00A10F53"/>
    <w:rsid w:val="00A12C88"/>
    <w:rsid w:val="00A21222"/>
    <w:rsid w:val="00A229AF"/>
    <w:rsid w:val="00A3018C"/>
    <w:rsid w:val="00A34505"/>
    <w:rsid w:val="00A419C6"/>
    <w:rsid w:val="00A42435"/>
    <w:rsid w:val="00A446A7"/>
    <w:rsid w:val="00A448ED"/>
    <w:rsid w:val="00A630CE"/>
    <w:rsid w:val="00A66E7E"/>
    <w:rsid w:val="00A76EE2"/>
    <w:rsid w:val="00A777D9"/>
    <w:rsid w:val="00A8336F"/>
    <w:rsid w:val="00A8786E"/>
    <w:rsid w:val="00A90F37"/>
    <w:rsid w:val="00A91C74"/>
    <w:rsid w:val="00A95E2A"/>
    <w:rsid w:val="00AA240C"/>
    <w:rsid w:val="00AB28FF"/>
    <w:rsid w:val="00AB4068"/>
    <w:rsid w:val="00AB4B93"/>
    <w:rsid w:val="00AD105B"/>
    <w:rsid w:val="00AD11DC"/>
    <w:rsid w:val="00AD4FBA"/>
    <w:rsid w:val="00AF0B15"/>
    <w:rsid w:val="00AF2474"/>
    <w:rsid w:val="00AF2860"/>
    <w:rsid w:val="00AF4731"/>
    <w:rsid w:val="00B010EA"/>
    <w:rsid w:val="00B1473F"/>
    <w:rsid w:val="00B147F2"/>
    <w:rsid w:val="00B20342"/>
    <w:rsid w:val="00B22E33"/>
    <w:rsid w:val="00B26ED0"/>
    <w:rsid w:val="00B3120B"/>
    <w:rsid w:val="00B33F04"/>
    <w:rsid w:val="00B34445"/>
    <w:rsid w:val="00B34859"/>
    <w:rsid w:val="00B34D3F"/>
    <w:rsid w:val="00B35083"/>
    <w:rsid w:val="00B43B70"/>
    <w:rsid w:val="00B44D3B"/>
    <w:rsid w:val="00B51F25"/>
    <w:rsid w:val="00B53D75"/>
    <w:rsid w:val="00B54830"/>
    <w:rsid w:val="00B57D59"/>
    <w:rsid w:val="00B66B38"/>
    <w:rsid w:val="00B72393"/>
    <w:rsid w:val="00B77776"/>
    <w:rsid w:val="00B85892"/>
    <w:rsid w:val="00B867B1"/>
    <w:rsid w:val="00B87720"/>
    <w:rsid w:val="00B91620"/>
    <w:rsid w:val="00BA107D"/>
    <w:rsid w:val="00BA3F3F"/>
    <w:rsid w:val="00BA6187"/>
    <w:rsid w:val="00BA6448"/>
    <w:rsid w:val="00BA7430"/>
    <w:rsid w:val="00BA7A32"/>
    <w:rsid w:val="00BB4FDD"/>
    <w:rsid w:val="00BB4FF2"/>
    <w:rsid w:val="00BB6601"/>
    <w:rsid w:val="00BC3A09"/>
    <w:rsid w:val="00BC78AE"/>
    <w:rsid w:val="00BD2F79"/>
    <w:rsid w:val="00BD7A95"/>
    <w:rsid w:val="00BE254C"/>
    <w:rsid w:val="00BE411D"/>
    <w:rsid w:val="00BE67D3"/>
    <w:rsid w:val="00BF1DCA"/>
    <w:rsid w:val="00BF5BA6"/>
    <w:rsid w:val="00BF61D2"/>
    <w:rsid w:val="00BF6FC3"/>
    <w:rsid w:val="00C0144B"/>
    <w:rsid w:val="00C0276B"/>
    <w:rsid w:val="00C0276D"/>
    <w:rsid w:val="00C02EA4"/>
    <w:rsid w:val="00C063F5"/>
    <w:rsid w:val="00C10038"/>
    <w:rsid w:val="00C2147A"/>
    <w:rsid w:val="00C26904"/>
    <w:rsid w:val="00C31F03"/>
    <w:rsid w:val="00C410C6"/>
    <w:rsid w:val="00C45470"/>
    <w:rsid w:val="00C47061"/>
    <w:rsid w:val="00C501F6"/>
    <w:rsid w:val="00C50420"/>
    <w:rsid w:val="00C61F3E"/>
    <w:rsid w:val="00C61F94"/>
    <w:rsid w:val="00C6322A"/>
    <w:rsid w:val="00C652CF"/>
    <w:rsid w:val="00C65D43"/>
    <w:rsid w:val="00C66E7C"/>
    <w:rsid w:val="00C735C2"/>
    <w:rsid w:val="00C73BDF"/>
    <w:rsid w:val="00C7413E"/>
    <w:rsid w:val="00C7752B"/>
    <w:rsid w:val="00C77F06"/>
    <w:rsid w:val="00C804BE"/>
    <w:rsid w:val="00C85FFB"/>
    <w:rsid w:val="00C87457"/>
    <w:rsid w:val="00C95225"/>
    <w:rsid w:val="00C956BD"/>
    <w:rsid w:val="00CA550D"/>
    <w:rsid w:val="00CA59BF"/>
    <w:rsid w:val="00CB28AA"/>
    <w:rsid w:val="00CB7D0D"/>
    <w:rsid w:val="00CC057E"/>
    <w:rsid w:val="00CC5551"/>
    <w:rsid w:val="00CD2E97"/>
    <w:rsid w:val="00CD772F"/>
    <w:rsid w:val="00CE476C"/>
    <w:rsid w:val="00CE5374"/>
    <w:rsid w:val="00CF08A4"/>
    <w:rsid w:val="00CF1093"/>
    <w:rsid w:val="00CF14D9"/>
    <w:rsid w:val="00CF5DA9"/>
    <w:rsid w:val="00CF69AC"/>
    <w:rsid w:val="00D048FB"/>
    <w:rsid w:val="00D064E6"/>
    <w:rsid w:val="00D2012D"/>
    <w:rsid w:val="00D201DB"/>
    <w:rsid w:val="00D22C76"/>
    <w:rsid w:val="00D44FC0"/>
    <w:rsid w:val="00D51EA8"/>
    <w:rsid w:val="00D57C43"/>
    <w:rsid w:val="00D617E0"/>
    <w:rsid w:val="00D62180"/>
    <w:rsid w:val="00D646E6"/>
    <w:rsid w:val="00D64CBF"/>
    <w:rsid w:val="00D730C3"/>
    <w:rsid w:val="00D76155"/>
    <w:rsid w:val="00D764CA"/>
    <w:rsid w:val="00D8495C"/>
    <w:rsid w:val="00D91390"/>
    <w:rsid w:val="00D91D22"/>
    <w:rsid w:val="00D92CBC"/>
    <w:rsid w:val="00DA7969"/>
    <w:rsid w:val="00DB27D4"/>
    <w:rsid w:val="00DB407B"/>
    <w:rsid w:val="00DB5340"/>
    <w:rsid w:val="00DC4525"/>
    <w:rsid w:val="00DC483B"/>
    <w:rsid w:val="00DD78EB"/>
    <w:rsid w:val="00DE3256"/>
    <w:rsid w:val="00DE77C7"/>
    <w:rsid w:val="00DF5D9D"/>
    <w:rsid w:val="00DF73D5"/>
    <w:rsid w:val="00E03241"/>
    <w:rsid w:val="00E07FAA"/>
    <w:rsid w:val="00E22BB5"/>
    <w:rsid w:val="00E2752E"/>
    <w:rsid w:val="00E30F3E"/>
    <w:rsid w:val="00E32C4A"/>
    <w:rsid w:val="00E36164"/>
    <w:rsid w:val="00E4223C"/>
    <w:rsid w:val="00E43EEE"/>
    <w:rsid w:val="00E45203"/>
    <w:rsid w:val="00E55708"/>
    <w:rsid w:val="00E57DD7"/>
    <w:rsid w:val="00E61B4E"/>
    <w:rsid w:val="00E706AE"/>
    <w:rsid w:val="00E71375"/>
    <w:rsid w:val="00E71C49"/>
    <w:rsid w:val="00E7210A"/>
    <w:rsid w:val="00E723E0"/>
    <w:rsid w:val="00E8132F"/>
    <w:rsid w:val="00E81D15"/>
    <w:rsid w:val="00E84774"/>
    <w:rsid w:val="00E87E2D"/>
    <w:rsid w:val="00E90DD2"/>
    <w:rsid w:val="00E91BB6"/>
    <w:rsid w:val="00E93385"/>
    <w:rsid w:val="00E9412E"/>
    <w:rsid w:val="00E95A1A"/>
    <w:rsid w:val="00EA2745"/>
    <w:rsid w:val="00EA38A7"/>
    <w:rsid w:val="00EB38DE"/>
    <w:rsid w:val="00EB53A2"/>
    <w:rsid w:val="00ED0402"/>
    <w:rsid w:val="00ED1E20"/>
    <w:rsid w:val="00ED3C4C"/>
    <w:rsid w:val="00EE00DF"/>
    <w:rsid w:val="00EE0778"/>
    <w:rsid w:val="00EE65DD"/>
    <w:rsid w:val="00EF06ED"/>
    <w:rsid w:val="00F02E26"/>
    <w:rsid w:val="00F06034"/>
    <w:rsid w:val="00F07178"/>
    <w:rsid w:val="00F14425"/>
    <w:rsid w:val="00F164CF"/>
    <w:rsid w:val="00F2265C"/>
    <w:rsid w:val="00F23F60"/>
    <w:rsid w:val="00F25AA1"/>
    <w:rsid w:val="00F25F28"/>
    <w:rsid w:val="00F322DF"/>
    <w:rsid w:val="00F33AB6"/>
    <w:rsid w:val="00F41582"/>
    <w:rsid w:val="00F44A49"/>
    <w:rsid w:val="00F50DD9"/>
    <w:rsid w:val="00F52E0E"/>
    <w:rsid w:val="00F56BA5"/>
    <w:rsid w:val="00F6335F"/>
    <w:rsid w:val="00F63DA1"/>
    <w:rsid w:val="00F66E37"/>
    <w:rsid w:val="00F74AE7"/>
    <w:rsid w:val="00F77C8D"/>
    <w:rsid w:val="00F81A83"/>
    <w:rsid w:val="00F858A3"/>
    <w:rsid w:val="00F97852"/>
    <w:rsid w:val="00F97873"/>
    <w:rsid w:val="00FA066D"/>
    <w:rsid w:val="00FA1162"/>
    <w:rsid w:val="00FA5CD7"/>
    <w:rsid w:val="00FB039D"/>
    <w:rsid w:val="00FB3204"/>
    <w:rsid w:val="00FB4143"/>
    <w:rsid w:val="00FC0206"/>
    <w:rsid w:val="00FC0B35"/>
    <w:rsid w:val="00FC0FFE"/>
    <w:rsid w:val="00FC3B64"/>
    <w:rsid w:val="00FC78DC"/>
    <w:rsid w:val="00FD5522"/>
    <w:rsid w:val="00FD554E"/>
    <w:rsid w:val="00FE3AF5"/>
    <w:rsid w:val="00FE3AFC"/>
    <w:rsid w:val="00FE3B5E"/>
    <w:rsid w:val="00FE63EC"/>
    <w:rsid w:val="00FF4A4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54"/>
      </o:rules>
    </o:shapelayout>
  </w:shapeDefaults>
  <w:decimalSymbol w:val="."/>
  <w:listSeparator w:val=","/>
  <w14:docId w14:val="7F75CA35"/>
  <w15:docId w15:val="{E23B0D2E-1299-43C8-8F66-E0C7084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FF"/>
  </w:style>
  <w:style w:type="paragraph" w:styleId="Heading1">
    <w:name w:val="heading 1"/>
    <w:basedOn w:val="Normal"/>
    <w:next w:val="Normal"/>
    <w:link w:val="Heading1Char"/>
    <w:uiPriority w:val="9"/>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55DEB"/>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customStyle="1" w:styleId="UnresolvedMention3">
    <w:name w:val="Unresolved Mention3"/>
    <w:basedOn w:val="DefaultParagraphFont"/>
    <w:uiPriority w:val="99"/>
    <w:semiHidden/>
    <w:unhideWhenUsed/>
    <w:rsid w:val="00463DDE"/>
    <w:rPr>
      <w:color w:val="605E5C"/>
      <w:shd w:val="clear" w:color="auto" w:fill="E1DFDD"/>
    </w:rPr>
  </w:style>
  <w:style w:type="table" w:styleId="GridTable3-Accent5">
    <w:name w:val="Grid Table 3 Accent 5"/>
    <w:basedOn w:val="TableNormal"/>
    <w:uiPriority w:val="48"/>
    <w:rsid w:val="00F226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1">
    <w:name w:val="Grid Table 4 Accent 1"/>
    <w:basedOn w:val="TableNormal"/>
    <w:uiPriority w:val="49"/>
    <w:rsid w:val="00F226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DB40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AF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188">
      <w:bodyDiv w:val="1"/>
      <w:marLeft w:val="0"/>
      <w:marRight w:val="0"/>
      <w:marTop w:val="0"/>
      <w:marBottom w:val="0"/>
      <w:divBdr>
        <w:top w:val="none" w:sz="0" w:space="0" w:color="auto"/>
        <w:left w:val="none" w:sz="0" w:space="0" w:color="auto"/>
        <w:bottom w:val="none" w:sz="0" w:space="0" w:color="auto"/>
        <w:right w:val="none" w:sz="0" w:space="0" w:color="auto"/>
      </w:divBdr>
    </w:div>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62342139">
      <w:bodyDiv w:val="1"/>
      <w:marLeft w:val="0"/>
      <w:marRight w:val="0"/>
      <w:marTop w:val="0"/>
      <w:marBottom w:val="0"/>
      <w:divBdr>
        <w:top w:val="none" w:sz="0" w:space="0" w:color="auto"/>
        <w:left w:val="none" w:sz="0" w:space="0" w:color="auto"/>
        <w:bottom w:val="none" w:sz="0" w:space="0" w:color="auto"/>
        <w:right w:val="none" w:sz="0" w:space="0" w:color="auto"/>
      </w:divBdr>
    </w:div>
    <w:div w:id="118912684">
      <w:bodyDiv w:val="1"/>
      <w:marLeft w:val="0"/>
      <w:marRight w:val="0"/>
      <w:marTop w:val="0"/>
      <w:marBottom w:val="0"/>
      <w:divBdr>
        <w:top w:val="none" w:sz="0" w:space="0" w:color="auto"/>
        <w:left w:val="none" w:sz="0" w:space="0" w:color="auto"/>
        <w:bottom w:val="none" w:sz="0" w:space="0" w:color="auto"/>
        <w:right w:val="none" w:sz="0" w:space="0" w:color="auto"/>
      </w:divBdr>
    </w:div>
    <w:div w:id="141385845">
      <w:bodyDiv w:val="1"/>
      <w:marLeft w:val="0"/>
      <w:marRight w:val="0"/>
      <w:marTop w:val="0"/>
      <w:marBottom w:val="0"/>
      <w:divBdr>
        <w:top w:val="none" w:sz="0" w:space="0" w:color="auto"/>
        <w:left w:val="none" w:sz="0" w:space="0" w:color="auto"/>
        <w:bottom w:val="none" w:sz="0" w:space="0" w:color="auto"/>
        <w:right w:val="none" w:sz="0" w:space="0" w:color="auto"/>
      </w:divBdr>
    </w:div>
    <w:div w:id="184055758">
      <w:bodyDiv w:val="1"/>
      <w:marLeft w:val="0"/>
      <w:marRight w:val="0"/>
      <w:marTop w:val="0"/>
      <w:marBottom w:val="0"/>
      <w:divBdr>
        <w:top w:val="none" w:sz="0" w:space="0" w:color="auto"/>
        <w:left w:val="none" w:sz="0" w:space="0" w:color="auto"/>
        <w:bottom w:val="none" w:sz="0" w:space="0" w:color="auto"/>
        <w:right w:val="none" w:sz="0" w:space="0" w:color="auto"/>
      </w:divBdr>
    </w:div>
    <w:div w:id="196165465">
      <w:bodyDiv w:val="1"/>
      <w:marLeft w:val="0"/>
      <w:marRight w:val="0"/>
      <w:marTop w:val="0"/>
      <w:marBottom w:val="0"/>
      <w:divBdr>
        <w:top w:val="none" w:sz="0" w:space="0" w:color="auto"/>
        <w:left w:val="none" w:sz="0" w:space="0" w:color="auto"/>
        <w:bottom w:val="none" w:sz="0" w:space="0" w:color="auto"/>
        <w:right w:val="none" w:sz="0" w:space="0" w:color="auto"/>
      </w:divBdr>
    </w:div>
    <w:div w:id="229076846">
      <w:bodyDiv w:val="1"/>
      <w:marLeft w:val="0"/>
      <w:marRight w:val="0"/>
      <w:marTop w:val="0"/>
      <w:marBottom w:val="0"/>
      <w:divBdr>
        <w:top w:val="none" w:sz="0" w:space="0" w:color="auto"/>
        <w:left w:val="none" w:sz="0" w:space="0" w:color="auto"/>
        <w:bottom w:val="none" w:sz="0" w:space="0" w:color="auto"/>
        <w:right w:val="none" w:sz="0" w:space="0" w:color="auto"/>
      </w:divBdr>
    </w:div>
    <w:div w:id="270667056">
      <w:bodyDiv w:val="1"/>
      <w:marLeft w:val="0"/>
      <w:marRight w:val="0"/>
      <w:marTop w:val="0"/>
      <w:marBottom w:val="0"/>
      <w:divBdr>
        <w:top w:val="none" w:sz="0" w:space="0" w:color="auto"/>
        <w:left w:val="none" w:sz="0" w:space="0" w:color="auto"/>
        <w:bottom w:val="none" w:sz="0" w:space="0" w:color="auto"/>
        <w:right w:val="none" w:sz="0" w:space="0" w:color="auto"/>
      </w:divBdr>
    </w:div>
    <w:div w:id="301424921">
      <w:bodyDiv w:val="1"/>
      <w:marLeft w:val="0"/>
      <w:marRight w:val="0"/>
      <w:marTop w:val="0"/>
      <w:marBottom w:val="0"/>
      <w:divBdr>
        <w:top w:val="none" w:sz="0" w:space="0" w:color="auto"/>
        <w:left w:val="none" w:sz="0" w:space="0" w:color="auto"/>
        <w:bottom w:val="none" w:sz="0" w:space="0" w:color="auto"/>
        <w:right w:val="none" w:sz="0" w:space="0" w:color="auto"/>
      </w:divBdr>
    </w:div>
    <w:div w:id="335156621">
      <w:bodyDiv w:val="1"/>
      <w:marLeft w:val="0"/>
      <w:marRight w:val="0"/>
      <w:marTop w:val="0"/>
      <w:marBottom w:val="0"/>
      <w:divBdr>
        <w:top w:val="none" w:sz="0" w:space="0" w:color="auto"/>
        <w:left w:val="none" w:sz="0" w:space="0" w:color="auto"/>
        <w:bottom w:val="none" w:sz="0" w:space="0" w:color="auto"/>
        <w:right w:val="none" w:sz="0" w:space="0" w:color="auto"/>
      </w:divBdr>
    </w:div>
    <w:div w:id="338241370">
      <w:bodyDiv w:val="1"/>
      <w:marLeft w:val="0"/>
      <w:marRight w:val="0"/>
      <w:marTop w:val="0"/>
      <w:marBottom w:val="0"/>
      <w:divBdr>
        <w:top w:val="none" w:sz="0" w:space="0" w:color="auto"/>
        <w:left w:val="none" w:sz="0" w:space="0" w:color="auto"/>
        <w:bottom w:val="none" w:sz="0" w:space="0" w:color="auto"/>
        <w:right w:val="none" w:sz="0" w:space="0" w:color="auto"/>
      </w:divBdr>
    </w:div>
    <w:div w:id="356277481">
      <w:bodyDiv w:val="1"/>
      <w:marLeft w:val="0"/>
      <w:marRight w:val="0"/>
      <w:marTop w:val="0"/>
      <w:marBottom w:val="0"/>
      <w:divBdr>
        <w:top w:val="none" w:sz="0" w:space="0" w:color="auto"/>
        <w:left w:val="none" w:sz="0" w:space="0" w:color="auto"/>
        <w:bottom w:val="none" w:sz="0" w:space="0" w:color="auto"/>
        <w:right w:val="none" w:sz="0" w:space="0" w:color="auto"/>
      </w:divBdr>
    </w:div>
    <w:div w:id="370959342">
      <w:bodyDiv w:val="1"/>
      <w:marLeft w:val="0"/>
      <w:marRight w:val="0"/>
      <w:marTop w:val="0"/>
      <w:marBottom w:val="0"/>
      <w:divBdr>
        <w:top w:val="none" w:sz="0" w:space="0" w:color="auto"/>
        <w:left w:val="none" w:sz="0" w:space="0" w:color="auto"/>
        <w:bottom w:val="none" w:sz="0" w:space="0" w:color="auto"/>
        <w:right w:val="none" w:sz="0" w:space="0" w:color="auto"/>
      </w:divBdr>
    </w:div>
    <w:div w:id="376130957">
      <w:bodyDiv w:val="1"/>
      <w:marLeft w:val="0"/>
      <w:marRight w:val="0"/>
      <w:marTop w:val="0"/>
      <w:marBottom w:val="0"/>
      <w:divBdr>
        <w:top w:val="none" w:sz="0" w:space="0" w:color="auto"/>
        <w:left w:val="none" w:sz="0" w:space="0" w:color="auto"/>
        <w:bottom w:val="none" w:sz="0" w:space="0" w:color="auto"/>
        <w:right w:val="none" w:sz="0" w:space="0" w:color="auto"/>
      </w:divBdr>
    </w:div>
    <w:div w:id="382020865">
      <w:bodyDiv w:val="1"/>
      <w:marLeft w:val="0"/>
      <w:marRight w:val="0"/>
      <w:marTop w:val="0"/>
      <w:marBottom w:val="0"/>
      <w:divBdr>
        <w:top w:val="none" w:sz="0" w:space="0" w:color="auto"/>
        <w:left w:val="none" w:sz="0" w:space="0" w:color="auto"/>
        <w:bottom w:val="none" w:sz="0" w:space="0" w:color="auto"/>
        <w:right w:val="none" w:sz="0" w:space="0" w:color="auto"/>
      </w:divBdr>
    </w:div>
    <w:div w:id="386147290">
      <w:bodyDiv w:val="1"/>
      <w:marLeft w:val="0"/>
      <w:marRight w:val="0"/>
      <w:marTop w:val="0"/>
      <w:marBottom w:val="0"/>
      <w:divBdr>
        <w:top w:val="none" w:sz="0" w:space="0" w:color="auto"/>
        <w:left w:val="none" w:sz="0" w:space="0" w:color="auto"/>
        <w:bottom w:val="none" w:sz="0" w:space="0" w:color="auto"/>
        <w:right w:val="none" w:sz="0" w:space="0" w:color="auto"/>
      </w:divBdr>
    </w:div>
    <w:div w:id="393285010">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19570039">
      <w:bodyDiv w:val="1"/>
      <w:marLeft w:val="0"/>
      <w:marRight w:val="0"/>
      <w:marTop w:val="0"/>
      <w:marBottom w:val="0"/>
      <w:divBdr>
        <w:top w:val="none" w:sz="0" w:space="0" w:color="auto"/>
        <w:left w:val="none" w:sz="0" w:space="0" w:color="auto"/>
        <w:bottom w:val="none" w:sz="0" w:space="0" w:color="auto"/>
        <w:right w:val="none" w:sz="0" w:space="0" w:color="auto"/>
      </w:divBdr>
    </w:div>
    <w:div w:id="453644802">
      <w:bodyDiv w:val="1"/>
      <w:marLeft w:val="0"/>
      <w:marRight w:val="0"/>
      <w:marTop w:val="0"/>
      <w:marBottom w:val="0"/>
      <w:divBdr>
        <w:top w:val="none" w:sz="0" w:space="0" w:color="auto"/>
        <w:left w:val="none" w:sz="0" w:space="0" w:color="auto"/>
        <w:bottom w:val="none" w:sz="0" w:space="0" w:color="auto"/>
        <w:right w:val="none" w:sz="0" w:space="0" w:color="auto"/>
      </w:divBdr>
    </w:div>
    <w:div w:id="478619919">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507451182">
      <w:bodyDiv w:val="1"/>
      <w:marLeft w:val="0"/>
      <w:marRight w:val="0"/>
      <w:marTop w:val="0"/>
      <w:marBottom w:val="0"/>
      <w:divBdr>
        <w:top w:val="none" w:sz="0" w:space="0" w:color="auto"/>
        <w:left w:val="none" w:sz="0" w:space="0" w:color="auto"/>
        <w:bottom w:val="none" w:sz="0" w:space="0" w:color="auto"/>
        <w:right w:val="none" w:sz="0" w:space="0" w:color="auto"/>
      </w:divBdr>
    </w:div>
    <w:div w:id="546065652">
      <w:bodyDiv w:val="1"/>
      <w:marLeft w:val="0"/>
      <w:marRight w:val="0"/>
      <w:marTop w:val="0"/>
      <w:marBottom w:val="0"/>
      <w:divBdr>
        <w:top w:val="none" w:sz="0" w:space="0" w:color="auto"/>
        <w:left w:val="none" w:sz="0" w:space="0" w:color="auto"/>
        <w:bottom w:val="none" w:sz="0" w:space="0" w:color="auto"/>
        <w:right w:val="none" w:sz="0" w:space="0" w:color="auto"/>
      </w:divBdr>
    </w:div>
    <w:div w:id="576667980">
      <w:bodyDiv w:val="1"/>
      <w:marLeft w:val="0"/>
      <w:marRight w:val="0"/>
      <w:marTop w:val="0"/>
      <w:marBottom w:val="0"/>
      <w:divBdr>
        <w:top w:val="none" w:sz="0" w:space="0" w:color="auto"/>
        <w:left w:val="none" w:sz="0" w:space="0" w:color="auto"/>
        <w:bottom w:val="none" w:sz="0" w:space="0" w:color="auto"/>
        <w:right w:val="none" w:sz="0" w:space="0" w:color="auto"/>
      </w:divBdr>
    </w:div>
    <w:div w:id="587082043">
      <w:bodyDiv w:val="1"/>
      <w:marLeft w:val="0"/>
      <w:marRight w:val="0"/>
      <w:marTop w:val="0"/>
      <w:marBottom w:val="0"/>
      <w:divBdr>
        <w:top w:val="none" w:sz="0" w:space="0" w:color="auto"/>
        <w:left w:val="none" w:sz="0" w:space="0" w:color="auto"/>
        <w:bottom w:val="none" w:sz="0" w:space="0" w:color="auto"/>
        <w:right w:val="none" w:sz="0" w:space="0" w:color="auto"/>
      </w:divBdr>
    </w:div>
    <w:div w:id="628630255">
      <w:bodyDiv w:val="1"/>
      <w:marLeft w:val="0"/>
      <w:marRight w:val="0"/>
      <w:marTop w:val="0"/>
      <w:marBottom w:val="0"/>
      <w:divBdr>
        <w:top w:val="none" w:sz="0" w:space="0" w:color="auto"/>
        <w:left w:val="none" w:sz="0" w:space="0" w:color="auto"/>
        <w:bottom w:val="none" w:sz="0" w:space="0" w:color="auto"/>
        <w:right w:val="none" w:sz="0" w:space="0" w:color="auto"/>
      </w:divBdr>
    </w:div>
    <w:div w:id="662317563">
      <w:bodyDiv w:val="1"/>
      <w:marLeft w:val="0"/>
      <w:marRight w:val="0"/>
      <w:marTop w:val="0"/>
      <w:marBottom w:val="0"/>
      <w:divBdr>
        <w:top w:val="none" w:sz="0" w:space="0" w:color="auto"/>
        <w:left w:val="none" w:sz="0" w:space="0" w:color="auto"/>
        <w:bottom w:val="none" w:sz="0" w:space="0" w:color="auto"/>
        <w:right w:val="none" w:sz="0" w:space="0" w:color="auto"/>
      </w:divBdr>
    </w:div>
    <w:div w:id="735667487">
      <w:bodyDiv w:val="1"/>
      <w:marLeft w:val="0"/>
      <w:marRight w:val="0"/>
      <w:marTop w:val="0"/>
      <w:marBottom w:val="0"/>
      <w:divBdr>
        <w:top w:val="none" w:sz="0" w:space="0" w:color="auto"/>
        <w:left w:val="none" w:sz="0" w:space="0" w:color="auto"/>
        <w:bottom w:val="none" w:sz="0" w:space="0" w:color="auto"/>
        <w:right w:val="none" w:sz="0" w:space="0" w:color="auto"/>
      </w:divBdr>
    </w:div>
    <w:div w:id="777916685">
      <w:bodyDiv w:val="1"/>
      <w:marLeft w:val="0"/>
      <w:marRight w:val="0"/>
      <w:marTop w:val="0"/>
      <w:marBottom w:val="0"/>
      <w:divBdr>
        <w:top w:val="none" w:sz="0" w:space="0" w:color="auto"/>
        <w:left w:val="none" w:sz="0" w:space="0" w:color="auto"/>
        <w:bottom w:val="none" w:sz="0" w:space="0" w:color="auto"/>
        <w:right w:val="none" w:sz="0" w:space="0" w:color="auto"/>
      </w:divBdr>
    </w:div>
    <w:div w:id="801576754">
      <w:bodyDiv w:val="1"/>
      <w:marLeft w:val="0"/>
      <w:marRight w:val="0"/>
      <w:marTop w:val="0"/>
      <w:marBottom w:val="0"/>
      <w:divBdr>
        <w:top w:val="none" w:sz="0" w:space="0" w:color="auto"/>
        <w:left w:val="none" w:sz="0" w:space="0" w:color="auto"/>
        <w:bottom w:val="none" w:sz="0" w:space="0" w:color="auto"/>
        <w:right w:val="none" w:sz="0" w:space="0" w:color="auto"/>
      </w:divBdr>
    </w:div>
    <w:div w:id="813444945">
      <w:bodyDiv w:val="1"/>
      <w:marLeft w:val="0"/>
      <w:marRight w:val="0"/>
      <w:marTop w:val="0"/>
      <w:marBottom w:val="0"/>
      <w:divBdr>
        <w:top w:val="none" w:sz="0" w:space="0" w:color="auto"/>
        <w:left w:val="none" w:sz="0" w:space="0" w:color="auto"/>
        <w:bottom w:val="none" w:sz="0" w:space="0" w:color="auto"/>
        <w:right w:val="none" w:sz="0" w:space="0" w:color="auto"/>
      </w:divBdr>
    </w:div>
    <w:div w:id="823815543">
      <w:bodyDiv w:val="1"/>
      <w:marLeft w:val="0"/>
      <w:marRight w:val="0"/>
      <w:marTop w:val="0"/>
      <w:marBottom w:val="0"/>
      <w:divBdr>
        <w:top w:val="none" w:sz="0" w:space="0" w:color="auto"/>
        <w:left w:val="none" w:sz="0" w:space="0" w:color="auto"/>
        <w:bottom w:val="none" w:sz="0" w:space="0" w:color="auto"/>
        <w:right w:val="none" w:sz="0" w:space="0" w:color="auto"/>
      </w:divBdr>
    </w:div>
    <w:div w:id="826895233">
      <w:bodyDiv w:val="1"/>
      <w:marLeft w:val="0"/>
      <w:marRight w:val="0"/>
      <w:marTop w:val="0"/>
      <w:marBottom w:val="0"/>
      <w:divBdr>
        <w:top w:val="none" w:sz="0" w:space="0" w:color="auto"/>
        <w:left w:val="none" w:sz="0" w:space="0" w:color="auto"/>
        <w:bottom w:val="none" w:sz="0" w:space="0" w:color="auto"/>
        <w:right w:val="none" w:sz="0" w:space="0" w:color="auto"/>
      </w:divBdr>
    </w:div>
    <w:div w:id="851991091">
      <w:bodyDiv w:val="1"/>
      <w:marLeft w:val="0"/>
      <w:marRight w:val="0"/>
      <w:marTop w:val="0"/>
      <w:marBottom w:val="0"/>
      <w:divBdr>
        <w:top w:val="none" w:sz="0" w:space="0" w:color="auto"/>
        <w:left w:val="none" w:sz="0" w:space="0" w:color="auto"/>
        <w:bottom w:val="none" w:sz="0" w:space="0" w:color="auto"/>
        <w:right w:val="none" w:sz="0" w:space="0" w:color="auto"/>
      </w:divBdr>
    </w:div>
    <w:div w:id="862716472">
      <w:bodyDiv w:val="1"/>
      <w:marLeft w:val="0"/>
      <w:marRight w:val="0"/>
      <w:marTop w:val="0"/>
      <w:marBottom w:val="0"/>
      <w:divBdr>
        <w:top w:val="none" w:sz="0" w:space="0" w:color="auto"/>
        <w:left w:val="none" w:sz="0" w:space="0" w:color="auto"/>
        <w:bottom w:val="none" w:sz="0" w:space="0" w:color="auto"/>
        <w:right w:val="none" w:sz="0" w:space="0" w:color="auto"/>
      </w:divBdr>
    </w:div>
    <w:div w:id="965351561">
      <w:bodyDiv w:val="1"/>
      <w:marLeft w:val="0"/>
      <w:marRight w:val="0"/>
      <w:marTop w:val="0"/>
      <w:marBottom w:val="0"/>
      <w:divBdr>
        <w:top w:val="none" w:sz="0" w:space="0" w:color="auto"/>
        <w:left w:val="none" w:sz="0" w:space="0" w:color="auto"/>
        <w:bottom w:val="none" w:sz="0" w:space="0" w:color="auto"/>
        <w:right w:val="none" w:sz="0" w:space="0" w:color="auto"/>
      </w:divBdr>
    </w:div>
    <w:div w:id="989019724">
      <w:bodyDiv w:val="1"/>
      <w:marLeft w:val="0"/>
      <w:marRight w:val="0"/>
      <w:marTop w:val="0"/>
      <w:marBottom w:val="0"/>
      <w:divBdr>
        <w:top w:val="none" w:sz="0" w:space="0" w:color="auto"/>
        <w:left w:val="none" w:sz="0" w:space="0" w:color="auto"/>
        <w:bottom w:val="none" w:sz="0" w:space="0" w:color="auto"/>
        <w:right w:val="none" w:sz="0" w:space="0" w:color="auto"/>
      </w:divBdr>
    </w:div>
    <w:div w:id="1027021531">
      <w:bodyDiv w:val="1"/>
      <w:marLeft w:val="0"/>
      <w:marRight w:val="0"/>
      <w:marTop w:val="0"/>
      <w:marBottom w:val="0"/>
      <w:divBdr>
        <w:top w:val="none" w:sz="0" w:space="0" w:color="auto"/>
        <w:left w:val="none" w:sz="0" w:space="0" w:color="auto"/>
        <w:bottom w:val="none" w:sz="0" w:space="0" w:color="auto"/>
        <w:right w:val="none" w:sz="0" w:space="0" w:color="auto"/>
      </w:divBdr>
    </w:div>
    <w:div w:id="1039092569">
      <w:bodyDiv w:val="1"/>
      <w:marLeft w:val="0"/>
      <w:marRight w:val="0"/>
      <w:marTop w:val="0"/>
      <w:marBottom w:val="0"/>
      <w:divBdr>
        <w:top w:val="none" w:sz="0" w:space="0" w:color="auto"/>
        <w:left w:val="none" w:sz="0" w:space="0" w:color="auto"/>
        <w:bottom w:val="none" w:sz="0" w:space="0" w:color="auto"/>
        <w:right w:val="none" w:sz="0" w:space="0" w:color="auto"/>
      </w:divBdr>
    </w:div>
    <w:div w:id="1102801972">
      <w:bodyDiv w:val="1"/>
      <w:marLeft w:val="0"/>
      <w:marRight w:val="0"/>
      <w:marTop w:val="0"/>
      <w:marBottom w:val="0"/>
      <w:divBdr>
        <w:top w:val="none" w:sz="0" w:space="0" w:color="auto"/>
        <w:left w:val="none" w:sz="0" w:space="0" w:color="auto"/>
        <w:bottom w:val="none" w:sz="0" w:space="0" w:color="auto"/>
        <w:right w:val="none" w:sz="0" w:space="0" w:color="auto"/>
      </w:divBdr>
    </w:div>
    <w:div w:id="1113552530">
      <w:bodyDiv w:val="1"/>
      <w:marLeft w:val="0"/>
      <w:marRight w:val="0"/>
      <w:marTop w:val="0"/>
      <w:marBottom w:val="0"/>
      <w:divBdr>
        <w:top w:val="none" w:sz="0" w:space="0" w:color="auto"/>
        <w:left w:val="none" w:sz="0" w:space="0" w:color="auto"/>
        <w:bottom w:val="none" w:sz="0" w:space="0" w:color="auto"/>
        <w:right w:val="none" w:sz="0" w:space="0" w:color="auto"/>
      </w:divBdr>
    </w:div>
    <w:div w:id="1120340971">
      <w:bodyDiv w:val="1"/>
      <w:marLeft w:val="0"/>
      <w:marRight w:val="0"/>
      <w:marTop w:val="0"/>
      <w:marBottom w:val="0"/>
      <w:divBdr>
        <w:top w:val="none" w:sz="0" w:space="0" w:color="auto"/>
        <w:left w:val="none" w:sz="0" w:space="0" w:color="auto"/>
        <w:bottom w:val="none" w:sz="0" w:space="0" w:color="auto"/>
        <w:right w:val="none" w:sz="0" w:space="0" w:color="auto"/>
      </w:divBdr>
    </w:div>
    <w:div w:id="1123308167">
      <w:bodyDiv w:val="1"/>
      <w:marLeft w:val="0"/>
      <w:marRight w:val="0"/>
      <w:marTop w:val="0"/>
      <w:marBottom w:val="0"/>
      <w:divBdr>
        <w:top w:val="none" w:sz="0" w:space="0" w:color="auto"/>
        <w:left w:val="none" w:sz="0" w:space="0" w:color="auto"/>
        <w:bottom w:val="none" w:sz="0" w:space="0" w:color="auto"/>
        <w:right w:val="none" w:sz="0" w:space="0" w:color="auto"/>
      </w:divBdr>
    </w:div>
    <w:div w:id="1152410328">
      <w:bodyDiv w:val="1"/>
      <w:marLeft w:val="0"/>
      <w:marRight w:val="0"/>
      <w:marTop w:val="0"/>
      <w:marBottom w:val="0"/>
      <w:divBdr>
        <w:top w:val="none" w:sz="0" w:space="0" w:color="auto"/>
        <w:left w:val="none" w:sz="0" w:space="0" w:color="auto"/>
        <w:bottom w:val="none" w:sz="0" w:space="0" w:color="auto"/>
        <w:right w:val="none" w:sz="0" w:space="0" w:color="auto"/>
      </w:divBdr>
    </w:div>
    <w:div w:id="1152480048">
      <w:bodyDiv w:val="1"/>
      <w:marLeft w:val="0"/>
      <w:marRight w:val="0"/>
      <w:marTop w:val="0"/>
      <w:marBottom w:val="0"/>
      <w:divBdr>
        <w:top w:val="none" w:sz="0" w:space="0" w:color="auto"/>
        <w:left w:val="none" w:sz="0" w:space="0" w:color="auto"/>
        <w:bottom w:val="none" w:sz="0" w:space="0" w:color="auto"/>
        <w:right w:val="none" w:sz="0" w:space="0" w:color="auto"/>
      </w:divBdr>
    </w:div>
    <w:div w:id="1175073453">
      <w:bodyDiv w:val="1"/>
      <w:marLeft w:val="0"/>
      <w:marRight w:val="0"/>
      <w:marTop w:val="0"/>
      <w:marBottom w:val="0"/>
      <w:divBdr>
        <w:top w:val="none" w:sz="0" w:space="0" w:color="auto"/>
        <w:left w:val="none" w:sz="0" w:space="0" w:color="auto"/>
        <w:bottom w:val="none" w:sz="0" w:space="0" w:color="auto"/>
        <w:right w:val="none" w:sz="0" w:space="0" w:color="auto"/>
      </w:divBdr>
    </w:div>
    <w:div w:id="1184249272">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02671587">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 w:id="1348487884">
      <w:bodyDiv w:val="1"/>
      <w:marLeft w:val="0"/>
      <w:marRight w:val="0"/>
      <w:marTop w:val="0"/>
      <w:marBottom w:val="0"/>
      <w:divBdr>
        <w:top w:val="none" w:sz="0" w:space="0" w:color="auto"/>
        <w:left w:val="none" w:sz="0" w:space="0" w:color="auto"/>
        <w:bottom w:val="none" w:sz="0" w:space="0" w:color="auto"/>
        <w:right w:val="none" w:sz="0" w:space="0" w:color="auto"/>
      </w:divBdr>
    </w:div>
    <w:div w:id="1359428853">
      <w:bodyDiv w:val="1"/>
      <w:marLeft w:val="0"/>
      <w:marRight w:val="0"/>
      <w:marTop w:val="0"/>
      <w:marBottom w:val="0"/>
      <w:divBdr>
        <w:top w:val="none" w:sz="0" w:space="0" w:color="auto"/>
        <w:left w:val="none" w:sz="0" w:space="0" w:color="auto"/>
        <w:bottom w:val="none" w:sz="0" w:space="0" w:color="auto"/>
        <w:right w:val="none" w:sz="0" w:space="0" w:color="auto"/>
      </w:divBdr>
    </w:div>
    <w:div w:id="1376539548">
      <w:bodyDiv w:val="1"/>
      <w:marLeft w:val="0"/>
      <w:marRight w:val="0"/>
      <w:marTop w:val="0"/>
      <w:marBottom w:val="0"/>
      <w:divBdr>
        <w:top w:val="none" w:sz="0" w:space="0" w:color="auto"/>
        <w:left w:val="none" w:sz="0" w:space="0" w:color="auto"/>
        <w:bottom w:val="none" w:sz="0" w:space="0" w:color="auto"/>
        <w:right w:val="none" w:sz="0" w:space="0" w:color="auto"/>
      </w:divBdr>
    </w:div>
    <w:div w:id="1386488462">
      <w:bodyDiv w:val="1"/>
      <w:marLeft w:val="0"/>
      <w:marRight w:val="0"/>
      <w:marTop w:val="0"/>
      <w:marBottom w:val="0"/>
      <w:divBdr>
        <w:top w:val="none" w:sz="0" w:space="0" w:color="auto"/>
        <w:left w:val="none" w:sz="0" w:space="0" w:color="auto"/>
        <w:bottom w:val="none" w:sz="0" w:space="0" w:color="auto"/>
        <w:right w:val="none" w:sz="0" w:space="0" w:color="auto"/>
      </w:divBdr>
    </w:div>
    <w:div w:id="1431465109">
      <w:bodyDiv w:val="1"/>
      <w:marLeft w:val="0"/>
      <w:marRight w:val="0"/>
      <w:marTop w:val="0"/>
      <w:marBottom w:val="0"/>
      <w:divBdr>
        <w:top w:val="none" w:sz="0" w:space="0" w:color="auto"/>
        <w:left w:val="none" w:sz="0" w:space="0" w:color="auto"/>
        <w:bottom w:val="none" w:sz="0" w:space="0" w:color="auto"/>
        <w:right w:val="none" w:sz="0" w:space="0" w:color="auto"/>
      </w:divBdr>
    </w:div>
    <w:div w:id="1515918929">
      <w:bodyDiv w:val="1"/>
      <w:marLeft w:val="0"/>
      <w:marRight w:val="0"/>
      <w:marTop w:val="0"/>
      <w:marBottom w:val="0"/>
      <w:divBdr>
        <w:top w:val="none" w:sz="0" w:space="0" w:color="auto"/>
        <w:left w:val="none" w:sz="0" w:space="0" w:color="auto"/>
        <w:bottom w:val="none" w:sz="0" w:space="0" w:color="auto"/>
        <w:right w:val="none" w:sz="0" w:space="0" w:color="auto"/>
      </w:divBdr>
    </w:div>
    <w:div w:id="1527063929">
      <w:bodyDiv w:val="1"/>
      <w:marLeft w:val="0"/>
      <w:marRight w:val="0"/>
      <w:marTop w:val="0"/>
      <w:marBottom w:val="0"/>
      <w:divBdr>
        <w:top w:val="none" w:sz="0" w:space="0" w:color="auto"/>
        <w:left w:val="none" w:sz="0" w:space="0" w:color="auto"/>
        <w:bottom w:val="none" w:sz="0" w:space="0" w:color="auto"/>
        <w:right w:val="none" w:sz="0" w:space="0" w:color="auto"/>
      </w:divBdr>
    </w:div>
    <w:div w:id="1571498732">
      <w:bodyDiv w:val="1"/>
      <w:marLeft w:val="0"/>
      <w:marRight w:val="0"/>
      <w:marTop w:val="0"/>
      <w:marBottom w:val="0"/>
      <w:divBdr>
        <w:top w:val="none" w:sz="0" w:space="0" w:color="auto"/>
        <w:left w:val="none" w:sz="0" w:space="0" w:color="auto"/>
        <w:bottom w:val="none" w:sz="0" w:space="0" w:color="auto"/>
        <w:right w:val="none" w:sz="0" w:space="0" w:color="auto"/>
      </w:divBdr>
    </w:div>
    <w:div w:id="1584023948">
      <w:bodyDiv w:val="1"/>
      <w:marLeft w:val="0"/>
      <w:marRight w:val="0"/>
      <w:marTop w:val="0"/>
      <w:marBottom w:val="0"/>
      <w:divBdr>
        <w:top w:val="none" w:sz="0" w:space="0" w:color="auto"/>
        <w:left w:val="none" w:sz="0" w:space="0" w:color="auto"/>
        <w:bottom w:val="none" w:sz="0" w:space="0" w:color="auto"/>
        <w:right w:val="none" w:sz="0" w:space="0" w:color="auto"/>
      </w:divBdr>
    </w:div>
    <w:div w:id="1586114319">
      <w:bodyDiv w:val="1"/>
      <w:marLeft w:val="0"/>
      <w:marRight w:val="0"/>
      <w:marTop w:val="0"/>
      <w:marBottom w:val="0"/>
      <w:divBdr>
        <w:top w:val="none" w:sz="0" w:space="0" w:color="auto"/>
        <w:left w:val="none" w:sz="0" w:space="0" w:color="auto"/>
        <w:bottom w:val="none" w:sz="0" w:space="0" w:color="auto"/>
        <w:right w:val="none" w:sz="0" w:space="0" w:color="auto"/>
      </w:divBdr>
    </w:div>
    <w:div w:id="1591233058">
      <w:bodyDiv w:val="1"/>
      <w:marLeft w:val="0"/>
      <w:marRight w:val="0"/>
      <w:marTop w:val="0"/>
      <w:marBottom w:val="0"/>
      <w:divBdr>
        <w:top w:val="none" w:sz="0" w:space="0" w:color="auto"/>
        <w:left w:val="none" w:sz="0" w:space="0" w:color="auto"/>
        <w:bottom w:val="none" w:sz="0" w:space="0" w:color="auto"/>
        <w:right w:val="none" w:sz="0" w:space="0" w:color="auto"/>
      </w:divBdr>
    </w:div>
    <w:div w:id="1617063331">
      <w:bodyDiv w:val="1"/>
      <w:marLeft w:val="0"/>
      <w:marRight w:val="0"/>
      <w:marTop w:val="0"/>
      <w:marBottom w:val="0"/>
      <w:divBdr>
        <w:top w:val="none" w:sz="0" w:space="0" w:color="auto"/>
        <w:left w:val="none" w:sz="0" w:space="0" w:color="auto"/>
        <w:bottom w:val="none" w:sz="0" w:space="0" w:color="auto"/>
        <w:right w:val="none" w:sz="0" w:space="0" w:color="auto"/>
      </w:divBdr>
    </w:div>
    <w:div w:id="1644889456">
      <w:bodyDiv w:val="1"/>
      <w:marLeft w:val="0"/>
      <w:marRight w:val="0"/>
      <w:marTop w:val="0"/>
      <w:marBottom w:val="0"/>
      <w:divBdr>
        <w:top w:val="none" w:sz="0" w:space="0" w:color="auto"/>
        <w:left w:val="none" w:sz="0" w:space="0" w:color="auto"/>
        <w:bottom w:val="none" w:sz="0" w:space="0" w:color="auto"/>
        <w:right w:val="none" w:sz="0" w:space="0" w:color="auto"/>
      </w:divBdr>
    </w:div>
    <w:div w:id="1685740892">
      <w:bodyDiv w:val="1"/>
      <w:marLeft w:val="0"/>
      <w:marRight w:val="0"/>
      <w:marTop w:val="0"/>
      <w:marBottom w:val="0"/>
      <w:divBdr>
        <w:top w:val="none" w:sz="0" w:space="0" w:color="auto"/>
        <w:left w:val="none" w:sz="0" w:space="0" w:color="auto"/>
        <w:bottom w:val="none" w:sz="0" w:space="0" w:color="auto"/>
        <w:right w:val="none" w:sz="0" w:space="0" w:color="auto"/>
      </w:divBdr>
    </w:div>
    <w:div w:id="1713384511">
      <w:bodyDiv w:val="1"/>
      <w:marLeft w:val="0"/>
      <w:marRight w:val="0"/>
      <w:marTop w:val="0"/>
      <w:marBottom w:val="0"/>
      <w:divBdr>
        <w:top w:val="none" w:sz="0" w:space="0" w:color="auto"/>
        <w:left w:val="none" w:sz="0" w:space="0" w:color="auto"/>
        <w:bottom w:val="none" w:sz="0" w:space="0" w:color="auto"/>
        <w:right w:val="none" w:sz="0" w:space="0" w:color="auto"/>
      </w:divBdr>
    </w:div>
    <w:div w:id="1715960296">
      <w:bodyDiv w:val="1"/>
      <w:marLeft w:val="0"/>
      <w:marRight w:val="0"/>
      <w:marTop w:val="0"/>
      <w:marBottom w:val="0"/>
      <w:divBdr>
        <w:top w:val="none" w:sz="0" w:space="0" w:color="auto"/>
        <w:left w:val="none" w:sz="0" w:space="0" w:color="auto"/>
        <w:bottom w:val="none" w:sz="0" w:space="0" w:color="auto"/>
        <w:right w:val="none" w:sz="0" w:space="0" w:color="auto"/>
      </w:divBdr>
    </w:div>
    <w:div w:id="1731423507">
      <w:bodyDiv w:val="1"/>
      <w:marLeft w:val="0"/>
      <w:marRight w:val="0"/>
      <w:marTop w:val="0"/>
      <w:marBottom w:val="0"/>
      <w:divBdr>
        <w:top w:val="none" w:sz="0" w:space="0" w:color="auto"/>
        <w:left w:val="none" w:sz="0" w:space="0" w:color="auto"/>
        <w:bottom w:val="none" w:sz="0" w:space="0" w:color="auto"/>
        <w:right w:val="none" w:sz="0" w:space="0" w:color="auto"/>
      </w:divBdr>
    </w:div>
    <w:div w:id="1757168595">
      <w:bodyDiv w:val="1"/>
      <w:marLeft w:val="0"/>
      <w:marRight w:val="0"/>
      <w:marTop w:val="0"/>
      <w:marBottom w:val="0"/>
      <w:divBdr>
        <w:top w:val="none" w:sz="0" w:space="0" w:color="auto"/>
        <w:left w:val="none" w:sz="0" w:space="0" w:color="auto"/>
        <w:bottom w:val="none" w:sz="0" w:space="0" w:color="auto"/>
        <w:right w:val="none" w:sz="0" w:space="0" w:color="auto"/>
      </w:divBdr>
    </w:div>
    <w:div w:id="1778451197">
      <w:bodyDiv w:val="1"/>
      <w:marLeft w:val="0"/>
      <w:marRight w:val="0"/>
      <w:marTop w:val="0"/>
      <w:marBottom w:val="0"/>
      <w:divBdr>
        <w:top w:val="none" w:sz="0" w:space="0" w:color="auto"/>
        <w:left w:val="none" w:sz="0" w:space="0" w:color="auto"/>
        <w:bottom w:val="none" w:sz="0" w:space="0" w:color="auto"/>
        <w:right w:val="none" w:sz="0" w:space="0" w:color="auto"/>
      </w:divBdr>
    </w:div>
    <w:div w:id="1783645048">
      <w:bodyDiv w:val="1"/>
      <w:marLeft w:val="0"/>
      <w:marRight w:val="0"/>
      <w:marTop w:val="0"/>
      <w:marBottom w:val="0"/>
      <w:divBdr>
        <w:top w:val="none" w:sz="0" w:space="0" w:color="auto"/>
        <w:left w:val="none" w:sz="0" w:space="0" w:color="auto"/>
        <w:bottom w:val="none" w:sz="0" w:space="0" w:color="auto"/>
        <w:right w:val="none" w:sz="0" w:space="0" w:color="auto"/>
      </w:divBdr>
    </w:div>
    <w:div w:id="1837376446">
      <w:bodyDiv w:val="1"/>
      <w:marLeft w:val="0"/>
      <w:marRight w:val="0"/>
      <w:marTop w:val="0"/>
      <w:marBottom w:val="0"/>
      <w:divBdr>
        <w:top w:val="none" w:sz="0" w:space="0" w:color="auto"/>
        <w:left w:val="none" w:sz="0" w:space="0" w:color="auto"/>
        <w:bottom w:val="none" w:sz="0" w:space="0" w:color="auto"/>
        <w:right w:val="none" w:sz="0" w:space="0" w:color="auto"/>
      </w:divBdr>
    </w:div>
    <w:div w:id="1858154727">
      <w:bodyDiv w:val="1"/>
      <w:marLeft w:val="0"/>
      <w:marRight w:val="0"/>
      <w:marTop w:val="0"/>
      <w:marBottom w:val="0"/>
      <w:divBdr>
        <w:top w:val="none" w:sz="0" w:space="0" w:color="auto"/>
        <w:left w:val="none" w:sz="0" w:space="0" w:color="auto"/>
        <w:bottom w:val="none" w:sz="0" w:space="0" w:color="auto"/>
        <w:right w:val="none" w:sz="0" w:space="0" w:color="auto"/>
      </w:divBdr>
    </w:div>
    <w:div w:id="1873686326">
      <w:bodyDiv w:val="1"/>
      <w:marLeft w:val="0"/>
      <w:marRight w:val="0"/>
      <w:marTop w:val="0"/>
      <w:marBottom w:val="0"/>
      <w:divBdr>
        <w:top w:val="none" w:sz="0" w:space="0" w:color="auto"/>
        <w:left w:val="none" w:sz="0" w:space="0" w:color="auto"/>
        <w:bottom w:val="none" w:sz="0" w:space="0" w:color="auto"/>
        <w:right w:val="none" w:sz="0" w:space="0" w:color="auto"/>
      </w:divBdr>
    </w:div>
    <w:div w:id="1876044913">
      <w:bodyDiv w:val="1"/>
      <w:marLeft w:val="0"/>
      <w:marRight w:val="0"/>
      <w:marTop w:val="0"/>
      <w:marBottom w:val="0"/>
      <w:divBdr>
        <w:top w:val="none" w:sz="0" w:space="0" w:color="auto"/>
        <w:left w:val="none" w:sz="0" w:space="0" w:color="auto"/>
        <w:bottom w:val="none" w:sz="0" w:space="0" w:color="auto"/>
        <w:right w:val="none" w:sz="0" w:space="0" w:color="auto"/>
      </w:divBdr>
    </w:div>
    <w:div w:id="1878928936">
      <w:bodyDiv w:val="1"/>
      <w:marLeft w:val="0"/>
      <w:marRight w:val="0"/>
      <w:marTop w:val="0"/>
      <w:marBottom w:val="0"/>
      <w:divBdr>
        <w:top w:val="none" w:sz="0" w:space="0" w:color="auto"/>
        <w:left w:val="none" w:sz="0" w:space="0" w:color="auto"/>
        <w:bottom w:val="none" w:sz="0" w:space="0" w:color="auto"/>
        <w:right w:val="none" w:sz="0" w:space="0" w:color="auto"/>
      </w:divBdr>
    </w:div>
    <w:div w:id="1885945942">
      <w:bodyDiv w:val="1"/>
      <w:marLeft w:val="0"/>
      <w:marRight w:val="0"/>
      <w:marTop w:val="0"/>
      <w:marBottom w:val="0"/>
      <w:divBdr>
        <w:top w:val="none" w:sz="0" w:space="0" w:color="auto"/>
        <w:left w:val="none" w:sz="0" w:space="0" w:color="auto"/>
        <w:bottom w:val="none" w:sz="0" w:space="0" w:color="auto"/>
        <w:right w:val="none" w:sz="0" w:space="0" w:color="auto"/>
      </w:divBdr>
    </w:div>
    <w:div w:id="1983541193">
      <w:bodyDiv w:val="1"/>
      <w:marLeft w:val="0"/>
      <w:marRight w:val="0"/>
      <w:marTop w:val="0"/>
      <w:marBottom w:val="0"/>
      <w:divBdr>
        <w:top w:val="none" w:sz="0" w:space="0" w:color="auto"/>
        <w:left w:val="none" w:sz="0" w:space="0" w:color="auto"/>
        <w:bottom w:val="none" w:sz="0" w:space="0" w:color="auto"/>
        <w:right w:val="none" w:sz="0" w:space="0" w:color="auto"/>
      </w:divBdr>
    </w:div>
    <w:div w:id="1983733299">
      <w:bodyDiv w:val="1"/>
      <w:marLeft w:val="0"/>
      <w:marRight w:val="0"/>
      <w:marTop w:val="0"/>
      <w:marBottom w:val="0"/>
      <w:divBdr>
        <w:top w:val="none" w:sz="0" w:space="0" w:color="auto"/>
        <w:left w:val="none" w:sz="0" w:space="0" w:color="auto"/>
        <w:bottom w:val="none" w:sz="0" w:space="0" w:color="auto"/>
        <w:right w:val="none" w:sz="0" w:space="0" w:color="auto"/>
      </w:divBdr>
    </w:div>
    <w:div w:id="2030133903">
      <w:bodyDiv w:val="1"/>
      <w:marLeft w:val="0"/>
      <w:marRight w:val="0"/>
      <w:marTop w:val="0"/>
      <w:marBottom w:val="0"/>
      <w:divBdr>
        <w:top w:val="none" w:sz="0" w:space="0" w:color="auto"/>
        <w:left w:val="none" w:sz="0" w:space="0" w:color="auto"/>
        <w:bottom w:val="none" w:sz="0" w:space="0" w:color="auto"/>
        <w:right w:val="none" w:sz="0" w:space="0" w:color="auto"/>
      </w:divBdr>
    </w:div>
    <w:div w:id="2081516965">
      <w:bodyDiv w:val="1"/>
      <w:marLeft w:val="0"/>
      <w:marRight w:val="0"/>
      <w:marTop w:val="0"/>
      <w:marBottom w:val="0"/>
      <w:divBdr>
        <w:top w:val="none" w:sz="0" w:space="0" w:color="auto"/>
        <w:left w:val="none" w:sz="0" w:space="0" w:color="auto"/>
        <w:bottom w:val="none" w:sz="0" w:space="0" w:color="auto"/>
        <w:right w:val="none" w:sz="0" w:space="0" w:color="auto"/>
      </w:divBdr>
    </w:div>
    <w:div w:id="21394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yperlink" Target="http://dx.doi.org/10.14348/molcells.2014.015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897/pharmacia.71.e114556"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389/fimmu.2024.127707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86/s12885-019-5388-8" TargetMode="External"/><Relationship Id="rId20" Type="http://schemas.openxmlformats.org/officeDocument/2006/relationships/hyperlink" Target="http://dx.doi.org/10.14348/molcells.2014.015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38/s41598-025-03293-0"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doi.org/10.1016/j.phrs.2022.106118"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hdphoto" Target="media/hdphoto1.wdp"/><Relationship Id="rId22" Type="http://schemas.openxmlformats.org/officeDocument/2006/relationships/hyperlink" Target="https://doi.org/10.3389/fphar.2022.90325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AA99A-9D5B-4301-8C8E-59EAA4F5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2690</Words>
  <Characters>17648</Characters>
  <Application>Microsoft Office Word</Application>
  <DocSecurity>0</DocSecurity>
  <Lines>392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Admins</cp:lastModifiedBy>
  <cp:revision>8</cp:revision>
  <cp:lastPrinted>2021-02-09T10:45:00Z</cp:lastPrinted>
  <dcterms:created xsi:type="dcterms:W3CDTF">2025-07-19T05:11:00Z</dcterms:created>
  <dcterms:modified xsi:type="dcterms:W3CDTF">2025-07-23T09:40:00Z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746d7d1b-89e9-4359-8a59-41722ad4ccc3</vt:lpwstr>
  </property>
</Properties>
</file>