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"/>
        <w:gridCol w:w="15405"/>
        <w:gridCol w:w="214"/>
        <w:gridCol w:w="3955"/>
        <w:gridCol w:w="1229"/>
        <w:gridCol w:w="21"/>
      </w:tblGrid>
      <w:tr w:rsidR="00602F7D" w:rsidRPr="00921832" w14:paraId="1643A4CA" w14:textId="77777777" w:rsidTr="00F7471E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92183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21832" w14:paraId="127EAD7E" w14:textId="77777777" w:rsidTr="00F7471E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92183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2183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F1C3050" w:rsidR="0000007A" w:rsidRPr="00921832" w:rsidRDefault="00B82A3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2183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921832" w14:paraId="73C90375" w14:textId="77777777" w:rsidTr="00F7471E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92183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B45DF51" w:rsidR="0000007A" w:rsidRPr="0092183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21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21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21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056A3" w:rsidRPr="00921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6052</w:t>
            </w:r>
          </w:p>
        </w:tc>
      </w:tr>
      <w:tr w:rsidR="0000007A" w:rsidRPr="00921832" w14:paraId="05B60576" w14:textId="77777777" w:rsidTr="00F7471E">
        <w:trPr>
          <w:gridBefore w:val="1"/>
          <w:gridAfter w:val="1"/>
          <w:wBefore w:w="26" w:type="pct"/>
          <w:wAfter w:w="26" w:type="pct"/>
          <w:trHeight w:val="331"/>
        </w:trPr>
        <w:tc>
          <w:tcPr>
            <w:tcW w:w="1222" w:type="pct"/>
          </w:tcPr>
          <w:p w14:paraId="0196A627" w14:textId="77777777" w:rsidR="0000007A" w:rsidRPr="0092183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34E3ACD" w:rsidR="0000007A" w:rsidRPr="00921832" w:rsidRDefault="00B804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21832">
              <w:rPr>
                <w:rFonts w:ascii="Arial" w:hAnsi="Arial" w:cs="Arial"/>
                <w:b/>
                <w:sz w:val="20"/>
                <w:szCs w:val="20"/>
                <w:lang w:val="en-GB"/>
              </w:rPr>
              <w:t>A case of amniotic fluid embolism and its sequelae during COVID-19 pandemic: a success story</w:t>
            </w:r>
          </w:p>
        </w:tc>
      </w:tr>
      <w:tr w:rsidR="00CF0BBB" w:rsidRPr="00921832" w14:paraId="6D508B1C" w14:textId="77777777" w:rsidTr="00F7471E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92183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DEFE0FE" w:rsidR="00CF0BBB" w:rsidRPr="00921832" w:rsidRDefault="004056A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  <w:tr w:rsidR="00F1171E" w:rsidRPr="00921832" w14:paraId="71A94C1F" w14:textId="77777777" w:rsidTr="00F7471E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633DEADF" w14:textId="77777777" w:rsidR="00F7471E" w:rsidRPr="00921832" w:rsidRDefault="00F7471E" w:rsidP="007222C8">
            <w:pPr>
              <w:pStyle w:val="Heading2"/>
              <w:jc w:val="left"/>
              <w:rPr>
                <w:rFonts w:ascii="Arial" w:hAnsi="Arial" w:cs="Arial"/>
                <w:highlight w:val="yellow"/>
                <w:lang w:val="en-GB"/>
              </w:rPr>
            </w:pPr>
          </w:p>
          <w:p w14:paraId="120278E5" w14:textId="77777777" w:rsidR="00F7471E" w:rsidRPr="00921832" w:rsidRDefault="00F7471E" w:rsidP="007222C8">
            <w:pPr>
              <w:pStyle w:val="Heading2"/>
              <w:jc w:val="left"/>
              <w:rPr>
                <w:rFonts w:ascii="Arial" w:hAnsi="Arial" w:cs="Arial"/>
                <w:highlight w:val="yellow"/>
                <w:lang w:val="en-GB"/>
              </w:rPr>
            </w:pPr>
          </w:p>
          <w:p w14:paraId="0BC15285" w14:textId="59685144" w:rsidR="00F1171E" w:rsidRPr="0092183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183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2183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2183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21832" w14:paraId="5EA12279" w14:textId="77777777" w:rsidTr="00F7471E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265" w:type="pct"/>
            <w:gridSpan w:val="3"/>
            <w:noWrap/>
          </w:tcPr>
          <w:p w14:paraId="7AE9682F" w14:textId="77777777" w:rsidR="00F1171E" w:rsidRPr="0092183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2183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183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2183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83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2183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gridSpan w:val="2"/>
          </w:tcPr>
          <w:p w14:paraId="57792C30" w14:textId="77777777" w:rsidR="00F1171E" w:rsidRPr="0092183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21832">
              <w:rPr>
                <w:rFonts w:ascii="Arial" w:hAnsi="Arial" w:cs="Arial"/>
                <w:lang w:val="en-GB"/>
              </w:rPr>
              <w:t>Author’s Feedback</w:t>
            </w:r>
            <w:r w:rsidRPr="0092183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2183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21832" w14:paraId="5C0AB4EC" w14:textId="77777777" w:rsidTr="00F7471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64"/>
        </w:trPr>
        <w:tc>
          <w:tcPr>
            <w:tcW w:w="1265" w:type="pct"/>
            <w:gridSpan w:val="3"/>
            <w:noWrap/>
          </w:tcPr>
          <w:p w14:paraId="66B47184" w14:textId="48030299" w:rsidR="00F1171E" w:rsidRPr="0092183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2183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39B1E7A" w:rsidR="00F1171E" w:rsidRPr="00921832" w:rsidRDefault="000E5BB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sz w:val="20"/>
                <w:szCs w:val="20"/>
              </w:rPr>
              <w:t>This manuscript provides valuable insight into the successful management of a rare and catastrophic obstetric emergency—amniotic fluid embolism (AFE)—complicated by disseminated intravascular coagulation (DIC) and multiorgan dysfunction syndrome (MODS). It highlights the importance of early recognition, prompt intervention, and a multidisciplinary team approach in improving outcomes in cases traditionally associated with high mortality and morbidity. The detailed clinical course and management strategies shared in this report can serve as a reference for clinicians facing similar emergencies, especially in resource-constrained or pandemic-affected settings. Furthermore, it contributes to the limited body of literature on AFE survivorship, reinforcing the possibility of favorable outcomes with timely, evidence-based interventions.</w:t>
            </w:r>
          </w:p>
        </w:tc>
        <w:tc>
          <w:tcPr>
            <w:tcW w:w="1523" w:type="pct"/>
            <w:gridSpan w:val="2"/>
          </w:tcPr>
          <w:p w14:paraId="462A339C" w14:textId="77777777" w:rsidR="00F1171E" w:rsidRPr="0092183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1832" w14:paraId="0D8B5B2C" w14:textId="77777777" w:rsidTr="00F7471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62"/>
        </w:trPr>
        <w:tc>
          <w:tcPr>
            <w:tcW w:w="1265" w:type="pct"/>
            <w:gridSpan w:val="3"/>
            <w:noWrap/>
          </w:tcPr>
          <w:p w14:paraId="21CBA5FE" w14:textId="77777777" w:rsidR="00F1171E" w:rsidRPr="0092183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title of the article suitable?</w:t>
            </w:r>
          </w:p>
          <w:p w14:paraId="1CABB61A" w14:textId="77777777" w:rsidR="00F1171E" w:rsidRPr="0092183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2183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CCE51FA" w:rsidR="00F1171E" w:rsidRPr="00921832" w:rsidRDefault="000E5BB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sz w:val="20"/>
                <w:szCs w:val="20"/>
              </w:rPr>
              <w:t>Survival from Amniotic Fluid Embolism with DIC and MODS During the COVID-19 Pandemic: A Case Report</w:t>
            </w:r>
          </w:p>
        </w:tc>
        <w:tc>
          <w:tcPr>
            <w:tcW w:w="1523" w:type="pct"/>
            <w:gridSpan w:val="2"/>
          </w:tcPr>
          <w:p w14:paraId="405B6701" w14:textId="77777777" w:rsidR="00F1171E" w:rsidRPr="0092183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1832" w14:paraId="5604762A" w14:textId="77777777" w:rsidTr="00F7471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62"/>
        </w:trPr>
        <w:tc>
          <w:tcPr>
            <w:tcW w:w="1265" w:type="pct"/>
            <w:gridSpan w:val="3"/>
            <w:noWrap/>
          </w:tcPr>
          <w:p w14:paraId="3635573D" w14:textId="77777777" w:rsidR="00F1171E" w:rsidRPr="0092183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2183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2183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6BA7C69" w14:textId="5B93220E" w:rsidR="000E5BBB" w:rsidRPr="00921832" w:rsidRDefault="000E5BBB" w:rsidP="000E5BBB">
            <w:pPr>
              <w:pStyle w:val="Heading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832">
              <w:rPr>
                <w:rStyle w:val="Strong"/>
                <w:rFonts w:ascii="Arial" w:hAnsi="Arial" w:cs="Arial"/>
                <w:b/>
                <w:bCs/>
                <w:sz w:val="20"/>
                <w:szCs w:val="20"/>
              </w:rPr>
              <w:t xml:space="preserve">1. Structure and Clarity: </w:t>
            </w:r>
            <w:r w:rsidRPr="00921832">
              <w:rPr>
                <w:rStyle w:val="Strong"/>
                <w:rFonts w:ascii="Arial" w:hAnsi="Arial" w:cs="Arial"/>
                <w:sz w:val="20"/>
                <w:szCs w:val="20"/>
              </w:rPr>
              <w:t>Current Abstract</w:t>
            </w:r>
            <w:r w:rsidRPr="00921832">
              <w:rPr>
                <w:rFonts w:ascii="Arial" w:hAnsi="Arial" w:cs="Arial"/>
                <w:sz w:val="20"/>
                <w:szCs w:val="20"/>
              </w:rPr>
              <w:t xml:space="preserve"> is presented in one long paragraph. For scientific clarity, a structured abstract with distinct components (e.g., Background, Case Presentation, Management, Outcome, Conclusion) would improve readability. But it is still optional. </w:t>
            </w:r>
          </w:p>
          <w:p w14:paraId="009365D4" w14:textId="7A2C4E40" w:rsidR="000E5BBB" w:rsidRPr="00921832" w:rsidRDefault="000E5BBB" w:rsidP="000E5BBB">
            <w:pPr>
              <w:pStyle w:val="Heading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832">
              <w:rPr>
                <w:rStyle w:val="Strong"/>
                <w:rFonts w:ascii="Arial" w:hAnsi="Arial" w:cs="Arial"/>
                <w:b/>
                <w:bCs/>
                <w:sz w:val="20"/>
                <w:szCs w:val="20"/>
              </w:rPr>
              <w:t xml:space="preserve">2. Additions Suggested: </w:t>
            </w:r>
            <w:r w:rsidRPr="00921832">
              <w:rPr>
                <w:rStyle w:val="Strong"/>
                <w:rFonts w:ascii="Arial" w:hAnsi="Arial" w:cs="Arial"/>
                <w:sz w:val="20"/>
                <w:szCs w:val="20"/>
              </w:rPr>
              <w:t>Include numerical/clinical details briefly:</w:t>
            </w:r>
            <w:r w:rsidRPr="00921832">
              <w:rPr>
                <w:rFonts w:ascii="Arial" w:hAnsi="Arial" w:cs="Arial"/>
                <w:sz w:val="20"/>
                <w:szCs w:val="20"/>
              </w:rPr>
              <w:t xml:space="preserve"> A quick mention of massive transfusion or duration of ICU stay (e.g., "received 42 units of blood products", "14-day ICU stay") helps convey the severity and resource intensity. </w:t>
            </w:r>
            <w:r w:rsidRPr="00921832">
              <w:rPr>
                <w:rStyle w:val="Strong"/>
                <w:rFonts w:ascii="Arial" w:hAnsi="Arial" w:cs="Arial"/>
                <w:sz w:val="20"/>
                <w:szCs w:val="20"/>
              </w:rPr>
              <w:t>Briefly highlight differential diagnoses considered and ruled out:</w:t>
            </w:r>
            <w:r w:rsidRPr="00921832">
              <w:rPr>
                <w:rFonts w:ascii="Arial" w:hAnsi="Arial" w:cs="Arial"/>
                <w:sz w:val="20"/>
                <w:szCs w:val="20"/>
              </w:rPr>
              <w:t xml:space="preserve"> This reinforces the clinical reasoning process.</w:t>
            </w:r>
          </w:p>
          <w:p w14:paraId="0FB7E83A" w14:textId="4B16904B" w:rsidR="00F1171E" w:rsidRPr="00921832" w:rsidRDefault="000E5BBB" w:rsidP="000E5BBB">
            <w:pPr>
              <w:pStyle w:val="Heading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832">
              <w:rPr>
                <w:rStyle w:val="Strong"/>
                <w:rFonts w:ascii="Arial" w:hAnsi="Arial" w:cs="Arial"/>
                <w:b/>
                <w:bCs/>
                <w:sz w:val="20"/>
                <w:szCs w:val="20"/>
              </w:rPr>
              <w:t xml:space="preserve">3. Deletions or Refinements: </w:t>
            </w:r>
            <w:r w:rsidRPr="00921832">
              <w:rPr>
                <w:rStyle w:val="Strong"/>
                <w:rFonts w:ascii="Arial" w:hAnsi="Arial" w:cs="Arial"/>
                <w:sz w:val="20"/>
                <w:szCs w:val="20"/>
              </w:rPr>
              <w:t>Avoid subjective terms like "grim situation of near death"</w:t>
            </w:r>
            <w:r w:rsidRPr="00921832">
              <w:rPr>
                <w:rFonts w:ascii="Arial" w:hAnsi="Arial" w:cs="Arial"/>
                <w:sz w:val="20"/>
                <w:szCs w:val="20"/>
              </w:rPr>
              <w:t xml:space="preserve"> — replace with objective language like "life-threatening deterioration." </w:t>
            </w:r>
            <w:r w:rsidRPr="00921832">
              <w:rPr>
                <w:rStyle w:val="Strong"/>
                <w:rFonts w:ascii="Arial" w:hAnsi="Arial" w:cs="Arial"/>
                <w:sz w:val="20"/>
                <w:szCs w:val="20"/>
              </w:rPr>
              <w:t>"Success story"</w:t>
            </w:r>
            <w:r w:rsidRPr="00921832">
              <w:rPr>
                <w:rFonts w:ascii="Arial" w:hAnsi="Arial" w:cs="Arial"/>
                <w:sz w:val="20"/>
                <w:szCs w:val="20"/>
              </w:rPr>
              <w:t xml:space="preserve"> could be changed to "favorable outcome" to maintain professional tone.</w:t>
            </w:r>
          </w:p>
        </w:tc>
        <w:tc>
          <w:tcPr>
            <w:tcW w:w="1523" w:type="pct"/>
            <w:gridSpan w:val="2"/>
          </w:tcPr>
          <w:p w14:paraId="1D54B730" w14:textId="77777777" w:rsidR="00F1171E" w:rsidRPr="0092183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1832" w14:paraId="2F579F54" w14:textId="77777777" w:rsidTr="00F7471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859"/>
        </w:trPr>
        <w:tc>
          <w:tcPr>
            <w:tcW w:w="1265" w:type="pct"/>
            <w:gridSpan w:val="3"/>
            <w:noWrap/>
          </w:tcPr>
          <w:p w14:paraId="04361F46" w14:textId="10BBDD23" w:rsidR="00F1171E" w:rsidRPr="0092183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21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4443D07" w14:textId="77777777" w:rsidR="00F1171E" w:rsidRPr="00921832" w:rsidRDefault="000E5BB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B5A7721" w14:textId="77777777" w:rsidR="000E5BBB" w:rsidRPr="00921832" w:rsidRDefault="000E5BB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gridSpan w:val="2"/>
          </w:tcPr>
          <w:p w14:paraId="4898F764" w14:textId="77777777" w:rsidR="00F1171E" w:rsidRPr="0092183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1832" w14:paraId="73739464" w14:textId="77777777" w:rsidTr="00F7471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1265" w:type="pct"/>
            <w:gridSpan w:val="3"/>
            <w:noWrap/>
          </w:tcPr>
          <w:p w14:paraId="09C25322" w14:textId="18E5F54F" w:rsidR="00F1171E" w:rsidRPr="0092183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2183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2183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900A147" w:rsidR="00F1171E" w:rsidRPr="00921832" w:rsidRDefault="000E5BB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gridSpan w:val="2"/>
          </w:tcPr>
          <w:p w14:paraId="40220055" w14:textId="77777777" w:rsidR="00F1171E" w:rsidRPr="0092183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1832" w14:paraId="73CC4A50" w14:textId="77777777" w:rsidTr="00F7471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1265" w:type="pct"/>
            <w:gridSpan w:val="3"/>
            <w:noWrap/>
          </w:tcPr>
          <w:p w14:paraId="029CE8D0" w14:textId="77777777" w:rsidR="00F1171E" w:rsidRPr="0092183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2183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2183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2183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2183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83808DF" w:rsidR="00F1171E" w:rsidRPr="00921832" w:rsidRDefault="000E5BB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92183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2183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2183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gridSpan w:val="2"/>
          </w:tcPr>
          <w:p w14:paraId="0351CA58" w14:textId="77777777" w:rsidR="00F1171E" w:rsidRPr="0092183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21832" w14:paraId="20A16C0C" w14:textId="77777777" w:rsidTr="00F7471E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265" w:type="pct"/>
            <w:gridSpan w:val="3"/>
            <w:noWrap/>
          </w:tcPr>
          <w:p w14:paraId="7F4BCFAE" w14:textId="77777777" w:rsidR="00F1171E" w:rsidRPr="0092183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2183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2183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2183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2183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2183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2183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58B911F3" w:rsidR="00F1171E" w:rsidRPr="00921832" w:rsidRDefault="000E5BB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32">
              <w:rPr>
                <w:rFonts w:ascii="Arial" w:hAnsi="Arial" w:cs="Arial"/>
                <w:sz w:val="20"/>
                <w:szCs w:val="20"/>
                <w:lang w:val="en-GB"/>
              </w:rPr>
              <w:t>Nil</w:t>
            </w:r>
          </w:p>
          <w:p w14:paraId="15DFD0E8" w14:textId="77777777" w:rsidR="00F1171E" w:rsidRPr="0092183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gridSpan w:val="2"/>
          </w:tcPr>
          <w:p w14:paraId="465E098E" w14:textId="77777777" w:rsidR="00F1171E" w:rsidRPr="0092183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2183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2183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2183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2183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4CBCE07A" w:rsidR="00F1171E" w:rsidRPr="0092183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FC7FFE" w14:textId="65C6D451" w:rsidR="00F7471E" w:rsidRPr="00921832" w:rsidRDefault="00F74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CC053D" w14:textId="08F1B886" w:rsidR="00F7471E" w:rsidRPr="00921832" w:rsidRDefault="00F74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F7471E" w:rsidRPr="00921832" w14:paraId="538AEB00" w14:textId="77777777" w:rsidTr="009630E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FCAD" w14:textId="77777777" w:rsidR="00F7471E" w:rsidRPr="00921832" w:rsidRDefault="00F7471E" w:rsidP="009630E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2183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2183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C3049C6" w14:textId="77777777" w:rsidR="00F7471E" w:rsidRPr="00921832" w:rsidRDefault="00F7471E" w:rsidP="009630E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7471E" w:rsidRPr="00921832" w14:paraId="3E84C90E" w14:textId="77777777" w:rsidTr="009630E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3013" w14:textId="77777777" w:rsidR="00F7471E" w:rsidRPr="00921832" w:rsidRDefault="00F7471E" w:rsidP="009630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10E8" w14:textId="77777777" w:rsidR="00F7471E" w:rsidRPr="00921832" w:rsidRDefault="00F7471E" w:rsidP="009630E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18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E48837A" w14:textId="77777777" w:rsidR="00F7471E" w:rsidRPr="00921832" w:rsidRDefault="00F7471E" w:rsidP="009630E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218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218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E8A812" w14:textId="77777777" w:rsidR="00F7471E" w:rsidRPr="00921832" w:rsidRDefault="00F7471E" w:rsidP="009630E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471E" w:rsidRPr="00921832" w14:paraId="6E9712F6" w14:textId="77777777" w:rsidTr="009630E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E426" w14:textId="77777777" w:rsidR="00F7471E" w:rsidRPr="00921832" w:rsidRDefault="00F7471E" w:rsidP="009630E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2183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A3A32EA" w14:textId="77777777" w:rsidR="00F7471E" w:rsidRPr="00921832" w:rsidRDefault="00F7471E" w:rsidP="009630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FBD2" w14:textId="77777777" w:rsidR="00F7471E" w:rsidRPr="00921832" w:rsidRDefault="00F7471E" w:rsidP="009630E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218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218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218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12C85B4" w14:textId="77777777" w:rsidR="00F7471E" w:rsidRPr="00921832" w:rsidRDefault="00F7471E" w:rsidP="009630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411F8C5" w14:textId="77777777" w:rsidR="00F7471E" w:rsidRPr="00921832" w:rsidRDefault="00F7471E" w:rsidP="009630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81881D" w14:textId="77777777" w:rsidR="00F7471E" w:rsidRPr="00921832" w:rsidRDefault="00F7471E" w:rsidP="009630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4FA5C4" w14:textId="77777777" w:rsidR="00F7471E" w:rsidRPr="00921832" w:rsidRDefault="00F7471E" w:rsidP="009630E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4BF6180" w14:textId="77777777" w:rsidR="00F7471E" w:rsidRPr="00921832" w:rsidRDefault="00F7471E" w:rsidP="00F7471E">
      <w:pPr>
        <w:rPr>
          <w:rFonts w:ascii="Arial" w:hAnsi="Arial" w:cs="Arial"/>
          <w:sz w:val="20"/>
          <w:szCs w:val="20"/>
        </w:rPr>
      </w:pPr>
    </w:p>
    <w:p w14:paraId="2D0C4856" w14:textId="77777777" w:rsidR="00F7471E" w:rsidRPr="00921832" w:rsidRDefault="00F7471E" w:rsidP="00F7471E">
      <w:pPr>
        <w:rPr>
          <w:rFonts w:ascii="Arial" w:hAnsi="Arial" w:cs="Arial"/>
          <w:sz w:val="20"/>
          <w:szCs w:val="20"/>
        </w:rPr>
      </w:pPr>
    </w:p>
    <w:p w14:paraId="4B3FE71B" w14:textId="77777777" w:rsidR="00F7471E" w:rsidRPr="00921832" w:rsidRDefault="00F7471E" w:rsidP="00F7471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6D12F7D8" w14:textId="77777777" w:rsidR="00921832" w:rsidRPr="007C3AD1" w:rsidRDefault="00921832" w:rsidP="009218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C3AD1">
        <w:rPr>
          <w:rFonts w:ascii="Arial" w:hAnsi="Arial" w:cs="Arial"/>
          <w:b/>
          <w:u w:val="single"/>
        </w:rPr>
        <w:t>Reviewer details:</w:t>
      </w:r>
    </w:p>
    <w:p w14:paraId="0BBB1421" w14:textId="77777777" w:rsidR="00921832" w:rsidRPr="007C3AD1" w:rsidRDefault="00921832" w:rsidP="0092183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7C3AD1">
        <w:rPr>
          <w:rFonts w:ascii="Arial" w:hAnsi="Arial" w:cs="Arial"/>
          <w:b/>
          <w:color w:val="000000"/>
        </w:rPr>
        <w:t>Vickneshwaran</w:t>
      </w:r>
      <w:proofErr w:type="spellEnd"/>
      <w:r w:rsidRPr="007C3AD1">
        <w:rPr>
          <w:rFonts w:ascii="Arial" w:hAnsi="Arial" w:cs="Arial"/>
          <w:b/>
          <w:color w:val="000000"/>
        </w:rPr>
        <w:t xml:space="preserve"> V, Mahatma Gandhi medical college and Research Institute, India</w:t>
      </w:r>
    </w:p>
    <w:p w14:paraId="3C40AB78" w14:textId="77777777" w:rsidR="00F7471E" w:rsidRPr="00921832" w:rsidRDefault="00F74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7471E" w:rsidRPr="0092183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35CC" w14:textId="77777777" w:rsidR="00121F19" w:rsidRPr="0000007A" w:rsidRDefault="00121F19" w:rsidP="0099583E">
      <w:r>
        <w:separator/>
      </w:r>
    </w:p>
  </w:endnote>
  <w:endnote w:type="continuationSeparator" w:id="0">
    <w:p w14:paraId="37693B84" w14:textId="77777777" w:rsidR="00121F19" w:rsidRPr="0000007A" w:rsidRDefault="00121F1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8F83" w14:textId="77777777" w:rsidR="00121F19" w:rsidRPr="0000007A" w:rsidRDefault="00121F19" w:rsidP="0099583E">
      <w:r>
        <w:separator/>
      </w:r>
    </w:p>
  </w:footnote>
  <w:footnote w:type="continuationSeparator" w:id="0">
    <w:p w14:paraId="6546181F" w14:textId="77777777" w:rsidR="00121F19" w:rsidRPr="0000007A" w:rsidRDefault="00121F1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4C60"/>
    <w:multiLevelType w:val="multilevel"/>
    <w:tmpl w:val="AA4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20A6C"/>
    <w:multiLevelType w:val="multilevel"/>
    <w:tmpl w:val="EACA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A7040"/>
    <w:multiLevelType w:val="multilevel"/>
    <w:tmpl w:val="3EAE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2686821">
    <w:abstractNumId w:val="4"/>
  </w:num>
  <w:num w:numId="2" w16cid:durableId="1899902314">
    <w:abstractNumId w:val="7"/>
  </w:num>
  <w:num w:numId="3" w16cid:durableId="685254630">
    <w:abstractNumId w:val="6"/>
  </w:num>
  <w:num w:numId="4" w16cid:durableId="1254044671">
    <w:abstractNumId w:val="8"/>
  </w:num>
  <w:num w:numId="5" w16cid:durableId="1116756774">
    <w:abstractNumId w:val="5"/>
  </w:num>
  <w:num w:numId="6" w16cid:durableId="1840391405">
    <w:abstractNumId w:val="0"/>
  </w:num>
  <w:num w:numId="7" w16cid:durableId="215629957">
    <w:abstractNumId w:val="2"/>
  </w:num>
  <w:num w:numId="8" w16cid:durableId="2034333682">
    <w:abstractNumId w:val="12"/>
  </w:num>
  <w:num w:numId="9" w16cid:durableId="14893202">
    <w:abstractNumId w:val="11"/>
  </w:num>
  <w:num w:numId="10" w16cid:durableId="1735808508">
    <w:abstractNumId w:val="3"/>
  </w:num>
  <w:num w:numId="11" w16cid:durableId="915825811">
    <w:abstractNumId w:val="1"/>
  </w:num>
  <w:num w:numId="12" w16cid:durableId="1234043549">
    <w:abstractNumId w:val="10"/>
  </w:num>
  <w:num w:numId="13" w16cid:durableId="1009720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5BBB"/>
    <w:rsid w:val="000F6EA8"/>
    <w:rsid w:val="00101322"/>
    <w:rsid w:val="00102DBA"/>
    <w:rsid w:val="00115767"/>
    <w:rsid w:val="00121F19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6B13"/>
    <w:rsid w:val="002B0E4B"/>
    <w:rsid w:val="002C0865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56A3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1006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2FCA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832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03C1"/>
    <w:rsid w:val="00A30D07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5298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0490"/>
    <w:rsid w:val="00B82A3A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5D5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29EC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471E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0815F5C8-1132-4231-8319-1A8A4520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E5BBB"/>
    <w:rPr>
      <w:b/>
      <w:bCs/>
    </w:rPr>
  </w:style>
  <w:style w:type="paragraph" w:customStyle="1" w:styleId="Affiliation">
    <w:name w:val="Affiliation"/>
    <w:basedOn w:val="Normal"/>
    <w:rsid w:val="009218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2025-07-28T10:18:00Z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