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A12BC" w14:paraId="1643A4CA" w14:textId="77777777" w:rsidTr="004847FF">
        <w:trPr>
          <w:trHeight w:val="450"/>
        </w:trPr>
        <w:tc>
          <w:tcPr>
            <w:tcW w:w="5000" w:type="pct"/>
            <w:gridSpan w:val="2"/>
            <w:tcBorders>
              <w:top w:val="nil"/>
              <w:left w:val="nil"/>
              <w:right w:val="nil"/>
            </w:tcBorders>
          </w:tcPr>
          <w:p w14:paraId="4C55E51F" w14:textId="77777777" w:rsidR="00602F7D" w:rsidRPr="006A12BC" w:rsidRDefault="00602F7D" w:rsidP="00F2643C">
            <w:pPr>
              <w:pStyle w:val="Heading2"/>
              <w:jc w:val="left"/>
              <w:rPr>
                <w:rFonts w:ascii="Arial" w:hAnsi="Arial" w:cs="Arial"/>
                <w:b w:val="0"/>
                <w:bCs w:val="0"/>
                <w:lang w:val="en-US"/>
              </w:rPr>
            </w:pPr>
          </w:p>
        </w:tc>
      </w:tr>
      <w:tr w:rsidR="0000007A" w:rsidRPr="006A12BC" w14:paraId="127EAD7E" w14:textId="77777777" w:rsidTr="00F33C84">
        <w:trPr>
          <w:trHeight w:val="413"/>
        </w:trPr>
        <w:tc>
          <w:tcPr>
            <w:tcW w:w="1234" w:type="pct"/>
          </w:tcPr>
          <w:p w14:paraId="3C159AA5" w14:textId="77777777" w:rsidR="0000007A" w:rsidRPr="006A12BC" w:rsidRDefault="00D27A79" w:rsidP="00696CAD">
            <w:pPr>
              <w:pStyle w:val="BodyText"/>
              <w:ind w:left="90"/>
              <w:jc w:val="left"/>
              <w:rPr>
                <w:rFonts w:ascii="Arial" w:hAnsi="Arial" w:cs="Arial"/>
                <w:bCs/>
                <w:sz w:val="20"/>
                <w:szCs w:val="20"/>
                <w:lang w:val="en-GB"/>
              </w:rPr>
            </w:pPr>
            <w:r w:rsidRPr="006A12BC">
              <w:rPr>
                <w:rFonts w:ascii="Arial" w:hAnsi="Arial" w:cs="Arial"/>
                <w:bCs/>
                <w:sz w:val="20"/>
                <w:szCs w:val="20"/>
                <w:lang w:val="en-GB"/>
              </w:rPr>
              <w:t xml:space="preserve">Book </w:t>
            </w:r>
            <w:r w:rsidR="0000007A" w:rsidRPr="006A12B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80BF56B" w:rsidR="0000007A" w:rsidRPr="006A12BC" w:rsidRDefault="00D16477" w:rsidP="00054BC4">
            <w:pPr>
              <w:pStyle w:val="NormalWeb"/>
              <w:rPr>
                <w:rFonts w:ascii="Arial" w:hAnsi="Arial" w:cs="Arial"/>
                <w:b/>
                <w:bCs/>
                <w:sz w:val="20"/>
                <w:szCs w:val="20"/>
                <w:u w:val="single"/>
              </w:rPr>
            </w:pPr>
            <w:hyperlink r:id="rId7" w:history="1">
              <w:r w:rsidRPr="006A12BC">
                <w:rPr>
                  <w:rStyle w:val="Hyperlink"/>
                  <w:rFonts w:ascii="Arial" w:hAnsi="Arial" w:cs="Arial"/>
                  <w:b/>
                  <w:bCs/>
                  <w:sz w:val="20"/>
                  <w:szCs w:val="20"/>
                </w:rPr>
                <w:t>Mathematics and Computer Science: Research Updates</w:t>
              </w:r>
            </w:hyperlink>
          </w:p>
        </w:tc>
      </w:tr>
      <w:tr w:rsidR="0000007A" w:rsidRPr="006A12BC" w14:paraId="73C90375" w14:textId="77777777" w:rsidTr="002E7787">
        <w:trPr>
          <w:trHeight w:val="290"/>
        </w:trPr>
        <w:tc>
          <w:tcPr>
            <w:tcW w:w="1234" w:type="pct"/>
          </w:tcPr>
          <w:p w14:paraId="20D28135" w14:textId="77777777" w:rsidR="0000007A" w:rsidRPr="006A12BC" w:rsidRDefault="0000007A" w:rsidP="00696CAD">
            <w:pPr>
              <w:pStyle w:val="BodyText"/>
              <w:ind w:left="90"/>
              <w:jc w:val="left"/>
              <w:rPr>
                <w:rFonts w:ascii="Arial" w:hAnsi="Arial" w:cs="Arial"/>
                <w:bCs/>
                <w:sz w:val="20"/>
                <w:szCs w:val="20"/>
                <w:lang w:val="en-GB"/>
              </w:rPr>
            </w:pPr>
            <w:r w:rsidRPr="006A12B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D226828" w:rsidR="0000007A" w:rsidRPr="006A12BC" w:rsidRDefault="00E72A8E" w:rsidP="00F3669D">
            <w:pPr>
              <w:pStyle w:val="NormalWeb"/>
              <w:spacing w:before="0" w:beforeAutospacing="0" w:after="0" w:afterAutospacing="0"/>
              <w:rPr>
                <w:rFonts w:ascii="Arial" w:hAnsi="Arial" w:cs="Arial"/>
                <w:b/>
                <w:bCs/>
                <w:sz w:val="20"/>
                <w:szCs w:val="20"/>
                <w:highlight w:val="yellow"/>
                <w:lang w:val="en-GB"/>
              </w:rPr>
            </w:pPr>
            <w:r w:rsidRPr="006A12BC">
              <w:rPr>
                <w:rFonts w:ascii="Arial" w:hAnsi="Arial" w:cs="Arial"/>
                <w:b/>
                <w:bCs/>
                <w:sz w:val="20"/>
                <w:szCs w:val="20"/>
                <w:lang w:val="en-GB"/>
              </w:rPr>
              <w:t>Ms_BP</w:t>
            </w:r>
            <w:r w:rsidR="00FC432A" w:rsidRPr="006A12BC">
              <w:rPr>
                <w:rFonts w:ascii="Arial" w:hAnsi="Arial" w:cs="Arial"/>
                <w:b/>
                <w:bCs/>
                <w:sz w:val="20"/>
                <w:szCs w:val="20"/>
                <w:lang w:val="en-GB"/>
              </w:rPr>
              <w:t>R</w:t>
            </w:r>
            <w:r w:rsidRPr="006A12BC">
              <w:rPr>
                <w:rFonts w:ascii="Arial" w:hAnsi="Arial" w:cs="Arial"/>
                <w:b/>
                <w:bCs/>
                <w:sz w:val="20"/>
                <w:szCs w:val="20"/>
                <w:lang w:val="en-GB"/>
              </w:rPr>
              <w:t>_</w:t>
            </w:r>
            <w:r w:rsidR="007629B2" w:rsidRPr="006A12BC">
              <w:rPr>
                <w:rFonts w:ascii="Arial" w:hAnsi="Arial" w:cs="Arial"/>
                <w:b/>
                <w:bCs/>
                <w:sz w:val="20"/>
                <w:szCs w:val="20"/>
                <w:lang w:val="en-GB"/>
              </w:rPr>
              <w:t>6081</w:t>
            </w:r>
          </w:p>
        </w:tc>
      </w:tr>
      <w:tr w:rsidR="0000007A" w:rsidRPr="006A12BC" w14:paraId="05B60576" w14:textId="77777777" w:rsidTr="002109D6">
        <w:trPr>
          <w:trHeight w:val="331"/>
        </w:trPr>
        <w:tc>
          <w:tcPr>
            <w:tcW w:w="1234" w:type="pct"/>
          </w:tcPr>
          <w:p w14:paraId="0196A627" w14:textId="77777777" w:rsidR="0000007A" w:rsidRPr="006A12BC" w:rsidRDefault="0000007A" w:rsidP="00696CAD">
            <w:pPr>
              <w:pStyle w:val="BodyText"/>
              <w:ind w:left="90"/>
              <w:jc w:val="left"/>
              <w:rPr>
                <w:rFonts w:ascii="Arial" w:hAnsi="Arial" w:cs="Arial"/>
                <w:bCs/>
                <w:sz w:val="20"/>
                <w:szCs w:val="20"/>
                <w:lang w:val="en-GB"/>
              </w:rPr>
            </w:pPr>
            <w:r w:rsidRPr="006A12B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BD257B0" w:rsidR="0000007A" w:rsidRPr="006A12BC" w:rsidRDefault="008C563B" w:rsidP="000450FC">
            <w:pPr>
              <w:pStyle w:val="NormalWeb"/>
              <w:spacing w:before="0" w:beforeAutospacing="0" w:after="0" w:afterAutospacing="0"/>
              <w:rPr>
                <w:rFonts w:ascii="Arial" w:hAnsi="Arial" w:cs="Arial"/>
                <w:b/>
                <w:sz w:val="20"/>
                <w:szCs w:val="20"/>
                <w:highlight w:val="yellow"/>
                <w:lang w:val="en-GB"/>
              </w:rPr>
            </w:pPr>
            <w:r w:rsidRPr="006A12BC">
              <w:rPr>
                <w:rFonts w:ascii="Arial" w:hAnsi="Arial" w:cs="Arial"/>
                <w:b/>
                <w:sz w:val="20"/>
                <w:szCs w:val="20"/>
                <w:lang w:val="en-GB"/>
              </w:rPr>
              <w:t>Certain Addition Formulae in the form of Gamma Function</w:t>
            </w:r>
          </w:p>
        </w:tc>
      </w:tr>
      <w:tr w:rsidR="00CF0BBB" w:rsidRPr="006A12BC" w14:paraId="6D508B1C" w14:textId="77777777" w:rsidTr="002E7787">
        <w:trPr>
          <w:trHeight w:val="332"/>
        </w:trPr>
        <w:tc>
          <w:tcPr>
            <w:tcW w:w="1234" w:type="pct"/>
          </w:tcPr>
          <w:p w14:paraId="32FC28F7" w14:textId="77777777" w:rsidR="00CF0BBB" w:rsidRPr="006A12BC" w:rsidRDefault="00CF0BBB" w:rsidP="00696CAD">
            <w:pPr>
              <w:pStyle w:val="BodyText"/>
              <w:ind w:left="90"/>
              <w:jc w:val="left"/>
              <w:rPr>
                <w:rFonts w:ascii="Arial" w:hAnsi="Arial" w:cs="Arial"/>
                <w:bCs/>
                <w:sz w:val="20"/>
                <w:szCs w:val="20"/>
                <w:lang w:val="en-GB"/>
              </w:rPr>
            </w:pPr>
            <w:r w:rsidRPr="006A12B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3961F65" w:rsidR="00CF0BBB" w:rsidRPr="006A12BC" w:rsidRDefault="007629B2" w:rsidP="000450FC">
            <w:pPr>
              <w:pStyle w:val="NormalWeb"/>
              <w:spacing w:before="0" w:beforeAutospacing="0" w:after="0" w:afterAutospacing="0"/>
              <w:rPr>
                <w:rFonts w:ascii="Arial" w:hAnsi="Arial" w:cs="Arial"/>
                <w:b/>
                <w:sz w:val="20"/>
                <w:szCs w:val="20"/>
                <w:lang w:val="en-GB"/>
              </w:rPr>
            </w:pPr>
            <w:r w:rsidRPr="006A12BC">
              <w:rPr>
                <w:rFonts w:ascii="Arial" w:hAnsi="Arial" w:cs="Arial"/>
                <w:b/>
                <w:sz w:val="20"/>
                <w:szCs w:val="20"/>
                <w:lang w:val="en-GB"/>
              </w:rPr>
              <w:t>Book Chapter</w:t>
            </w:r>
          </w:p>
        </w:tc>
      </w:tr>
    </w:tbl>
    <w:p w14:paraId="5A743ECE" w14:textId="5F7B89F4" w:rsidR="00D27A79" w:rsidRPr="006A12BC" w:rsidRDefault="00D27A79" w:rsidP="006A12BC">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A12BC" w14:paraId="71A94C1F" w14:textId="77777777" w:rsidTr="007222C8">
        <w:tc>
          <w:tcPr>
            <w:tcW w:w="5000" w:type="pct"/>
            <w:gridSpan w:val="3"/>
            <w:tcBorders>
              <w:top w:val="nil"/>
              <w:left w:val="nil"/>
              <w:right w:val="nil"/>
            </w:tcBorders>
            <w:noWrap/>
          </w:tcPr>
          <w:p w14:paraId="0BC15285" w14:textId="75BEB51F" w:rsidR="00F1171E" w:rsidRPr="006A12BC" w:rsidRDefault="00F1171E" w:rsidP="007222C8">
            <w:pPr>
              <w:pStyle w:val="Heading2"/>
              <w:jc w:val="left"/>
              <w:rPr>
                <w:rFonts w:ascii="Arial" w:hAnsi="Arial" w:cs="Arial"/>
                <w:lang w:val="en-GB"/>
              </w:rPr>
            </w:pPr>
            <w:r w:rsidRPr="006A12BC">
              <w:rPr>
                <w:rFonts w:ascii="Arial" w:hAnsi="Arial" w:cs="Arial"/>
                <w:highlight w:val="yellow"/>
                <w:lang w:val="en-GB"/>
              </w:rPr>
              <w:t>PART  1:</w:t>
            </w:r>
            <w:r w:rsidRPr="006A12BC">
              <w:rPr>
                <w:rFonts w:ascii="Arial" w:hAnsi="Arial" w:cs="Arial"/>
                <w:lang w:val="en-GB"/>
              </w:rPr>
              <w:t xml:space="preserve"> Comments</w:t>
            </w:r>
          </w:p>
          <w:p w14:paraId="1287753C" w14:textId="77777777" w:rsidR="00F1171E" w:rsidRPr="006A12BC" w:rsidRDefault="00F1171E" w:rsidP="007222C8">
            <w:pPr>
              <w:rPr>
                <w:rFonts w:ascii="Arial" w:hAnsi="Arial" w:cs="Arial"/>
                <w:sz w:val="20"/>
                <w:szCs w:val="20"/>
                <w:lang w:val="en-GB"/>
              </w:rPr>
            </w:pPr>
          </w:p>
        </w:tc>
      </w:tr>
      <w:tr w:rsidR="00F1171E" w:rsidRPr="006A12BC" w14:paraId="5EA12279" w14:textId="77777777" w:rsidTr="007222C8">
        <w:tc>
          <w:tcPr>
            <w:tcW w:w="1265" w:type="pct"/>
            <w:noWrap/>
          </w:tcPr>
          <w:p w14:paraId="7AE9682F" w14:textId="77777777" w:rsidR="00F1171E" w:rsidRPr="006A12BC" w:rsidRDefault="00F1171E" w:rsidP="007222C8">
            <w:pPr>
              <w:pStyle w:val="Heading2"/>
              <w:jc w:val="left"/>
              <w:rPr>
                <w:rFonts w:ascii="Arial" w:hAnsi="Arial" w:cs="Arial"/>
                <w:lang w:val="en-GB"/>
              </w:rPr>
            </w:pPr>
          </w:p>
        </w:tc>
        <w:tc>
          <w:tcPr>
            <w:tcW w:w="2212" w:type="pct"/>
          </w:tcPr>
          <w:p w14:paraId="5B8DBE06" w14:textId="77777777" w:rsidR="00F1171E" w:rsidRPr="006A12BC" w:rsidRDefault="00F1171E" w:rsidP="007222C8">
            <w:pPr>
              <w:pStyle w:val="Heading2"/>
              <w:jc w:val="left"/>
              <w:rPr>
                <w:rFonts w:ascii="Arial" w:hAnsi="Arial" w:cs="Arial"/>
                <w:lang w:val="en-GB"/>
              </w:rPr>
            </w:pPr>
            <w:r w:rsidRPr="006A12BC">
              <w:rPr>
                <w:rFonts w:ascii="Arial" w:hAnsi="Arial" w:cs="Arial"/>
                <w:lang w:val="en-GB"/>
              </w:rPr>
              <w:t>Reviewer’s comment</w:t>
            </w:r>
          </w:p>
          <w:p w14:paraId="693A9C4D" w14:textId="77777777" w:rsidR="00421DBF" w:rsidRPr="006A12BC" w:rsidRDefault="00421DBF" w:rsidP="00421DBF">
            <w:pPr>
              <w:rPr>
                <w:rFonts w:ascii="Arial" w:hAnsi="Arial" w:cs="Arial"/>
                <w:b/>
                <w:bCs/>
                <w:sz w:val="20"/>
                <w:szCs w:val="20"/>
              </w:rPr>
            </w:pPr>
            <w:r w:rsidRPr="006A12B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A12BC" w:rsidRDefault="00421DBF" w:rsidP="00421DBF">
            <w:pPr>
              <w:rPr>
                <w:rFonts w:ascii="Arial" w:hAnsi="Arial" w:cs="Arial"/>
                <w:sz w:val="20"/>
                <w:szCs w:val="20"/>
                <w:lang w:val="en-GB"/>
              </w:rPr>
            </w:pPr>
          </w:p>
        </w:tc>
        <w:tc>
          <w:tcPr>
            <w:tcW w:w="1523" w:type="pct"/>
          </w:tcPr>
          <w:p w14:paraId="57792C30" w14:textId="77777777" w:rsidR="00F1171E" w:rsidRPr="006A12BC" w:rsidRDefault="00F1171E" w:rsidP="007222C8">
            <w:pPr>
              <w:pStyle w:val="Heading2"/>
              <w:jc w:val="left"/>
              <w:rPr>
                <w:rFonts w:ascii="Arial" w:hAnsi="Arial" w:cs="Arial"/>
                <w:b w:val="0"/>
                <w:lang w:val="en-GB"/>
              </w:rPr>
            </w:pPr>
            <w:r w:rsidRPr="006A12BC">
              <w:rPr>
                <w:rFonts w:ascii="Arial" w:hAnsi="Arial" w:cs="Arial"/>
                <w:lang w:val="en-GB"/>
              </w:rPr>
              <w:t>Author’s Feedback</w:t>
            </w:r>
            <w:r w:rsidRPr="006A12BC">
              <w:rPr>
                <w:rFonts w:ascii="Arial" w:hAnsi="Arial" w:cs="Arial"/>
                <w:b w:val="0"/>
                <w:lang w:val="en-GB"/>
              </w:rPr>
              <w:t xml:space="preserve"> </w:t>
            </w:r>
            <w:r w:rsidRPr="006A12BC">
              <w:rPr>
                <w:rFonts w:ascii="Arial" w:hAnsi="Arial" w:cs="Arial"/>
                <w:b w:val="0"/>
                <w:i/>
                <w:lang w:val="en-GB"/>
              </w:rPr>
              <w:t>(Please correct the manuscript and highlight that part in the manuscript. It is mandatory that authors should write his/her feedback here)</w:t>
            </w:r>
          </w:p>
        </w:tc>
      </w:tr>
      <w:tr w:rsidR="00F1171E" w:rsidRPr="006A12BC" w14:paraId="5C0AB4EC" w14:textId="77777777" w:rsidTr="007222C8">
        <w:trPr>
          <w:trHeight w:val="1264"/>
        </w:trPr>
        <w:tc>
          <w:tcPr>
            <w:tcW w:w="1265" w:type="pct"/>
            <w:noWrap/>
          </w:tcPr>
          <w:p w14:paraId="66B47184" w14:textId="48030299" w:rsidR="00F1171E" w:rsidRPr="006A12BC" w:rsidRDefault="00F1171E" w:rsidP="007222C8">
            <w:pPr>
              <w:ind w:left="360"/>
              <w:rPr>
                <w:rFonts w:ascii="Arial" w:hAnsi="Arial" w:cs="Arial"/>
                <w:b/>
                <w:bCs/>
                <w:sz w:val="20"/>
                <w:szCs w:val="20"/>
                <w:lang w:val="en-GB"/>
              </w:rPr>
            </w:pPr>
            <w:r w:rsidRPr="006A12B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A12BC" w:rsidRDefault="00F1171E" w:rsidP="007222C8">
            <w:pPr>
              <w:ind w:left="360"/>
              <w:rPr>
                <w:rFonts w:ascii="Arial" w:eastAsia="MS Mincho" w:hAnsi="Arial" w:cs="Arial"/>
                <w:b/>
                <w:bCs/>
                <w:sz w:val="20"/>
                <w:szCs w:val="20"/>
                <w:lang w:val="en-GB"/>
              </w:rPr>
            </w:pPr>
          </w:p>
        </w:tc>
        <w:tc>
          <w:tcPr>
            <w:tcW w:w="2212" w:type="pct"/>
          </w:tcPr>
          <w:p w14:paraId="7DBC9196" w14:textId="5F0F827C" w:rsidR="00F1171E" w:rsidRPr="006A12BC" w:rsidRDefault="007B369B" w:rsidP="007B369B">
            <w:pPr>
              <w:pStyle w:val="ListParagraph"/>
              <w:ind w:left="0"/>
              <w:rPr>
                <w:rFonts w:ascii="Arial" w:hAnsi="Arial" w:cs="Arial"/>
                <w:sz w:val="20"/>
                <w:szCs w:val="20"/>
                <w:lang w:val="en-GB"/>
              </w:rPr>
            </w:pPr>
            <w:r w:rsidRPr="006A12BC">
              <w:rPr>
                <w:rFonts w:ascii="Arial" w:hAnsi="Arial" w:cs="Arial"/>
                <w:sz w:val="20"/>
                <w:szCs w:val="20"/>
              </w:rPr>
              <w:t>The manuscript makes a timely contribution to the theory of special functions by deriving a suite of new addition and summation formulae that link generalized hypergeometric functions directly to the Gamma function. These closed</w:t>
            </w:r>
            <w:r w:rsidRPr="006A12BC">
              <w:rPr>
                <w:rFonts w:ascii="Arial" w:hAnsi="Arial" w:cs="Arial"/>
                <w:sz w:val="20"/>
                <w:szCs w:val="20"/>
              </w:rPr>
              <w:noBreakHyphen/>
              <w:t>form identities expand the analytical toolbox for researchers who model and solve differential equations in physics, engineering, and the geosciences, where hypergeometric series frequently appear. Because the formulae are explicitly constructed to be “easy to understand and new in the field of special function,” they can streamline both symbolic manipulations and numerical evaluations, boosting computational efficiency in applications such as antenna</w:t>
            </w:r>
            <w:r w:rsidRPr="006A12BC">
              <w:rPr>
                <w:rFonts w:ascii="Arial" w:hAnsi="Arial" w:cs="Arial"/>
                <w:sz w:val="20"/>
                <w:szCs w:val="20"/>
              </w:rPr>
              <w:noBreakHyphen/>
              <w:t>satellite analysis and wave</w:t>
            </w:r>
            <w:r w:rsidRPr="006A12BC">
              <w:rPr>
                <w:rFonts w:ascii="Arial" w:hAnsi="Arial" w:cs="Arial"/>
                <w:sz w:val="20"/>
                <w:szCs w:val="20"/>
              </w:rPr>
              <w:noBreakHyphen/>
              <w:t>propagation studies. By enriching the foundational framework of hypergeometric analysis while highlighting practical use cases, the work promises broad utility and will be of clear interest to the wider mathematical</w:t>
            </w:r>
            <w:r w:rsidRPr="006A12BC">
              <w:rPr>
                <w:rFonts w:ascii="Cambria Math" w:hAnsi="Cambria Math" w:cs="Cambria Math"/>
                <w:sz w:val="20"/>
                <w:szCs w:val="20"/>
              </w:rPr>
              <w:t>‐</w:t>
            </w:r>
            <w:r w:rsidRPr="006A12BC">
              <w:rPr>
                <w:rFonts w:ascii="Arial" w:hAnsi="Arial" w:cs="Arial"/>
                <w:sz w:val="20"/>
                <w:szCs w:val="20"/>
              </w:rPr>
              <w:t>science community.</w:t>
            </w:r>
          </w:p>
        </w:tc>
        <w:tc>
          <w:tcPr>
            <w:tcW w:w="1523" w:type="pct"/>
          </w:tcPr>
          <w:p w14:paraId="462A339C" w14:textId="77777777" w:rsidR="00F1171E" w:rsidRPr="006A12BC" w:rsidRDefault="00F1171E" w:rsidP="007222C8">
            <w:pPr>
              <w:pStyle w:val="Heading2"/>
              <w:jc w:val="left"/>
              <w:rPr>
                <w:rFonts w:ascii="Arial" w:hAnsi="Arial" w:cs="Arial"/>
                <w:b w:val="0"/>
                <w:lang w:val="en-GB"/>
              </w:rPr>
            </w:pPr>
          </w:p>
        </w:tc>
      </w:tr>
      <w:tr w:rsidR="00F1171E" w:rsidRPr="006A12BC" w14:paraId="0D8B5B2C" w14:textId="77777777" w:rsidTr="007222C8">
        <w:trPr>
          <w:trHeight w:val="1262"/>
        </w:trPr>
        <w:tc>
          <w:tcPr>
            <w:tcW w:w="1265" w:type="pct"/>
            <w:noWrap/>
          </w:tcPr>
          <w:p w14:paraId="21CBA5FE" w14:textId="77777777" w:rsidR="00F1171E" w:rsidRPr="006A12BC" w:rsidRDefault="00F1171E" w:rsidP="007222C8">
            <w:pPr>
              <w:ind w:left="360"/>
              <w:rPr>
                <w:rFonts w:ascii="Arial" w:hAnsi="Arial" w:cs="Arial"/>
                <w:b/>
                <w:bCs/>
                <w:sz w:val="20"/>
                <w:szCs w:val="20"/>
                <w:lang w:val="en-GB"/>
              </w:rPr>
            </w:pPr>
            <w:r w:rsidRPr="006A12BC">
              <w:rPr>
                <w:rFonts w:ascii="Arial" w:hAnsi="Arial" w:cs="Arial"/>
                <w:b/>
                <w:bCs/>
                <w:sz w:val="20"/>
                <w:szCs w:val="20"/>
                <w:lang w:val="en-GB"/>
              </w:rPr>
              <w:t>Is the title of the article suitable?</w:t>
            </w:r>
          </w:p>
          <w:p w14:paraId="1CABB61A" w14:textId="77777777" w:rsidR="00F1171E" w:rsidRPr="006A12BC" w:rsidRDefault="00F1171E" w:rsidP="007222C8">
            <w:pPr>
              <w:ind w:left="360"/>
              <w:rPr>
                <w:rFonts w:ascii="Arial" w:hAnsi="Arial" w:cs="Arial"/>
                <w:b/>
                <w:bCs/>
                <w:sz w:val="20"/>
                <w:szCs w:val="20"/>
                <w:lang w:val="en-GB"/>
              </w:rPr>
            </w:pPr>
            <w:r w:rsidRPr="006A12BC">
              <w:rPr>
                <w:rFonts w:ascii="Arial" w:hAnsi="Arial" w:cs="Arial"/>
                <w:b/>
                <w:bCs/>
                <w:sz w:val="20"/>
                <w:szCs w:val="20"/>
                <w:lang w:val="en-GB"/>
              </w:rPr>
              <w:t>(If not please suggest an alternative title)</w:t>
            </w:r>
          </w:p>
          <w:p w14:paraId="0275B919" w14:textId="77777777" w:rsidR="00F1171E" w:rsidRPr="006A12BC" w:rsidRDefault="00F1171E" w:rsidP="007222C8">
            <w:pPr>
              <w:pStyle w:val="Heading2"/>
              <w:jc w:val="left"/>
              <w:rPr>
                <w:rFonts w:ascii="Arial" w:hAnsi="Arial" w:cs="Arial"/>
                <w:u w:val="single"/>
                <w:lang w:val="en-GB"/>
              </w:rPr>
            </w:pPr>
          </w:p>
        </w:tc>
        <w:tc>
          <w:tcPr>
            <w:tcW w:w="2212" w:type="pct"/>
          </w:tcPr>
          <w:p w14:paraId="5A92A3DF" w14:textId="72CBF16B" w:rsidR="007B369B" w:rsidRPr="006A12BC" w:rsidRDefault="007B369B" w:rsidP="007B369B">
            <w:pPr>
              <w:rPr>
                <w:rFonts w:ascii="Arial" w:hAnsi="Arial" w:cs="Arial"/>
                <w:sz w:val="20"/>
                <w:szCs w:val="20"/>
              </w:rPr>
            </w:pPr>
            <w:r w:rsidRPr="006A12BC">
              <w:rPr>
                <w:rFonts w:ascii="Arial" w:hAnsi="Arial" w:cs="Arial"/>
                <w:sz w:val="20"/>
                <w:szCs w:val="20"/>
              </w:rPr>
              <w:t>It leaves two important points unclear:</w:t>
            </w:r>
          </w:p>
          <w:p w14:paraId="7F9D53A7" w14:textId="77777777" w:rsidR="007B369B" w:rsidRPr="006A12BC" w:rsidRDefault="007B369B" w:rsidP="007B369B">
            <w:pPr>
              <w:rPr>
                <w:rFonts w:ascii="Arial" w:hAnsi="Arial" w:cs="Arial"/>
                <w:b/>
                <w:bCs/>
                <w:sz w:val="20"/>
                <w:szCs w:val="20"/>
              </w:rPr>
            </w:pPr>
          </w:p>
          <w:p w14:paraId="46A57568" w14:textId="236F4B02" w:rsidR="007B369B" w:rsidRPr="006A12BC" w:rsidRDefault="007B369B" w:rsidP="007B369B">
            <w:pPr>
              <w:rPr>
                <w:rFonts w:ascii="Arial" w:hAnsi="Arial" w:cs="Arial"/>
                <w:sz w:val="20"/>
                <w:szCs w:val="20"/>
              </w:rPr>
            </w:pPr>
            <w:r w:rsidRPr="006A12BC">
              <w:rPr>
                <w:rFonts w:ascii="Arial" w:hAnsi="Arial" w:cs="Arial"/>
                <w:sz w:val="20"/>
                <w:szCs w:val="20"/>
              </w:rPr>
              <w:t>What class of functions the identities concern. The abstract makes it clear that the results connect generalized hypergeometric series to the Gamma function, yet “hypergeometric” does not appear in the title.</w:t>
            </w:r>
          </w:p>
          <w:p w14:paraId="64D77CED" w14:textId="77777777" w:rsidR="007B369B" w:rsidRPr="006A12BC" w:rsidRDefault="007B369B" w:rsidP="007B369B">
            <w:pPr>
              <w:rPr>
                <w:rFonts w:ascii="Arial" w:hAnsi="Arial" w:cs="Arial"/>
                <w:sz w:val="20"/>
                <w:szCs w:val="20"/>
              </w:rPr>
            </w:pPr>
          </w:p>
          <w:p w14:paraId="5495F6FD" w14:textId="519F3C41" w:rsidR="007B369B" w:rsidRPr="006A12BC" w:rsidRDefault="007B369B" w:rsidP="007B369B">
            <w:pPr>
              <w:rPr>
                <w:rFonts w:ascii="Arial" w:hAnsi="Arial" w:cs="Arial"/>
                <w:sz w:val="20"/>
                <w:szCs w:val="20"/>
              </w:rPr>
            </w:pPr>
            <w:r w:rsidRPr="006A12BC">
              <w:rPr>
                <w:rFonts w:ascii="Arial" w:hAnsi="Arial" w:cs="Arial"/>
                <w:sz w:val="20"/>
                <w:szCs w:val="20"/>
              </w:rPr>
              <w:t xml:space="preserve">Grammatical precision. Saying “formulae </w:t>
            </w:r>
            <w:r w:rsidRPr="006A12BC">
              <w:rPr>
                <w:rFonts w:ascii="Arial" w:hAnsi="Arial" w:cs="Arial"/>
                <w:i/>
                <w:iCs/>
                <w:sz w:val="20"/>
                <w:szCs w:val="20"/>
              </w:rPr>
              <w:t>in the form of</w:t>
            </w:r>
            <w:r w:rsidRPr="006A12BC">
              <w:rPr>
                <w:rFonts w:ascii="Arial" w:hAnsi="Arial" w:cs="Arial"/>
                <w:sz w:val="20"/>
                <w:szCs w:val="20"/>
              </w:rPr>
              <w:t xml:space="preserve"> Gamma function” is awkward; readers may wonder whether the paper rewrites the Gamma function itself or merely uses it.</w:t>
            </w:r>
          </w:p>
          <w:p w14:paraId="746EE9C6" w14:textId="77777777" w:rsidR="007B369B" w:rsidRPr="006A12BC" w:rsidRDefault="007B369B" w:rsidP="007B369B">
            <w:pPr>
              <w:rPr>
                <w:rFonts w:ascii="Arial" w:hAnsi="Arial" w:cs="Arial"/>
                <w:sz w:val="20"/>
                <w:szCs w:val="20"/>
              </w:rPr>
            </w:pPr>
          </w:p>
          <w:p w14:paraId="1D499AF7" w14:textId="19F43673" w:rsidR="007B369B" w:rsidRPr="006A12BC" w:rsidRDefault="007B369B" w:rsidP="003970E3">
            <w:pPr>
              <w:rPr>
                <w:rFonts w:ascii="Arial" w:hAnsi="Arial" w:cs="Arial"/>
                <w:sz w:val="20"/>
                <w:szCs w:val="20"/>
              </w:rPr>
            </w:pPr>
            <w:r w:rsidRPr="006A12BC">
              <w:rPr>
                <w:rFonts w:ascii="Arial" w:hAnsi="Arial" w:cs="Arial"/>
                <w:sz w:val="20"/>
                <w:szCs w:val="20"/>
              </w:rPr>
              <w:t>Suggested replacement:</w:t>
            </w:r>
            <w:r w:rsidR="003970E3" w:rsidRPr="006A12BC">
              <w:rPr>
                <w:rFonts w:ascii="Arial" w:hAnsi="Arial" w:cs="Arial"/>
                <w:sz w:val="20"/>
                <w:szCs w:val="20"/>
              </w:rPr>
              <w:t xml:space="preserve"> </w:t>
            </w:r>
            <w:r w:rsidRPr="006A12BC">
              <w:rPr>
                <w:rFonts w:ascii="Arial" w:hAnsi="Arial" w:cs="Arial"/>
                <w:sz w:val="20"/>
                <w:szCs w:val="20"/>
              </w:rPr>
              <w:t>New Addition and Summation Formulae for Generalized Hypergeometric Functions via the Gamma Function.</w:t>
            </w:r>
          </w:p>
          <w:p w14:paraId="734E35DB" w14:textId="77777777" w:rsidR="007B369B" w:rsidRPr="006A12BC" w:rsidRDefault="007B369B" w:rsidP="007B369B">
            <w:pPr>
              <w:rPr>
                <w:rFonts w:ascii="Arial" w:hAnsi="Arial" w:cs="Arial"/>
                <w:sz w:val="20"/>
                <w:szCs w:val="20"/>
              </w:rPr>
            </w:pPr>
          </w:p>
          <w:p w14:paraId="794AA9A7" w14:textId="77777777" w:rsidR="00F1171E" w:rsidRPr="006A12BC" w:rsidRDefault="00F1171E" w:rsidP="007222C8">
            <w:pPr>
              <w:ind w:left="360"/>
              <w:rPr>
                <w:rFonts w:ascii="Arial" w:hAnsi="Arial" w:cs="Arial"/>
                <w:b/>
                <w:bCs/>
                <w:sz w:val="20"/>
                <w:szCs w:val="20"/>
              </w:rPr>
            </w:pPr>
          </w:p>
        </w:tc>
        <w:tc>
          <w:tcPr>
            <w:tcW w:w="1523" w:type="pct"/>
          </w:tcPr>
          <w:p w14:paraId="405B6701" w14:textId="77777777" w:rsidR="00F1171E" w:rsidRPr="006A12BC" w:rsidRDefault="00F1171E" w:rsidP="007222C8">
            <w:pPr>
              <w:pStyle w:val="Heading2"/>
              <w:jc w:val="left"/>
              <w:rPr>
                <w:rFonts w:ascii="Arial" w:hAnsi="Arial" w:cs="Arial"/>
                <w:b w:val="0"/>
                <w:lang w:val="en-GB"/>
              </w:rPr>
            </w:pPr>
          </w:p>
        </w:tc>
      </w:tr>
      <w:tr w:rsidR="00F1171E" w:rsidRPr="006A12BC" w14:paraId="5604762A" w14:textId="77777777" w:rsidTr="007222C8">
        <w:trPr>
          <w:trHeight w:val="1262"/>
        </w:trPr>
        <w:tc>
          <w:tcPr>
            <w:tcW w:w="1265" w:type="pct"/>
            <w:noWrap/>
          </w:tcPr>
          <w:p w14:paraId="3635573D" w14:textId="77777777" w:rsidR="00F1171E" w:rsidRPr="006A12BC" w:rsidRDefault="00F1171E" w:rsidP="007222C8">
            <w:pPr>
              <w:pStyle w:val="Heading2"/>
              <w:ind w:left="360"/>
              <w:jc w:val="left"/>
              <w:rPr>
                <w:rFonts w:ascii="Arial" w:hAnsi="Arial" w:cs="Arial"/>
                <w:lang w:val="en-GB"/>
              </w:rPr>
            </w:pPr>
            <w:r w:rsidRPr="006A12BC">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6A12BC" w:rsidRDefault="00F1171E" w:rsidP="007222C8">
            <w:pPr>
              <w:pStyle w:val="Heading2"/>
              <w:jc w:val="left"/>
              <w:rPr>
                <w:rFonts w:ascii="Arial" w:hAnsi="Arial" w:cs="Arial"/>
                <w:u w:val="single"/>
                <w:lang w:val="en-GB"/>
              </w:rPr>
            </w:pPr>
          </w:p>
        </w:tc>
        <w:tc>
          <w:tcPr>
            <w:tcW w:w="2212" w:type="pct"/>
          </w:tcPr>
          <w:p w14:paraId="1FF0D52C" w14:textId="77777777" w:rsidR="00F90B08" w:rsidRPr="006A12BC" w:rsidRDefault="00F90B08" w:rsidP="00E23C54">
            <w:pPr>
              <w:rPr>
                <w:rFonts w:ascii="Arial" w:hAnsi="Arial" w:cs="Arial"/>
                <w:sz w:val="20"/>
                <w:szCs w:val="20"/>
              </w:rPr>
            </w:pPr>
            <w:r w:rsidRPr="006A12BC">
              <w:rPr>
                <w:rFonts w:ascii="Arial" w:hAnsi="Arial" w:cs="Arial"/>
                <w:sz w:val="20"/>
                <w:szCs w:val="20"/>
              </w:rPr>
              <w:t xml:space="preserve">The abstract is </w:t>
            </w:r>
            <w:r w:rsidRPr="006A12BC">
              <w:rPr>
                <w:rFonts w:ascii="Arial" w:hAnsi="Arial" w:cs="Arial"/>
                <w:i/>
                <w:iCs/>
                <w:sz w:val="20"/>
                <w:szCs w:val="20"/>
              </w:rPr>
              <w:t>not yet comprehensive</w:t>
            </w:r>
            <w:r w:rsidRPr="006A12BC">
              <w:rPr>
                <w:rFonts w:ascii="Arial" w:hAnsi="Arial" w:cs="Arial"/>
                <w:sz w:val="20"/>
                <w:szCs w:val="20"/>
              </w:rPr>
              <w:t>. It devotes most of its space to broad, rhetorical remarks about “synergy,” “conglutination,” and “geoscientific reality”, yet says almost nothing concrete about what the paper actually does, how the results are obtained, or why they matter. Only the final three lines tell the reader that the work “developed some addition formulae in association with Gamma function” and claims they are “new”.</w:t>
            </w:r>
          </w:p>
          <w:p w14:paraId="1C052C3F" w14:textId="77777777" w:rsidR="005F77CB" w:rsidRPr="006A12BC" w:rsidRDefault="005F77CB" w:rsidP="00E23C54">
            <w:pPr>
              <w:rPr>
                <w:rFonts w:ascii="Arial" w:hAnsi="Arial" w:cs="Arial"/>
                <w:sz w:val="20"/>
                <w:szCs w:val="20"/>
              </w:rPr>
            </w:pPr>
          </w:p>
          <w:p w14:paraId="0EF7BEF7" w14:textId="77777777" w:rsidR="005F77CB" w:rsidRPr="006A12BC" w:rsidRDefault="005F77CB" w:rsidP="005F77CB">
            <w:pPr>
              <w:rPr>
                <w:rFonts w:ascii="Arial" w:hAnsi="Arial" w:cs="Arial"/>
                <w:sz w:val="20"/>
                <w:szCs w:val="20"/>
              </w:rPr>
            </w:pPr>
            <w:r w:rsidRPr="006A12BC">
              <w:rPr>
                <w:rFonts w:ascii="Arial" w:hAnsi="Arial" w:cs="Arial"/>
                <w:sz w:val="20"/>
                <w:szCs w:val="20"/>
              </w:rPr>
              <w:t xml:space="preserve">Specific suggestions: </w:t>
            </w:r>
          </w:p>
          <w:p w14:paraId="4791267E" w14:textId="77777777" w:rsidR="005F77CB" w:rsidRPr="006A12BC" w:rsidRDefault="005F77CB" w:rsidP="005F77CB">
            <w:pPr>
              <w:rPr>
                <w:rFonts w:ascii="Arial" w:hAnsi="Arial" w:cs="Arial"/>
                <w:sz w:val="20"/>
                <w:szCs w:val="20"/>
              </w:rPr>
            </w:pPr>
          </w:p>
          <w:p w14:paraId="2F43E0DF" w14:textId="77777777" w:rsidR="005F77CB" w:rsidRPr="006A12BC" w:rsidRDefault="005F77CB" w:rsidP="005F77CB">
            <w:pPr>
              <w:rPr>
                <w:rFonts w:ascii="Arial" w:hAnsi="Arial" w:cs="Arial"/>
                <w:sz w:val="20"/>
                <w:szCs w:val="20"/>
              </w:rPr>
            </w:pPr>
            <w:r w:rsidRPr="006A12BC">
              <w:rPr>
                <w:rFonts w:ascii="Arial" w:hAnsi="Arial" w:cs="Arial"/>
                <w:sz w:val="20"/>
                <w:szCs w:val="20"/>
              </w:rPr>
              <w:t>One sentence stating the problem the paper tackles (e.g., the lack of closed</w:t>
            </w:r>
            <w:r w:rsidRPr="006A12BC">
              <w:rPr>
                <w:rFonts w:ascii="Arial" w:hAnsi="Arial" w:cs="Arial"/>
                <w:sz w:val="20"/>
                <w:szCs w:val="20"/>
              </w:rPr>
              <w:noBreakHyphen/>
              <w:t>form addition and summation identities for certain generalized hypergeometric functions).</w:t>
            </w:r>
          </w:p>
          <w:p w14:paraId="310CD8E3" w14:textId="77777777" w:rsidR="005F77CB" w:rsidRPr="006A12BC" w:rsidRDefault="005F77CB" w:rsidP="005F77CB">
            <w:pPr>
              <w:rPr>
                <w:rFonts w:ascii="Arial" w:hAnsi="Arial" w:cs="Arial"/>
                <w:sz w:val="20"/>
                <w:szCs w:val="20"/>
              </w:rPr>
            </w:pPr>
          </w:p>
          <w:p w14:paraId="2F56B37E" w14:textId="77777777" w:rsidR="005F77CB" w:rsidRPr="006A12BC" w:rsidRDefault="005F77CB" w:rsidP="005F77CB">
            <w:pPr>
              <w:rPr>
                <w:rFonts w:ascii="Arial" w:hAnsi="Arial" w:cs="Arial"/>
                <w:sz w:val="20"/>
                <w:szCs w:val="20"/>
              </w:rPr>
            </w:pPr>
            <w:r w:rsidRPr="006A12BC">
              <w:rPr>
                <w:rFonts w:ascii="Arial" w:hAnsi="Arial" w:cs="Arial"/>
                <w:sz w:val="20"/>
                <w:szCs w:val="20"/>
              </w:rPr>
              <w:t>1</w:t>
            </w:r>
            <w:r w:rsidRPr="006A12BC">
              <w:rPr>
                <w:rFonts w:ascii="Arial" w:hAnsi="Arial" w:cs="Arial"/>
                <w:sz w:val="20"/>
                <w:szCs w:val="20"/>
              </w:rPr>
              <w:noBreakHyphen/>
              <w:t>2 sentences that summarize the main results,</w:t>
            </w:r>
            <w:r w:rsidRPr="006A12BC">
              <w:rPr>
                <w:rFonts w:ascii="Arial" w:hAnsi="Arial" w:cs="Arial"/>
                <w:i/>
                <w:iCs/>
                <w:sz w:val="20"/>
                <w:szCs w:val="20"/>
              </w:rPr>
              <w:t xml:space="preserve"> </w:t>
            </w:r>
            <w:r w:rsidRPr="006A12BC">
              <w:rPr>
                <w:rFonts w:ascii="Arial" w:hAnsi="Arial" w:cs="Arial"/>
                <w:sz w:val="20"/>
                <w:szCs w:val="20"/>
              </w:rPr>
              <w:t>e.g., We derive X new closed</w:t>
            </w:r>
            <w:r w:rsidRPr="006A12BC">
              <w:rPr>
                <w:rFonts w:ascii="Arial" w:hAnsi="Arial" w:cs="Arial"/>
                <w:sz w:val="20"/>
                <w:szCs w:val="20"/>
              </w:rPr>
              <w:noBreakHyphen/>
              <w:t xml:space="preserve">form addition formulae and Y summation identities that express </w:t>
            </w:r>
            <w:proofErr w:type="spellStart"/>
            <w:r w:rsidRPr="006A12BC">
              <w:rPr>
                <w:rFonts w:ascii="Arial" w:hAnsi="Arial" w:cs="Arial"/>
                <w:sz w:val="20"/>
                <w:szCs w:val="20"/>
              </w:rPr>
              <w:t>pFq</w:t>
            </w:r>
            <w:proofErr w:type="spellEnd"/>
            <w:r w:rsidRPr="006A12BC">
              <w:rPr>
                <w:rFonts w:ascii="Arial" w:hAnsi="Arial" w:cs="Arial"/>
                <w:sz w:val="20"/>
                <w:szCs w:val="20"/>
              </w:rPr>
              <w:t xml:space="preserve"> series in terms of Gamma functions under conditions A, B.</w:t>
            </w:r>
          </w:p>
          <w:p w14:paraId="65FD0ED3" w14:textId="77777777" w:rsidR="005F77CB" w:rsidRPr="006A12BC" w:rsidRDefault="005F77CB" w:rsidP="005F77CB">
            <w:pPr>
              <w:rPr>
                <w:rFonts w:ascii="Arial" w:hAnsi="Arial" w:cs="Arial"/>
                <w:sz w:val="20"/>
                <w:szCs w:val="20"/>
              </w:rPr>
            </w:pPr>
          </w:p>
          <w:p w14:paraId="73E2DAD2" w14:textId="77777777" w:rsidR="005F77CB" w:rsidRPr="006A12BC" w:rsidRDefault="005F77CB" w:rsidP="005F77CB">
            <w:pPr>
              <w:rPr>
                <w:rFonts w:ascii="Arial" w:hAnsi="Arial" w:cs="Arial"/>
                <w:sz w:val="20"/>
                <w:szCs w:val="20"/>
              </w:rPr>
            </w:pPr>
            <w:r w:rsidRPr="006A12BC">
              <w:rPr>
                <w:rFonts w:ascii="Arial" w:hAnsi="Arial" w:cs="Arial"/>
                <w:sz w:val="20"/>
                <w:szCs w:val="20"/>
              </w:rPr>
              <w:t>A brief note on method</w:t>
            </w:r>
            <w:r w:rsidRPr="006A12BC">
              <w:rPr>
                <w:rFonts w:ascii="Arial" w:hAnsi="Arial" w:cs="Arial"/>
                <w:i/>
                <w:iCs/>
                <w:sz w:val="20"/>
                <w:szCs w:val="20"/>
              </w:rPr>
              <w:t>s</w:t>
            </w:r>
            <w:r w:rsidRPr="006A12BC">
              <w:rPr>
                <w:rFonts w:ascii="Arial" w:hAnsi="Arial" w:cs="Arial"/>
                <w:sz w:val="20"/>
                <w:szCs w:val="20"/>
              </w:rPr>
              <w:t xml:space="preserve"> (e.g., use of Gauss/Bailey theorems, contiguous relations).</w:t>
            </w:r>
          </w:p>
          <w:p w14:paraId="300A0DD6" w14:textId="77777777" w:rsidR="005F77CB" w:rsidRPr="006A12BC" w:rsidRDefault="005F77CB" w:rsidP="005F77CB">
            <w:pPr>
              <w:rPr>
                <w:rFonts w:ascii="Arial" w:hAnsi="Arial" w:cs="Arial"/>
                <w:sz w:val="20"/>
                <w:szCs w:val="20"/>
              </w:rPr>
            </w:pPr>
          </w:p>
          <w:p w14:paraId="0FB7E83A" w14:textId="6275830F" w:rsidR="005F77CB" w:rsidRPr="006A12BC" w:rsidRDefault="005F77CB" w:rsidP="005F77CB">
            <w:pPr>
              <w:rPr>
                <w:rFonts w:ascii="Arial" w:hAnsi="Arial" w:cs="Arial"/>
                <w:sz w:val="20"/>
                <w:szCs w:val="20"/>
              </w:rPr>
            </w:pPr>
            <w:r w:rsidRPr="006A12BC">
              <w:rPr>
                <w:rFonts w:ascii="Arial" w:hAnsi="Arial" w:cs="Arial"/>
                <w:sz w:val="20"/>
                <w:szCs w:val="20"/>
              </w:rPr>
              <w:t>Remaining sentences for grammar (“Special functions provide” rather than “procure the sufficiency to diagnosticate,” etc.).</w:t>
            </w:r>
          </w:p>
        </w:tc>
        <w:tc>
          <w:tcPr>
            <w:tcW w:w="1523" w:type="pct"/>
          </w:tcPr>
          <w:p w14:paraId="1D54B730" w14:textId="77777777" w:rsidR="00F1171E" w:rsidRPr="006A12BC" w:rsidRDefault="00F1171E" w:rsidP="007222C8">
            <w:pPr>
              <w:pStyle w:val="Heading2"/>
              <w:jc w:val="left"/>
              <w:rPr>
                <w:rFonts w:ascii="Arial" w:hAnsi="Arial" w:cs="Arial"/>
                <w:b w:val="0"/>
                <w:lang w:val="en-GB"/>
              </w:rPr>
            </w:pPr>
          </w:p>
        </w:tc>
      </w:tr>
      <w:tr w:rsidR="00F1171E" w:rsidRPr="006A12BC" w14:paraId="2F579F54" w14:textId="77777777" w:rsidTr="007222C8">
        <w:trPr>
          <w:trHeight w:val="859"/>
        </w:trPr>
        <w:tc>
          <w:tcPr>
            <w:tcW w:w="1265" w:type="pct"/>
            <w:noWrap/>
          </w:tcPr>
          <w:p w14:paraId="04361F46" w14:textId="368783AB" w:rsidR="00F1171E" w:rsidRPr="006A12BC" w:rsidRDefault="00DC6FED" w:rsidP="007222C8">
            <w:pPr>
              <w:ind w:left="360"/>
              <w:rPr>
                <w:rFonts w:ascii="Arial" w:hAnsi="Arial" w:cs="Arial"/>
                <w:b/>
                <w:bCs/>
                <w:sz w:val="20"/>
                <w:szCs w:val="20"/>
                <w:u w:val="single"/>
                <w:lang w:val="en-GB"/>
              </w:rPr>
            </w:pPr>
            <w:r w:rsidRPr="006A12BC">
              <w:rPr>
                <w:rFonts w:ascii="Arial" w:hAnsi="Arial" w:cs="Arial"/>
                <w:b/>
                <w:bCs/>
                <w:sz w:val="20"/>
                <w:szCs w:val="20"/>
                <w:lang w:val="en-GB"/>
              </w:rPr>
              <w:t xml:space="preserve">Is the manuscript scientifically, correct? Please write here. </w:t>
            </w:r>
          </w:p>
        </w:tc>
        <w:tc>
          <w:tcPr>
            <w:tcW w:w="2212" w:type="pct"/>
          </w:tcPr>
          <w:p w14:paraId="45887F06" w14:textId="25BDAB3D" w:rsidR="008A5E0E" w:rsidRPr="006A12BC" w:rsidRDefault="008A5E0E" w:rsidP="008A5E0E">
            <w:pPr>
              <w:rPr>
                <w:rFonts w:ascii="Arial" w:hAnsi="Arial" w:cs="Arial"/>
                <w:sz w:val="20"/>
                <w:szCs w:val="20"/>
              </w:rPr>
            </w:pPr>
            <w:r w:rsidRPr="006A12BC">
              <w:rPr>
                <w:rFonts w:ascii="Arial" w:hAnsi="Arial" w:cs="Arial"/>
                <w:sz w:val="20"/>
                <w:szCs w:val="20"/>
              </w:rPr>
              <w:t>The manuscript stops short of providing full derivations and independent verifications, its new addition and summation formulae cannot yet be judged scientifically correct. The foundational definitions are sound, but the burden of proof for the new results remains unmet.</w:t>
            </w:r>
          </w:p>
          <w:p w14:paraId="220E5B4F" w14:textId="77777777" w:rsidR="008A5E0E" w:rsidRPr="006A12BC" w:rsidRDefault="008A5E0E" w:rsidP="008A5E0E">
            <w:pPr>
              <w:rPr>
                <w:rFonts w:ascii="Arial" w:hAnsi="Arial" w:cs="Arial"/>
                <w:sz w:val="20"/>
                <w:szCs w:val="20"/>
              </w:rPr>
            </w:pPr>
          </w:p>
          <w:p w14:paraId="207DE32C" w14:textId="1BD984C3" w:rsidR="008A5E0E" w:rsidRPr="006A12BC" w:rsidRDefault="008A5E0E" w:rsidP="008A5E0E">
            <w:pPr>
              <w:rPr>
                <w:rFonts w:ascii="Arial" w:hAnsi="Arial" w:cs="Arial"/>
                <w:sz w:val="20"/>
                <w:szCs w:val="20"/>
              </w:rPr>
            </w:pPr>
            <w:r w:rsidRPr="006A12BC">
              <w:rPr>
                <w:rFonts w:ascii="Arial" w:hAnsi="Arial" w:cs="Arial"/>
                <w:sz w:val="20"/>
                <w:szCs w:val="20"/>
              </w:rPr>
              <w:t>Recommendations to establish correctness:</w:t>
            </w:r>
          </w:p>
          <w:p w14:paraId="53C2F274" w14:textId="77777777" w:rsidR="008A5E0E" w:rsidRPr="006A12BC" w:rsidRDefault="008A5E0E" w:rsidP="008A5E0E">
            <w:pPr>
              <w:rPr>
                <w:rFonts w:ascii="Arial" w:hAnsi="Arial" w:cs="Arial"/>
                <w:sz w:val="20"/>
                <w:szCs w:val="20"/>
              </w:rPr>
            </w:pPr>
          </w:p>
          <w:p w14:paraId="1880C83B" w14:textId="77777777" w:rsidR="008A5E0E" w:rsidRPr="006A12BC" w:rsidRDefault="008A5E0E" w:rsidP="008A5E0E">
            <w:pPr>
              <w:rPr>
                <w:rFonts w:ascii="Arial" w:hAnsi="Arial" w:cs="Arial"/>
                <w:sz w:val="20"/>
                <w:szCs w:val="20"/>
              </w:rPr>
            </w:pPr>
            <w:r w:rsidRPr="006A12BC">
              <w:rPr>
                <w:rFonts w:ascii="Arial" w:hAnsi="Arial" w:cs="Arial"/>
                <w:sz w:val="20"/>
                <w:szCs w:val="20"/>
              </w:rPr>
              <w:t>Supply step</w:t>
            </w:r>
            <w:r w:rsidRPr="006A12BC">
              <w:rPr>
                <w:rFonts w:ascii="Arial" w:hAnsi="Arial" w:cs="Arial"/>
                <w:sz w:val="20"/>
                <w:szCs w:val="20"/>
              </w:rPr>
              <w:noBreakHyphen/>
              <w:t>by</w:t>
            </w:r>
            <w:r w:rsidRPr="006A12BC">
              <w:rPr>
                <w:rFonts w:ascii="Arial" w:hAnsi="Arial" w:cs="Arial"/>
                <w:sz w:val="20"/>
                <w:szCs w:val="20"/>
              </w:rPr>
              <w:noBreakHyphen/>
              <w:t>step proofs (or an appendix) for every identity, explicitly indicating the contiguous relations or series transformations used.</w:t>
            </w:r>
          </w:p>
          <w:p w14:paraId="5478122F" w14:textId="77777777" w:rsidR="008A5E0E" w:rsidRPr="006A12BC" w:rsidRDefault="008A5E0E" w:rsidP="008A5E0E">
            <w:pPr>
              <w:rPr>
                <w:rFonts w:ascii="Arial" w:hAnsi="Arial" w:cs="Arial"/>
                <w:sz w:val="20"/>
                <w:szCs w:val="20"/>
              </w:rPr>
            </w:pPr>
          </w:p>
          <w:p w14:paraId="1F8E5095" w14:textId="3B28A6D4" w:rsidR="008A5E0E" w:rsidRPr="006A12BC" w:rsidRDefault="008A5E0E" w:rsidP="008A5E0E">
            <w:pPr>
              <w:rPr>
                <w:rFonts w:ascii="Arial" w:hAnsi="Arial" w:cs="Arial"/>
                <w:sz w:val="20"/>
                <w:szCs w:val="20"/>
              </w:rPr>
            </w:pPr>
            <w:r w:rsidRPr="006A12BC">
              <w:rPr>
                <w:rFonts w:ascii="Arial" w:hAnsi="Arial" w:cs="Arial"/>
                <w:sz w:val="20"/>
                <w:szCs w:val="20"/>
              </w:rPr>
              <w:t>Add a table of numerical evaluations for representative parameter pairs to confirm equality to at least 10</w:t>
            </w:r>
            <w:proofErr w:type="gramStart"/>
            <w:r w:rsidRPr="006A12BC">
              <w:rPr>
                <w:rFonts w:ascii="Arial" w:hAnsi="Arial" w:cs="Arial"/>
                <w:sz w:val="20"/>
                <w:szCs w:val="20"/>
              </w:rPr>
              <w:t>^{</w:t>
            </w:r>
            <w:proofErr w:type="gramEnd"/>
            <w:r w:rsidRPr="006A12BC">
              <w:rPr>
                <w:rFonts w:ascii="Arial" w:hAnsi="Arial" w:cs="Arial"/>
                <w:sz w:val="20"/>
                <w:szCs w:val="20"/>
              </w:rPr>
              <w:t>-10}.</w:t>
            </w:r>
          </w:p>
          <w:p w14:paraId="67F38EE0" w14:textId="77777777" w:rsidR="000B332F" w:rsidRPr="006A12BC" w:rsidRDefault="000B332F" w:rsidP="000B332F">
            <w:pPr>
              <w:rPr>
                <w:rFonts w:ascii="Arial" w:hAnsi="Arial" w:cs="Arial"/>
                <w:sz w:val="20"/>
                <w:szCs w:val="20"/>
              </w:rPr>
            </w:pPr>
          </w:p>
          <w:p w14:paraId="31B6331B" w14:textId="2194E3CA" w:rsidR="008A5E0E" w:rsidRPr="006A12BC" w:rsidRDefault="008A5E0E" w:rsidP="000B332F">
            <w:pPr>
              <w:rPr>
                <w:rFonts w:ascii="Arial" w:hAnsi="Arial" w:cs="Arial"/>
                <w:sz w:val="20"/>
                <w:szCs w:val="20"/>
              </w:rPr>
            </w:pPr>
            <w:r w:rsidRPr="006A12BC">
              <w:rPr>
                <w:rFonts w:ascii="Arial" w:hAnsi="Arial" w:cs="Arial"/>
                <w:sz w:val="20"/>
                <w:szCs w:val="20"/>
              </w:rPr>
              <w:t>State admissible ranges for all parameters and discuss convergence when series are involved.</w:t>
            </w:r>
          </w:p>
          <w:p w14:paraId="420E1D16" w14:textId="77777777" w:rsidR="000B332F" w:rsidRPr="006A12BC" w:rsidRDefault="000B332F" w:rsidP="000B332F">
            <w:pPr>
              <w:rPr>
                <w:rFonts w:ascii="Arial" w:hAnsi="Arial" w:cs="Arial"/>
                <w:b/>
                <w:bCs/>
                <w:sz w:val="20"/>
                <w:szCs w:val="20"/>
              </w:rPr>
            </w:pPr>
          </w:p>
          <w:p w14:paraId="35D35785" w14:textId="77777777" w:rsidR="008A5E0E" w:rsidRPr="006A12BC" w:rsidRDefault="008A5E0E" w:rsidP="000B332F">
            <w:pPr>
              <w:rPr>
                <w:rFonts w:ascii="Arial" w:hAnsi="Arial" w:cs="Arial"/>
                <w:sz w:val="20"/>
                <w:szCs w:val="20"/>
              </w:rPr>
            </w:pPr>
            <w:r w:rsidRPr="006A12BC">
              <w:rPr>
                <w:rFonts w:ascii="Arial" w:hAnsi="Arial" w:cs="Arial"/>
                <w:sz w:val="20"/>
                <w:szCs w:val="20"/>
              </w:rPr>
              <w:t>Consider computer</w:t>
            </w:r>
            <w:r w:rsidRPr="006A12BC">
              <w:rPr>
                <w:rFonts w:ascii="Arial" w:hAnsi="Arial" w:cs="Arial"/>
                <w:sz w:val="20"/>
                <w:szCs w:val="20"/>
              </w:rPr>
              <w:noBreakHyphen/>
              <w:t xml:space="preserve">algebra verification (e.g., Maple’s simplify with </w:t>
            </w:r>
            <w:proofErr w:type="spellStart"/>
            <w:r w:rsidRPr="006A12BC">
              <w:rPr>
                <w:rFonts w:ascii="Arial" w:hAnsi="Arial" w:cs="Arial"/>
                <w:sz w:val="20"/>
                <w:szCs w:val="20"/>
              </w:rPr>
              <w:t>hypergeom</w:t>
            </w:r>
            <w:proofErr w:type="spellEnd"/>
            <w:r w:rsidRPr="006A12BC">
              <w:rPr>
                <w:rFonts w:ascii="Arial" w:hAnsi="Arial" w:cs="Arial"/>
                <w:sz w:val="20"/>
                <w:szCs w:val="20"/>
              </w:rPr>
              <w:t xml:space="preserve"> routines) and cite the scripts.</w:t>
            </w:r>
          </w:p>
          <w:p w14:paraId="2B5A7721" w14:textId="77777777" w:rsidR="00F1171E" w:rsidRPr="006A12BC" w:rsidRDefault="00F1171E" w:rsidP="007222C8">
            <w:pPr>
              <w:pStyle w:val="ListParagraph"/>
              <w:ind w:left="0"/>
              <w:rPr>
                <w:rFonts w:ascii="Arial" w:hAnsi="Arial" w:cs="Arial"/>
                <w:b/>
                <w:bCs/>
                <w:sz w:val="20"/>
                <w:szCs w:val="20"/>
              </w:rPr>
            </w:pPr>
          </w:p>
        </w:tc>
        <w:tc>
          <w:tcPr>
            <w:tcW w:w="1523" w:type="pct"/>
          </w:tcPr>
          <w:p w14:paraId="4898F764" w14:textId="77777777" w:rsidR="00F1171E" w:rsidRPr="006A12BC" w:rsidRDefault="00F1171E" w:rsidP="007222C8">
            <w:pPr>
              <w:pStyle w:val="Heading2"/>
              <w:jc w:val="left"/>
              <w:rPr>
                <w:rFonts w:ascii="Arial" w:hAnsi="Arial" w:cs="Arial"/>
                <w:b w:val="0"/>
                <w:lang w:val="en-GB"/>
              </w:rPr>
            </w:pPr>
          </w:p>
        </w:tc>
      </w:tr>
      <w:tr w:rsidR="00F1171E" w:rsidRPr="006A12BC" w14:paraId="73739464" w14:textId="77777777" w:rsidTr="007222C8">
        <w:trPr>
          <w:trHeight w:val="703"/>
        </w:trPr>
        <w:tc>
          <w:tcPr>
            <w:tcW w:w="1265" w:type="pct"/>
            <w:noWrap/>
          </w:tcPr>
          <w:p w14:paraId="09C25322" w14:textId="77777777" w:rsidR="00F1171E" w:rsidRPr="006A12BC" w:rsidRDefault="00F1171E" w:rsidP="007222C8">
            <w:pPr>
              <w:ind w:left="360"/>
              <w:rPr>
                <w:rFonts w:ascii="Arial" w:hAnsi="Arial" w:cs="Arial"/>
                <w:b/>
                <w:bCs/>
                <w:sz w:val="20"/>
                <w:szCs w:val="20"/>
                <w:lang w:val="en-GB"/>
              </w:rPr>
            </w:pPr>
            <w:r w:rsidRPr="006A12B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A12BC" w:rsidRDefault="00F1171E" w:rsidP="007222C8">
            <w:pPr>
              <w:ind w:left="360"/>
              <w:rPr>
                <w:rFonts w:ascii="Arial" w:hAnsi="Arial" w:cs="Arial"/>
                <w:b/>
                <w:bCs/>
                <w:sz w:val="20"/>
                <w:szCs w:val="20"/>
                <w:u w:val="single"/>
                <w:lang w:val="en-GB"/>
              </w:rPr>
            </w:pPr>
            <w:r w:rsidRPr="006A12BC">
              <w:rPr>
                <w:rFonts w:ascii="Arial" w:hAnsi="Arial" w:cs="Arial"/>
                <w:b/>
                <w:bCs/>
                <w:sz w:val="20"/>
                <w:szCs w:val="20"/>
                <w:u w:val="single"/>
                <w:lang w:val="en-GB"/>
              </w:rPr>
              <w:t>-</w:t>
            </w:r>
          </w:p>
        </w:tc>
        <w:tc>
          <w:tcPr>
            <w:tcW w:w="2212" w:type="pct"/>
          </w:tcPr>
          <w:p w14:paraId="5814E623" w14:textId="77777777" w:rsidR="00F1171E" w:rsidRPr="006A12BC" w:rsidRDefault="000B332F" w:rsidP="000B332F">
            <w:pPr>
              <w:pStyle w:val="ListParagraph"/>
              <w:ind w:left="0"/>
              <w:rPr>
                <w:rFonts w:ascii="Arial" w:hAnsi="Arial" w:cs="Arial"/>
                <w:sz w:val="20"/>
                <w:szCs w:val="20"/>
              </w:rPr>
            </w:pPr>
            <w:r w:rsidRPr="006A12BC">
              <w:rPr>
                <w:rFonts w:ascii="Arial" w:hAnsi="Arial" w:cs="Arial"/>
                <w:sz w:val="20"/>
                <w:szCs w:val="20"/>
              </w:rPr>
              <w:t>There is no reference published after 2013, and the list omits several standard, widely used, and more recent resources on generalized hypergeometric functions and symbolic summation. Consequently, the coverage is insufficient and outdated for a 2025 submission.</w:t>
            </w:r>
          </w:p>
          <w:p w14:paraId="53BD01C1" w14:textId="77777777" w:rsidR="000B332F" w:rsidRPr="006A12BC" w:rsidRDefault="000B332F" w:rsidP="000B332F">
            <w:pPr>
              <w:pStyle w:val="ListParagraph"/>
              <w:ind w:left="0"/>
              <w:rPr>
                <w:rFonts w:ascii="Arial" w:hAnsi="Arial" w:cs="Arial"/>
                <w:sz w:val="20"/>
                <w:szCs w:val="20"/>
              </w:rPr>
            </w:pPr>
          </w:p>
          <w:p w14:paraId="31B66CA2" w14:textId="46986F79" w:rsidR="000B332F" w:rsidRPr="006A12BC" w:rsidRDefault="000B332F" w:rsidP="000B332F">
            <w:pPr>
              <w:rPr>
                <w:rFonts w:ascii="Arial" w:hAnsi="Arial" w:cs="Arial"/>
                <w:sz w:val="20"/>
                <w:szCs w:val="20"/>
              </w:rPr>
            </w:pPr>
            <w:r w:rsidRPr="006A12BC">
              <w:rPr>
                <w:rFonts w:ascii="Arial" w:hAnsi="Arial" w:cs="Arial"/>
                <w:sz w:val="20"/>
                <w:szCs w:val="20"/>
              </w:rPr>
              <w:t>Formatting and accuracy notes:</w:t>
            </w:r>
          </w:p>
          <w:p w14:paraId="56DADF15" w14:textId="77777777" w:rsidR="000B332F" w:rsidRPr="006A12BC" w:rsidRDefault="000B332F" w:rsidP="000B332F">
            <w:pPr>
              <w:rPr>
                <w:rFonts w:ascii="Arial" w:hAnsi="Arial" w:cs="Arial"/>
                <w:sz w:val="20"/>
                <w:szCs w:val="20"/>
              </w:rPr>
            </w:pPr>
          </w:p>
          <w:p w14:paraId="3E724277" w14:textId="24428F84" w:rsidR="000B332F" w:rsidRPr="006A12BC" w:rsidRDefault="000B332F" w:rsidP="000B332F">
            <w:pPr>
              <w:rPr>
                <w:rFonts w:ascii="Arial" w:hAnsi="Arial" w:cs="Arial"/>
                <w:sz w:val="20"/>
                <w:szCs w:val="20"/>
              </w:rPr>
            </w:pPr>
            <w:r w:rsidRPr="006A12BC">
              <w:rPr>
                <w:rFonts w:ascii="Arial" w:hAnsi="Arial" w:cs="Arial"/>
                <w:sz w:val="20"/>
                <w:szCs w:val="20"/>
              </w:rPr>
              <w:t>Correct spelling errors, e.g., Abramowitz (not “</w:t>
            </w:r>
            <w:proofErr w:type="spellStart"/>
            <w:r w:rsidRPr="006A12BC">
              <w:rPr>
                <w:rFonts w:ascii="Arial" w:hAnsi="Arial" w:cs="Arial"/>
                <w:sz w:val="20"/>
                <w:szCs w:val="20"/>
              </w:rPr>
              <w:t>Abraumowitz</w:t>
            </w:r>
            <w:proofErr w:type="spellEnd"/>
            <w:r w:rsidRPr="006A12BC">
              <w:rPr>
                <w:rFonts w:ascii="Arial" w:hAnsi="Arial" w:cs="Arial"/>
                <w:sz w:val="20"/>
                <w:szCs w:val="20"/>
              </w:rPr>
              <w:t>”) and “contiguous” (not “</w:t>
            </w:r>
            <w:proofErr w:type="spellStart"/>
            <w:r w:rsidRPr="006A12BC">
              <w:rPr>
                <w:rFonts w:ascii="Arial" w:hAnsi="Arial" w:cs="Arial"/>
                <w:sz w:val="20"/>
                <w:szCs w:val="20"/>
              </w:rPr>
              <w:t>contigious</w:t>
            </w:r>
            <w:proofErr w:type="spellEnd"/>
            <w:r w:rsidRPr="006A12BC">
              <w:rPr>
                <w:rFonts w:ascii="Arial" w:hAnsi="Arial" w:cs="Arial"/>
                <w:sz w:val="20"/>
                <w:szCs w:val="20"/>
              </w:rPr>
              <w:t>”).</w:t>
            </w:r>
          </w:p>
          <w:p w14:paraId="7B864D45" w14:textId="77777777" w:rsidR="000B332F" w:rsidRPr="006A12BC" w:rsidRDefault="000B332F" w:rsidP="000B332F">
            <w:pPr>
              <w:rPr>
                <w:rFonts w:ascii="Arial" w:hAnsi="Arial" w:cs="Arial"/>
                <w:sz w:val="20"/>
                <w:szCs w:val="20"/>
              </w:rPr>
            </w:pPr>
          </w:p>
          <w:p w14:paraId="406CB13D" w14:textId="77777777" w:rsidR="000B332F" w:rsidRPr="006A12BC" w:rsidRDefault="000B332F" w:rsidP="000B332F">
            <w:pPr>
              <w:rPr>
                <w:rFonts w:ascii="Arial" w:hAnsi="Arial" w:cs="Arial"/>
                <w:sz w:val="20"/>
                <w:szCs w:val="20"/>
              </w:rPr>
            </w:pPr>
            <w:r w:rsidRPr="006A12BC">
              <w:rPr>
                <w:rFonts w:ascii="Arial" w:hAnsi="Arial" w:cs="Arial"/>
                <w:sz w:val="20"/>
                <w:szCs w:val="20"/>
              </w:rPr>
              <w:t>Ensure journal titles follow a uniform style (italics or full titles).</w:t>
            </w:r>
          </w:p>
          <w:p w14:paraId="7C4F00D9" w14:textId="77777777" w:rsidR="000B332F" w:rsidRPr="006A12BC" w:rsidRDefault="000B332F" w:rsidP="000B332F">
            <w:pPr>
              <w:rPr>
                <w:rFonts w:ascii="Arial" w:hAnsi="Arial" w:cs="Arial"/>
                <w:sz w:val="20"/>
                <w:szCs w:val="20"/>
              </w:rPr>
            </w:pPr>
          </w:p>
          <w:p w14:paraId="24D83B1E" w14:textId="77777777" w:rsidR="000B332F" w:rsidRPr="006A12BC" w:rsidRDefault="000B332F" w:rsidP="000B332F">
            <w:pPr>
              <w:rPr>
                <w:rFonts w:ascii="Arial" w:hAnsi="Arial" w:cs="Arial"/>
                <w:sz w:val="20"/>
                <w:szCs w:val="20"/>
              </w:rPr>
            </w:pPr>
            <w:r w:rsidRPr="006A12BC">
              <w:rPr>
                <w:rFonts w:ascii="Arial" w:hAnsi="Arial" w:cs="Arial"/>
                <w:sz w:val="20"/>
                <w:szCs w:val="20"/>
              </w:rPr>
              <w:t>Provide complete bibliographic details (volume, issue, pages, DOI where available).</w:t>
            </w:r>
          </w:p>
          <w:p w14:paraId="26BEBA3A" w14:textId="77777777" w:rsidR="000B332F" w:rsidRPr="006A12BC" w:rsidRDefault="000B332F" w:rsidP="000B332F">
            <w:pPr>
              <w:rPr>
                <w:rFonts w:ascii="Arial" w:hAnsi="Arial" w:cs="Arial"/>
                <w:sz w:val="20"/>
                <w:szCs w:val="20"/>
              </w:rPr>
            </w:pPr>
          </w:p>
          <w:p w14:paraId="1660AC17" w14:textId="77777777" w:rsidR="000B332F" w:rsidRPr="006A12BC" w:rsidRDefault="000B332F" w:rsidP="000B332F">
            <w:pPr>
              <w:rPr>
                <w:rFonts w:ascii="Arial" w:hAnsi="Arial" w:cs="Arial"/>
                <w:sz w:val="20"/>
                <w:szCs w:val="20"/>
              </w:rPr>
            </w:pPr>
            <w:r w:rsidRPr="006A12BC">
              <w:rPr>
                <w:rFonts w:ascii="Arial" w:hAnsi="Arial" w:cs="Arial"/>
                <w:sz w:val="20"/>
                <w:szCs w:val="20"/>
              </w:rPr>
              <w:t>Verify that each cited work is actually used in the manuscript; remove any superfluous self</w:t>
            </w:r>
            <w:r w:rsidRPr="006A12BC">
              <w:rPr>
                <w:rFonts w:ascii="Arial" w:hAnsi="Arial" w:cs="Arial"/>
                <w:sz w:val="20"/>
                <w:szCs w:val="20"/>
              </w:rPr>
              <w:noBreakHyphen/>
              <w:t>citations.</w:t>
            </w:r>
          </w:p>
          <w:p w14:paraId="24FE0567" w14:textId="35FA8658" w:rsidR="000B332F" w:rsidRPr="006A12BC" w:rsidRDefault="000B332F" w:rsidP="000B332F">
            <w:pPr>
              <w:pStyle w:val="ListParagraph"/>
              <w:ind w:left="0"/>
              <w:rPr>
                <w:rFonts w:ascii="Arial" w:hAnsi="Arial" w:cs="Arial"/>
                <w:sz w:val="20"/>
                <w:szCs w:val="20"/>
              </w:rPr>
            </w:pPr>
          </w:p>
        </w:tc>
        <w:tc>
          <w:tcPr>
            <w:tcW w:w="1523" w:type="pct"/>
          </w:tcPr>
          <w:p w14:paraId="40220055" w14:textId="77777777" w:rsidR="00F1171E" w:rsidRPr="006A12BC" w:rsidRDefault="00F1171E" w:rsidP="007222C8">
            <w:pPr>
              <w:pStyle w:val="Heading2"/>
              <w:jc w:val="left"/>
              <w:rPr>
                <w:rFonts w:ascii="Arial" w:hAnsi="Arial" w:cs="Arial"/>
                <w:b w:val="0"/>
                <w:lang w:val="en-GB"/>
              </w:rPr>
            </w:pPr>
          </w:p>
        </w:tc>
      </w:tr>
      <w:tr w:rsidR="00F1171E" w:rsidRPr="006A12BC" w14:paraId="73CC4A50" w14:textId="77777777" w:rsidTr="007222C8">
        <w:trPr>
          <w:trHeight w:val="386"/>
        </w:trPr>
        <w:tc>
          <w:tcPr>
            <w:tcW w:w="1265" w:type="pct"/>
            <w:noWrap/>
          </w:tcPr>
          <w:p w14:paraId="029CE8D0" w14:textId="77777777" w:rsidR="00F1171E" w:rsidRPr="006A12BC" w:rsidRDefault="00F1171E" w:rsidP="007222C8">
            <w:pPr>
              <w:pStyle w:val="Heading2"/>
              <w:jc w:val="left"/>
              <w:rPr>
                <w:rFonts w:ascii="Arial" w:hAnsi="Arial" w:cs="Arial"/>
                <w:b w:val="0"/>
                <w:lang w:val="en-GB"/>
              </w:rPr>
            </w:pPr>
          </w:p>
          <w:p w14:paraId="589C16C7" w14:textId="77777777" w:rsidR="00F1171E" w:rsidRPr="006A12BC" w:rsidRDefault="00F1171E" w:rsidP="007222C8">
            <w:pPr>
              <w:pStyle w:val="Heading2"/>
              <w:ind w:left="360"/>
              <w:jc w:val="left"/>
              <w:rPr>
                <w:rFonts w:ascii="Arial" w:hAnsi="Arial" w:cs="Arial"/>
                <w:bCs w:val="0"/>
                <w:lang w:val="en-GB"/>
              </w:rPr>
            </w:pPr>
            <w:r w:rsidRPr="006A12BC">
              <w:rPr>
                <w:rFonts w:ascii="Arial" w:hAnsi="Arial" w:cs="Arial"/>
                <w:bCs w:val="0"/>
                <w:lang w:val="en-GB"/>
              </w:rPr>
              <w:t>Is the language/English quality of the article suitable for scholarly communications?</w:t>
            </w:r>
          </w:p>
          <w:p w14:paraId="7722B85E" w14:textId="77777777" w:rsidR="00F1171E" w:rsidRPr="006A12BC" w:rsidRDefault="00F1171E" w:rsidP="007222C8">
            <w:pPr>
              <w:rPr>
                <w:rFonts w:ascii="Arial" w:hAnsi="Arial" w:cs="Arial"/>
                <w:sz w:val="20"/>
                <w:szCs w:val="20"/>
                <w:lang w:val="en-GB"/>
              </w:rPr>
            </w:pPr>
          </w:p>
        </w:tc>
        <w:tc>
          <w:tcPr>
            <w:tcW w:w="2212" w:type="pct"/>
          </w:tcPr>
          <w:p w14:paraId="0A07EA75" w14:textId="77777777" w:rsidR="00F1171E" w:rsidRPr="006A12BC" w:rsidRDefault="00F1171E" w:rsidP="007222C8">
            <w:pPr>
              <w:rPr>
                <w:rFonts w:ascii="Arial" w:hAnsi="Arial" w:cs="Arial"/>
                <w:sz w:val="20"/>
                <w:szCs w:val="20"/>
                <w:lang w:val="en-GB"/>
              </w:rPr>
            </w:pPr>
          </w:p>
          <w:p w14:paraId="0F25E2A6" w14:textId="5A67846A" w:rsidR="000B332F" w:rsidRPr="006A12BC" w:rsidRDefault="000B332F" w:rsidP="000B332F">
            <w:pPr>
              <w:rPr>
                <w:rFonts w:ascii="Arial" w:hAnsi="Arial" w:cs="Arial"/>
                <w:b/>
                <w:bCs/>
                <w:sz w:val="20"/>
                <w:szCs w:val="20"/>
              </w:rPr>
            </w:pPr>
            <w:r w:rsidRPr="006A12BC">
              <w:rPr>
                <w:rFonts w:ascii="Arial" w:hAnsi="Arial" w:cs="Arial"/>
                <w:b/>
                <w:bCs/>
                <w:sz w:val="20"/>
                <w:szCs w:val="20"/>
              </w:rPr>
              <w:t>Recommended improvements:</w:t>
            </w:r>
          </w:p>
          <w:p w14:paraId="1ECDB9BE" w14:textId="77777777" w:rsidR="000B332F" w:rsidRPr="006A12BC" w:rsidRDefault="000B332F" w:rsidP="000B332F">
            <w:pPr>
              <w:rPr>
                <w:rFonts w:ascii="Arial" w:hAnsi="Arial" w:cs="Arial"/>
                <w:b/>
                <w:bCs/>
                <w:sz w:val="20"/>
                <w:szCs w:val="20"/>
              </w:rPr>
            </w:pPr>
          </w:p>
          <w:p w14:paraId="3B74C529" w14:textId="613D89E0" w:rsidR="000B332F" w:rsidRPr="006A12BC" w:rsidRDefault="000B332F" w:rsidP="000B332F">
            <w:pPr>
              <w:rPr>
                <w:rFonts w:ascii="Arial" w:hAnsi="Arial" w:cs="Arial"/>
                <w:sz w:val="20"/>
                <w:szCs w:val="20"/>
              </w:rPr>
            </w:pPr>
            <w:r w:rsidRPr="006A12BC">
              <w:rPr>
                <w:rFonts w:ascii="Arial" w:hAnsi="Arial" w:cs="Arial"/>
                <w:sz w:val="20"/>
                <w:szCs w:val="20"/>
              </w:rPr>
              <w:t>Rewrite the abstract in plain, precise English that states (</w:t>
            </w:r>
            <w:proofErr w:type="spellStart"/>
            <w:r w:rsidRPr="006A12BC">
              <w:rPr>
                <w:rFonts w:ascii="Arial" w:hAnsi="Arial" w:cs="Arial"/>
                <w:sz w:val="20"/>
                <w:szCs w:val="20"/>
              </w:rPr>
              <w:t>i</w:t>
            </w:r>
            <w:proofErr w:type="spellEnd"/>
            <w:r w:rsidRPr="006A12BC">
              <w:rPr>
                <w:rFonts w:ascii="Arial" w:hAnsi="Arial" w:cs="Arial"/>
                <w:sz w:val="20"/>
                <w:szCs w:val="20"/>
              </w:rPr>
              <w:t>) the problem addressed, (ii) methods used, (iii) principal results, and (iv) key applications, without rhetorical flourishes.</w:t>
            </w:r>
          </w:p>
          <w:p w14:paraId="49ACFA2C" w14:textId="77777777" w:rsidR="000B332F" w:rsidRPr="006A12BC" w:rsidRDefault="000B332F" w:rsidP="000B332F">
            <w:pPr>
              <w:rPr>
                <w:rFonts w:ascii="Arial" w:hAnsi="Arial" w:cs="Arial"/>
                <w:sz w:val="20"/>
                <w:szCs w:val="20"/>
              </w:rPr>
            </w:pPr>
          </w:p>
          <w:p w14:paraId="09BC7AFB" w14:textId="77777777" w:rsidR="000B332F" w:rsidRPr="006A12BC" w:rsidRDefault="000B332F" w:rsidP="000B332F">
            <w:pPr>
              <w:rPr>
                <w:rFonts w:ascii="Arial" w:hAnsi="Arial" w:cs="Arial"/>
                <w:sz w:val="20"/>
                <w:szCs w:val="20"/>
              </w:rPr>
            </w:pPr>
            <w:r w:rsidRPr="006A12BC">
              <w:rPr>
                <w:rFonts w:ascii="Arial" w:hAnsi="Arial" w:cs="Arial"/>
                <w:sz w:val="20"/>
                <w:szCs w:val="20"/>
              </w:rPr>
              <w:t xml:space="preserve">Correct grammar and syntax in every section. Aim for short, active sentences (“We derive six new addition formulae linking </w:t>
            </w:r>
            <w:proofErr w:type="spellStart"/>
            <w:r w:rsidRPr="006A12BC">
              <w:rPr>
                <w:rFonts w:ascii="Arial" w:hAnsi="Arial" w:cs="Arial"/>
                <w:sz w:val="20"/>
                <w:szCs w:val="20"/>
              </w:rPr>
              <w:t>pFq</w:t>
            </w:r>
            <w:proofErr w:type="spellEnd"/>
            <w:r w:rsidRPr="006A12BC">
              <w:rPr>
                <w:rFonts w:ascii="Arial" w:hAnsi="Arial" w:cs="Arial"/>
                <w:sz w:val="20"/>
                <w:szCs w:val="20"/>
              </w:rPr>
              <w:t xml:space="preserve"> series to Gamma</w:t>
            </w:r>
            <w:r w:rsidRPr="006A12BC">
              <w:rPr>
                <w:rFonts w:ascii="Arial" w:hAnsi="Arial" w:cs="Arial"/>
                <w:sz w:val="20"/>
                <w:szCs w:val="20"/>
              </w:rPr>
              <w:noBreakHyphen/>
              <w:t>function products”) rather than chained nominal phrases.</w:t>
            </w:r>
          </w:p>
          <w:p w14:paraId="68283E87" w14:textId="77777777" w:rsidR="000B332F" w:rsidRPr="006A12BC" w:rsidRDefault="000B332F" w:rsidP="000B332F">
            <w:pPr>
              <w:rPr>
                <w:rFonts w:ascii="Arial" w:hAnsi="Arial" w:cs="Arial"/>
                <w:sz w:val="20"/>
                <w:szCs w:val="20"/>
              </w:rPr>
            </w:pPr>
          </w:p>
          <w:p w14:paraId="1EC6B4CB" w14:textId="77777777" w:rsidR="000B332F" w:rsidRPr="006A12BC" w:rsidRDefault="000B332F" w:rsidP="000B332F">
            <w:pPr>
              <w:rPr>
                <w:rFonts w:ascii="Arial" w:hAnsi="Arial" w:cs="Arial"/>
                <w:sz w:val="20"/>
                <w:szCs w:val="20"/>
              </w:rPr>
            </w:pPr>
            <w:r w:rsidRPr="006A12BC">
              <w:rPr>
                <w:rFonts w:ascii="Arial" w:hAnsi="Arial" w:cs="Arial"/>
                <w:sz w:val="20"/>
                <w:szCs w:val="20"/>
              </w:rPr>
              <w:t>Standardize terminology and spelling (e.g., “contiguous relation,” “Abramowitz &amp; </w:t>
            </w:r>
            <w:proofErr w:type="spellStart"/>
            <w:r w:rsidRPr="006A12BC">
              <w:rPr>
                <w:rFonts w:ascii="Arial" w:hAnsi="Arial" w:cs="Arial"/>
                <w:sz w:val="20"/>
                <w:szCs w:val="20"/>
              </w:rPr>
              <w:t>Stegun</w:t>
            </w:r>
            <w:proofErr w:type="spellEnd"/>
            <w:r w:rsidRPr="006A12BC">
              <w:rPr>
                <w:rFonts w:ascii="Arial" w:hAnsi="Arial" w:cs="Arial"/>
                <w:sz w:val="20"/>
                <w:szCs w:val="20"/>
              </w:rPr>
              <w:t>”) and ensure all technical terms are used consistently.</w:t>
            </w:r>
          </w:p>
          <w:p w14:paraId="2277B483" w14:textId="77777777" w:rsidR="000B332F" w:rsidRPr="006A12BC" w:rsidRDefault="000B332F" w:rsidP="000B332F">
            <w:pPr>
              <w:rPr>
                <w:rFonts w:ascii="Arial" w:hAnsi="Arial" w:cs="Arial"/>
                <w:sz w:val="20"/>
                <w:szCs w:val="20"/>
              </w:rPr>
            </w:pPr>
          </w:p>
          <w:p w14:paraId="48129FC5" w14:textId="77777777" w:rsidR="000B332F" w:rsidRPr="006A12BC" w:rsidRDefault="000B332F" w:rsidP="000B332F">
            <w:pPr>
              <w:rPr>
                <w:rFonts w:ascii="Arial" w:hAnsi="Arial" w:cs="Arial"/>
                <w:sz w:val="20"/>
                <w:szCs w:val="20"/>
              </w:rPr>
            </w:pPr>
            <w:r w:rsidRPr="006A12BC">
              <w:rPr>
                <w:rFonts w:ascii="Arial" w:hAnsi="Arial" w:cs="Arial"/>
                <w:sz w:val="20"/>
                <w:szCs w:val="20"/>
              </w:rPr>
              <w:t>Apply a uniform style guide for headings, equation numbering, references, and abbreviations (e.g., IEEE, AMS, or the journal’s own template).</w:t>
            </w:r>
          </w:p>
          <w:p w14:paraId="008B78FD" w14:textId="77777777" w:rsidR="000B332F" w:rsidRPr="006A12BC" w:rsidRDefault="000B332F" w:rsidP="000B332F">
            <w:pPr>
              <w:rPr>
                <w:rFonts w:ascii="Arial" w:hAnsi="Arial" w:cs="Arial"/>
                <w:sz w:val="20"/>
                <w:szCs w:val="20"/>
              </w:rPr>
            </w:pPr>
          </w:p>
          <w:p w14:paraId="0D88221C" w14:textId="16795B82" w:rsidR="000B332F" w:rsidRPr="006A12BC" w:rsidRDefault="000B332F" w:rsidP="000B332F">
            <w:pPr>
              <w:rPr>
                <w:rFonts w:ascii="Arial" w:hAnsi="Arial" w:cs="Arial"/>
                <w:sz w:val="20"/>
                <w:szCs w:val="20"/>
              </w:rPr>
            </w:pPr>
            <w:r w:rsidRPr="006A12BC">
              <w:rPr>
                <w:rFonts w:ascii="Arial" w:hAnsi="Arial" w:cs="Arial"/>
                <w:sz w:val="20"/>
                <w:szCs w:val="20"/>
              </w:rPr>
              <w:t>Please check language and error to catch residual issues before resubmission.</w:t>
            </w:r>
          </w:p>
          <w:p w14:paraId="6CBA4B2A" w14:textId="77777777" w:rsidR="00F1171E" w:rsidRPr="006A12BC" w:rsidRDefault="00F1171E" w:rsidP="007222C8">
            <w:pPr>
              <w:rPr>
                <w:rFonts w:ascii="Arial" w:hAnsi="Arial" w:cs="Arial"/>
                <w:sz w:val="20"/>
                <w:szCs w:val="20"/>
              </w:rPr>
            </w:pPr>
          </w:p>
          <w:p w14:paraId="41E28118" w14:textId="77777777" w:rsidR="00F1171E" w:rsidRPr="006A12BC" w:rsidRDefault="00F1171E" w:rsidP="007222C8">
            <w:pPr>
              <w:rPr>
                <w:rFonts w:ascii="Arial" w:hAnsi="Arial" w:cs="Arial"/>
                <w:sz w:val="20"/>
                <w:szCs w:val="20"/>
                <w:lang w:val="en-GB"/>
              </w:rPr>
            </w:pPr>
          </w:p>
          <w:p w14:paraId="297F52DB" w14:textId="77777777" w:rsidR="00F1171E" w:rsidRPr="006A12BC" w:rsidRDefault="00F1171E" w:rsidP="007222C8">
            <w:pPr>
              <w:rPr>
                <w:rFonts w:ascii="Arial" w:hAnsi="Arial" w:cs="Arial"/>
                <w:sz w:val="20"/>
                <w:szCs w:val="20"/>
                <w:lang w:val="en-GB"/>
              </w:rPr>
            </w:pPr>
          </w:p>
          <w:p w14:paraId="149A6CEF" w14:textId="77777777" w:rsidR="00F1171E" w:rsidRPr="006A12BC" w:rsidRDefault="00F1171E" w:rsidP="007222C8">
            <w:pPr>
              <w:rPr>
                <w:rFonts w:ascii="Arial" w:hAnsi="Arial" w:cs="Arial"/>
                <w:sz w:val="20"/>
                <w:szCs w:val="20"/>
                <w:lang w:val="en-GB"/>
              </w:rPr>
            </w:pPr>
          </w:p>
        </w:tc>
        <w:tc>
          <w:tcPr>
            <w:tcW w:w="1523" w:type="pct"/>
          </w:tcPr>
          <w:p w14:paraId="0351CA58" w14:textId="77777777" w:rsidR="00F1171E" w:rsidRPr="006A12BC" w:rsidRDefault="00F1171E" w:rsidP="007222C8">
            <w:pPr>
              <w:rPr>
                <w:rFonts w:ascii="Arial" w:hAnsi="Arial" w:cs="Arial"/>
                <w:sz w:val="20"/>
                <w:szCs w:val="20"/>
                <w:lang w:val="en-GB"/>
              </w:rPr>
            </w:pPr>
          </w:p>
        </w:tc>
      </w:tr>
      <w:tr w:rsidR="00F1171E" w:rsidRPr="006A12BC" w14:paraId="20A16C0C" w14:textId="77777777" w:rsidTr="007222C8">
        <w:trPr>
          <w:trHeight w:val="1178"/>
        </w:trPr>
        <w:tc>
          <w:tcPr>
            <w:tcW w:w="1265" w:type="pct"/>
            <w:noWrap/>
          </w:tcPr>
          <w:p w14:paraId="7F4BCFAE" w14:textId="77777777" w:rsidR="00F1171E" w:rsidRPr="006A12BC" w:rsidRDefault="00F1171E" w:rsidP="007222C8">
            <w:pPr>
              <w:pStyle w:val="Heading2"/>
              <w:jc w:val="left"/>
              <w:rPr>
                <w:rFonts w:ascii="Arial" w:hAnsi="Arial" w:cs="Arial"/>
                <w:b w:val="0"/>
                <w:bCs w:val="0"/>
                <w:lang w:val="en-GB"/>
              </w:rPr>
            </w:pPr>
            <w:r w:rsidRPr="006A12BC">
              <w:rPr>
                <w:rFonts w:ascii="Arial" w:hAnsi="Arial" w:cs="Arial"/>
                <w:bCs w:val="0"/>
                <w:u w:val="single"/>
                <w:lang w:val="en-GB"/>
              </w:rPr>
              <w:t>Optional/General</w:t>
            </w:r>
            <w:r w:rsidRPr="006A12BC">
              <w:rPr>
                <w:rFonts w:ascii="Arial" w:hAnsi="Arial" w:cs="Arial"/>
                <w:bCs w:val="0"/>
                <w:lang w:val="en-GB"/>
              </w:rPr>
              <w:t xml:space="preserve"> </w:t>
            </w:r>
            <w:r w:rsidRPr="006A12BC">
              <w:rPr>
                <w:rFonts w:ascii="Arial" w:hAnsi="Arial" w:cs="Arial"/>
                <w:b w:val="0"/>
                <w:bCs w:val="0"/>
                <w:lang w:val="en-GB"/>
              </w:rPr>
              <w:t>comments</w:t>
            </w:r>
          </w:p>
          <w:p w14:paraId="1A6B3748" w14:textId="77777777" w:rsidR="00F1171E" w:rsidRPr="006A12BC" w:rsidRDefault="00F1171E" w:rsidP="007222C8">
            <w:pPr>
              <w:pStyle w:val="Heading2"/>
              <w:jc w:val="left"/>
              <w:rPr>
                <w:rFonts w:ascii="Arial" w:hAnsi="Arial" w:cs="Arial"/>
                <w:b w:val="0"/>
                <w:lang w:val="en-GB"/>
              </w:rPr>
            </w:pPr>
          </w:p>
        </w:tc>
        <w:tc>
          <w:tcPr>
            <w:tcW w:w="2212" w:type="pct"/>
          </w:tcPr>
          <w:p w14:paraId="1E347C61" w14:textId="77777777" w:rsidR="00F1171E" w:rsidRPr="006A12BC" w:rsidRDefault="00F1171E" w:rsidP="007222C8">
            <w:pPr>
              <w:rPr>
                <w:rFonts w:ascii="Arial" w:hAnsi="Arial" w:cs="Arial"/>
                <w:sz w:val="20"/>
                <w:szCs w:val="20"/>
                <w:lang w:val="en-GB"/>
              </w:rPr>
            </w:pPr>
          </w:p>
          <w:p w14:paraId="5E946A0E" w14:textId="7A6A80EF" w:rsidR="00F1171E" w:rsidRPr="006A12BC" w:rsidRDefault="000B332F" w:rsidP="000B332F">
            <w:pPr>
              <w:rPr>
                <w:rFonts w:ascii="Arial" w:hAnsi="Arial" w:cs="Arial"/>
                <w:sz w:val="20"/>
                <w:szCs w:val="20"/>
              </w:rPr>
            </w:pPr>
            <w:r w:rsidRPr="006A12BC">
              <w:rPr>
                <w:rFonts w:ascii="Arial" w:hAnsi="Arial" w:cs="Arial"/>
                <w:sz w:val="20"/>
                <w:szCs w:val="20"/>
              </w:rPr>
              <w:t>The manuscript pursues a worthwhile goal, introducing new addition and summation identities that connect generalized hypergeometric functions to Gamma</w:t>
            </w:r>
            <w:r w:rsidRPr="006A12BC">
              <w:rPr>
                <w:rFonts w:ascii="Arial" w:hAnsi="Arial" w:cs="Arial"/>
                <w:sz w:val="20"/>
                <w:szCs w:val="20"/>
              </w:rPr>
              <w:noBreakHyphen/>
              <w:t>function products, but it presently falls short because most formulae are stated without full proofs or numerical verification, the exposition omits key details on parameter domains and convergence, the reference list is dated and thin on recent scholarship, and the prose contains substantial grammatical and stylistic issues; a comprehensive revision that supplies complete derivations (or a clear proof strategy), includes spot</w:t>
            </w:r>
            <w:r w:rsidRPr="006A12BC">
              <w:rPr>
                <w:rFonts w:ascii="Arial" w:hAnsi="Arial" w:cs="Arial"/>
                <w:sz w:val="20"/>
                <w:szCs w:val="20"/>
              </w:rPr>
              <w:noBreakHyphen/>
              <w:t>check evaluations or computer</w:t>
            </w:r>
            <w:r w:rsidRPr="006A12BC">
              <w:rPr>
                <w:rFonts w:ascii="Arial" w:hAnsi="Arial" w:cs="Arial"/>
                <w:sz w:val="20"/>
                <w:szCs w:val="20"/>
              </w:rPr>
              <w:noBreakHyphen/>
              <w:t>algebra confirmations, updates and standardizes the bibliography, and polishes the language would greatly strengthen the work and render it suitable for rigorous peer review.</w:t>
            </w:r>
          </w:p>
          <w:p w14:paraId="62E14569" w14:textId="7730BF42" w:rsidR="0043119A" w:rsidRPr="006A12BC" w:rsidRDefault="0043119A" w:rsidP="000B332F">
            <w:pPr>
              <w:rPr>
                <w:rFonts w:ascii="Arial" w:hAnsi="Arial" w:cs="Arial"/>
                <w:sz w:val="20"/>
                <w:szCs w:val="20"/>
                <w:lang w:val="en-GB"/>
              </w:rPr>
            </w:pPr>
          </w:p>
          <w:p w14:paraId="6971B975" w14:textId="77777777" w:rsidR="0043119A" w:rsidRPr="006A12BC" w:rsidRDefault="0043119A" w:rsidP="0043119A">
            <w:pPr>
              <w:pStyle w:val="NormalWeb"/>
              <w:spacing w:before="0" w:beforeAutospacing="0" w:after="0" w:afterAutospacing="0"/>
              <w:rPr>
                <w:rFonts w:ascii="Arial" w:hAnsi="Arial" w:cs="Arial"/>
                <w:sz w:val="20"/>
                <w:szCs w:val="20"/>
              </w:rPr>
            </w:pPr>
            <w:r w:rsidRPr="006A12BC">
              <w:rPr>
                <w:rFonts w:ascii="Arial" w:hAnsi="Arial" w:cs="Arial"/>
                <w:b/>
                <w:bCs/>
                <w:sz w:val="20"/>
                <w:szCs w:val="20"/>
              </w:rPr>
              <w:t xml:space="preserve">     </w:t>
            </w:r>
            <w:r w:rsidRPr="006A12BC">
              <w:rPr>
                <w:rFonts w:ascii="Arial" w:hAnsi="Arial" w:cs="Arial"/>
                <w:sz w:val="20"/>
                <w:szCs w:val="20"/>
              </w:rPr>
              <w:t xml:space="preserve">Recommendation – Major revision. </w:t>
            </w:r>
          </w:p>
          <w:p w14:paraId="4AE49FF6" w14:textId="77777777" w:rsidR="0043119A" w:rsidRPr="006A12BC" w:rsidRDefault="0043119A" w:rsidP="0043119A">
            <w:pPr>
              <w:pStyle w:val="NormalWeb"/>
              <w:spacing w:before="0" w:beforeAutospacing="0" w:after="0" w:afterAutospacing="0"/>
              <w:rPr>
                <w:rFonts w:ascii="Arial" w:hAnsi="Arial" w:cs="Arial"/>
                <w:sz w:val="20"/>
                <w:szCs w:val="20"/>
              </w:rPr>
            </w:pPr>
            <w:r w:rsidRPr="006A12BC">
              <w:rPr>
                <w:rFonts w:ascii="Arial" w:hAnsi="Arial" w:cs="Arial"/>
                <w:sz w:val="20"/>
                <w:szCs w:val="20"/>
              </w:rPr>
              <w:t xml:space="preserve">     The mathematical idea is promising, but the manuscript requires:</w:t>
            </w:r>
          </w:p>
          <w:p w14:paraId="3FD96DC5" w14:textId="77777777" w:rsidR="0043119A" w:rsidRPr="006A12BC" w:rsidRDefault="0043119A" w:rsidP="0043119A">
            <w:pPr>
              <w:pStyle w:val="NormalWeb"/>
              <w:numPr>
                <w:ilvl w:val="0"/>
                <w:numId w:val="16"/>
              </w:numPr>
              <w:spacing w:before="0" w:beforeAutospacing="0" w:after="0" w:afterAutospacing="0"/>
              <w:rPr>
                <w:rFonts w:ascii="Arial" w:hAnsi="Arial" w:cs="Arial"/>
                <w:sz w:val="20"/>
                <w:szCs w:val="20"/>
              </w:rPr>
            </w:pPr>
            <w:r w:rsidRPr="006A12BC">
              <w:rPr>
                <w:rFonts w:ascii="Arial" w:hAnsi="Arial" w:cs="Arial"/>
                <w:sz w:val="20"/>
                <w:szCs w:val="20"/>
              </w:rPr>
              <w:t>complete proofs or a convincing proof outline for every new identity;</w:t>
            </w:r>
          </w:p>
          <w:p w14:paraId="1354EA66" w14:textId="77777777" w:rsidR="0043119A" w:rsidRPr="006A12BC" w:rsidRDefault="0043119A" w:rsidP="0043119A">
            <w:pPr>
              <w:pStyle w:val="NormalWeb"/>
              <w:numPr>
                <w:ilvl w:val="0"/>
                <w:numId w:val="16"/>
              </w:numPr>
              <w:spacing w:before="0" w:beforeAutospacing="0" w:after="0" w:afterAutospacing="0"/>
              <w:rPr>
                <w:rFonts w:ascii="Arial" w:hAnsi="Arial" w:cs="Arial"/>
                <w:sz w:val="20"/>
                <w:szCs w:val="20"/>
              </w:rPr>
            </w:pPr>
            <w:r w:rsidRPr="006A12BC">
              <w:rPr>
                <w:rFonts w:ascii="Arial" w:hAnsi="Arial" w:cs="Arial"/>
                <w:sz w:val="20"/>
                <w:szCs w:val="20"/>
              </w:rPr>
              <w:t>numerical or computer</w:t>
            </w:r>
            <w:r w:rsidRPr="006A12BC">
              <w:rPr>
                <w:rFonts w:ascii="Arial" w:hAnsi="Arial" w:cs="Arial"/>
                <w:sz w:val="20"/>
                <w:szCs w:val="20"/>
              </w:rPr>
              <w:noBreakHyphen/>
              <w:t>algebra checks for representative parameter choices;</w:t>
            </w:r>
          </w:p>
          <w:p w14:paraId="3BB0F7A3" w14:textId="77777777" w:rsidR="0043119A" w:rsidRPr="006A12BC" w:rsidRDefault="0043119A" w:rsidP="0043119A">
            <w:pPr>
              <w:pStyle w:val="NormalWeb"/>
              <w:numPr>
                <w:ilvl w:val="0"/>
                <w:numId w:val="16"/>
              </w:numPr>
              <w:spacing w:before="0" w:beforeAutospacing="0" w:after="0" w:afterAutospacing="0"/>
              <w:rPr>
                <w:rFonts w:ascii="Arial" w:hAnsi="Arial" w:cs="Arial"/>
                <w:sz w:val="20"/>
                <w:szCs w:val="20"/>
              </w:rPr>
            </w:pPr>
            <w:r w:rsidRPr="006A12BC">
              <w:rPr>
                <w:rFonts w:ascii="Arial" w:hAnsi="Arial" w:cs="Arial"/>
                <w:sz w:val="20"/>
                <w:szCs w:val="20"/>
              </w:rPr>
              <w:t>an updated, well</w:t>
            </w:r>
            <w:r w:rsidRPr="006A12BC">
              <w:rPr>
                <w:rFonts w:ascii="Arial" w:hAnsi="Arial" w:cs="Arial"/>
                <w:sz w:val="20"/>
                <w:szCs w:val="20"/>
              </w:rPr>
              <w:noBreakHyphen/>
              <w:t>formatted bibliography; and</w:t>
            </w:r>
          </w:p>
          <w:p w14:paraId="0F1904FB" w14:textId="77777777" w:rsidR="0043119A" w:rsidRPr="006A12BC" w:rsidRDefault="0043119A" w:rsidP="0043119A">
            <w:pPr>
              <w:pStyle w:val="NormalWeb"/>
              <w:numPr>
                <w:ilvl w:val="0"/>
                <w:numId w:val="16"/>
              </w:numPr>
              <w:spacing w:before="0" w:beforeAutospacing="0" w:after="0" w:afterAutospacing="0"/>
              <w:rPr>
                <w:rFonts w:ascii="Arial" w:hAnsi="Arial" w:cs="Arial"/>
                <w:sz w:val="20"/>
                <w:szCs w:val="20"/>
              </w:rPr>
            </w:pPr>
            <w:r w:rsidRPr="006A12BC">
              <w:rPr>
                <w:rFonts w:ascii="Arial" w:hAnsi="Arial" w:cs="Arial"/>
                <w:sz w:val="20"/>
                <w:szCs w:val="20"/>
              </w:rPr>
              <w:t>thorough language polishing.</w:t>
            </w:r>
          </w:p>
          <w:p w14:paraId="24263952" w14:textId="77777777" w:rsidR="0043119A" w:rsidRPr="006A12BC" w:rsidRDefault="0043119A" w:rsidP="000B332F">
            <w:pPr>
              <w:rPr>
                <w:rFonts w:ascii="Arial" w:hAnsi="Arial" w:cs="Arial"/>
                <w:sz w:val="20"/>
                <w:szCs w:val="20"/>
                <w:lang w:val="en-GB"/>
              </w:rPr>
            </w:pPr>
          </w:p>
          <w:p w14:paraId="7EB58C99" w14:textId="77777777" w:rsidR="00F1171E" w:rsidRPr="006A12BC" w:rsidRDefault="00F1171E" w:rsidP="007222C8">
            <w:pPr>
              <w:rPr>
                <w:rFonts w:ascii="Arial" w:hAnsi="Arial" w:cs="Arial"/>
                <w:sz w:val="20"/>
                <w:szCs w:val="20"/>
                <w:lang w:val="en-GB"/>
              </w:rPr>
            </w:pPr>
          </w:p>
          <w:p w14:paraId="15DFD0E8" w14:textId="77777777" w:rsidR="00F1171E" w:rsidRPr="006A12BC" w:rsidRDefault="00F1171E" w:rsidP="007222C8">
            <w:pPr>
              <w:rPr>
                <w:rFonts w:ascii="Arial" w:hAnsi="Arial" w:cs="Arial"/>
                <w:sz w:val="20"/>
                <w:szCs w:val="20"/>
                <w:lang w:val="en-GB"/>
              </w:rPr>
            </w:pPr>
          </w:p>
        </w:tc>
        <w:tc>
          <w:tcPr>
            <w:tcW w:w="1523" w:type="pct"/>
          </w:tcPr>
          <w:p w14:paraId="465E098E" w14:textId="77777777" w:rsidR="00F1171E" w:rsidRPr="006A12BC" w:rsidRDefault="00F1171E" w:rsidP="007222C8">
            <w:pPr>
              <w:rPr>
                <w:rFonts w:ascii="Arial" w:hAnsi="Arial" w:cs="Arial"/>
                <w:sz w:val="20"/>
                <w:szCs w:val="20"/>
                <w:lang w:val="en-GB"/>
              </w:rPr>
            </w:pPr>
          </w:p>
        </w:tc>
      </w:tr>
    </w:tbl>
    <w:p w14:paraId="6BBACB91" w14:textId="77777777" w:rsidR="00F1171E" w:rsidRPr="006A12BC" w:rsidRDefault="00F1171E" w:rsidP="00F1171E">
      <w:pPr>
        <w:pStyle w:val="BodyText"/>
        <w:rPr>
          <w:rFonts w:ascii="Arial" w:hAnsi="Arial" w:cs="Arial"/>
          <w:b/>
          <w:bCs/>
          <w:sz w:val="20"/>
          <w:szCs w:val="20"/>
          <w:u w:val="single"/>
          <w:lang w:val="en-GB"/>
        </w:rPr>
      </w:pPr>
    </w:p>
    <w:p w14:paraId="78207741" w14:textId="77777777" w:rsidR="00F1171E" w:rsidRPr="006A12BC" w:rsidRDefault="00F1171E" w:rsidP="00F1171E">
      <w:pPr>
        <w:pStyle w:val="BodyText"/>
        <w:rPr>
          <w:rFonts w:ascii="Arial" w:hAnsi="Arial" w:cs="Arial"/>
          <w:b/>
          <w:bCs/>
          <w:sz w:val="20"/>
          <w:szCs w:val="20"/>
          <w:u w:val="single"/>
          <w:lang w:val="en-GB"/>
        </w:rPr>
      </w:pPr>
    </w:p>
    <w:p w14:paraId="108BE2F1" w14:textId="77777777" w:rsidR="00F1171E" w:rsidRPr="006A12BC" w:rsidRDefault="00F1171E" w:rsidP="00F1171E">
      <w:pPr>
        <w:pStyle w:val="BodyText"/>
        <w:rPr>
          <w:rFonts w:ascii="Arial" w:hAnsi="Arial" w:cs="Arial"/>
          <w:b/>
          <w:bCs/>
          <w:sz w:val="20"/>
          <w:szCs w:val="20"/>
          <w:u w:val="single"/>
          <w:lang w:val="en-GB"/>
        </w:rPr>
      </w:pPr>
    </w:p>
    <w:p w14:paraId="618DE16F" w14:textId="77777777" w:rsidR="00F1171E" w:rsidRPr="006A12BC" w:rsidRDefault="00F1171E" w:rsidP="00F1171E">
      <w:pPr>
        <w:pStyle w:val="BodyText"/>
        <w:rPr>
          <w:rFonts w:ascii="Arial" w:hAnsi="Arial" w:cs="Arial"/>
          <w:b/>
          <w:bCs/>
          <w:sz w:val="20"/>
          <w:szCs w:val="20"/>
          <w:u w:val="single"/>
          <w:lang w:val="en-GB"/>
        </w:rPr>
      </w:pPr>
    </w:p>
    <w:p w14:paraId="1B0E4DC5" w14:textId="77777777" w:rsidR="00F1171E" w:rsidRPr="006A12BC" w:rsidRDefault="00F1171E" w:rsidP="00F1171E">
      <w:pPr>
        <w:pStyle w:val="BodyText"/>
        <w:rPr>
          <w:rFonts w:ascii="Arial" w:hAnsi="Arial" w:cs="Arial"/>
          <w:b/>
          <w:bCs/>
          <w:sz w:val="20"/>
          <w:szCs w:val="20"/>
          <w:u w:val="single"/>
          <w:lang w:val="en-GB"/>
        </w:rPr>
      </w:pPr>
    </w:p>
    <w:p w14:paraId="0ECA4E5E" w14:textId="77777777" w:rsidR="00F1171E" w:rsidRPr="006A12BC" w:rsidRDefault="00F1171E" w:rsidP="00F1171E">
      <w:pPr>
        <w:pStyle w:val="BodyText"/>
        <w:rPr>
          <w:rFonts w:ascii="Arial" w:hAnsi="Arial" w:cs="Arial"/>
          <w:b/>
          <w:bCs/>
          <w:sz w:val="20"/>
          <w:szCs w:val="20"/>
          <w:u w:val="single"/>
          <w:lang w:val="en-GB"/>
        </w:rPr>
      </w:pPr>
    </w:p>
    <w:p w14:paraId="022D30C9" w14:textId="77777777" w:rsidR="00F1171E" w:rsidRPr="006A12BC" w:rsidRDefault="00F1171E" w:rsidP="00F1171E">
      <w:pPr>
        <w:pStyle w:val="BodyText"/>
        <w:rPr>
          <w:rFonts w:ascii="Arial" w:hAnsi="Arial" w:cs="Arial"/>
          <w:b/>
          <w:bCs/>
          <w:sz w:val="20"/>
          <w:szCs w:val="20"/>
          <w:u w:val="single"/>
          <w:lang w:val="en-GB"/>
        </w:rPr>
      </w:pPr>
    </w:p>
    <w:p w14:paraId="1AB5512F" w14:textId="77777777" w:rsidR="00F1171E" w:rsidRDefault="00F1171E" w:rsidP="00F1171E">
      <w:pPr>
        <w:pStyle w:val="BodyText"/>
        <w:rPr>
          <w:rFonts w:ascii="Arial" w:hAnsi="Arial" w:cs="Arial"/>
          <w:b/>
          <w:bCs/>
          <w:sz w:val="20"/>
          <w:szCs w:val="20"/>
          <w:u w:val="single"/>
          <w:lang w:val="en-GB"/>
        </w:rPr>
      </w:pPr>
    </w:p>
    <w:p w14:paraId="391CC360" w14:textId="77777777" w:rsidR="006A12BC" w:rsidRDefault="006A12BC" w:rsidP="00F1171E">
      <w:pPr>
        <w:pStyle w:val="BodyText"/>
        <w:rPr>
          <w:rFonts w:ascii="Arial" w:hAnsi="Arial" w:cs="Arial"/>
          <w:b/>
          <w:bCs/>
          <w:sz w:val="20"/>
          <w:szCs w:val="20"/>
          <w:u w:val="single"/>
          <w:lang w:val="en-GB"/>
        </w:rPr>
      </w:pPr>
    </w:p>
    <w:p w14:paraId="10477C3B" w14:textId="77777777" w:rsidR="006A12BC" w:rsidRDefault="006A12BC" w:rsidP="00F1171E">
      <w:pPr>
        <w:pStyle w:val="BodyText"/>
        <w:rPr>
          <w:rFonts w:ascii="Arial" w:hAnsi="Arial" w:cs="Arial"/>
          <w:b/>
          <w:bCs/>
          <w:sz w:val="20"/>
          <w:szCs w:val="20"/>
          <w:u w:val="single"/>
          <w:lang w:val="en-GB"/>
        </w:rPr>
      </w:pPr>
    </w:p>
    <w:p w14:paraId="3A7B342A" w14:textId="77777777" w:rsidR="006A12BC" w:rsidRPr="006A12BC" w:rsidRDefault="006A12BC" w:rsidP="00F1171E">
      <w:pPr>
        <w:pStyle w:val="BodyText"/>
        <w:rPr>
          <w:rFonts w:ascii="Arial" w:hAnsi="Arial" w:cs="Arial"/>
          <w:b/>
          <w:bCs/>
          <w:sz w:val="20"/>
          <w:szCs w:val="20"/>
          <w:u w:val="single"/>
          <w:lang w:val="en-GB"/>
        </w:rPr>
      </w:pPr>
    </w:p>
    <w:p w14:paraId="38F83A77" w14:textId="77777777" w:rsidR="00F1171E" w:rsidRPr="006A12BC" w:rsidRDefault="00F1171E" w:rsidP="00F1171E">
      <w:pPr>
        <w:pStyle w:val="BodyText"/>
        <w:rPr>
          <w:rFonts w:ascii="Arial" w:hAnsi="Arial" w:cs="Arial"/>
          <w:b/>
          <w:bCs/>
          <w:sz w:val="20"/>
          <w:szCs w:val="20"/>
          <w:u w:val="single"/>
          <w:lang w:val="en-GB"/>
        </w:rPr>
      </w:pPr>
    </w:p>
    <w:p w14:paraId="25E7AF2A" w14:textId="77777777" w:rsidR="00F1171E" w:rsidRPr="006A12BC" w:rsidRDefault="00F1171E" w:rsidP="00F1171E">
      <w:pPr>
        <w:pStyle w:val="BodyText"/>
        <w:rPr>
          <w:rFonts w:ascii="Arial" w:hAnsi="Arial" w:cs="Arial"/>
          <w:b/>
          <w:bCs/>
          <w:sz w:val="20"/>
          <w:szCs w:val="20"/>
          <w:u w:val="single"/>
          <w:lang w:val="en-GB"/>
        </w:rPr>
      </w:pPr>
    </w:p>
    <w:p w14:paraId="4437A01F" w14:textId="77777777" w:rsidR="00F1171E" w:rsidRPr="006A12BC" w:rsidRDefault="00F1171E" w:rsidP="00F1171E">
      <w:pPr>
        <w:pStyle w:val="BodyText"/>
        <w:rPr>
          <w:rFonts w:ascii="Arial" w:hAnsi="Arial" w:cs="Arial"/>
          <w:b/>
          <w:bCs/>
          <w:sz w:val="20"/>
          <w:szCs w:val="20"/>
          <w:u w:val="single"/>
          <w:lang w:val="en-GB"/>
        </w:rPr>
      </w:pPr>
    </w:p>
    <w:p w14:paraId="25069224" w14:textId="77777777" w:rsidR="00F1171E" w:rsidRPr="006A12BC" w:rsidRDefault="00F1171E" w:rsidP="00F1171E">
      <w:pPr>
        <w:pStyle w:val="BodyText"/>
        <w:rPr>
          <w:rFonts w:ascii="Arial" w:hAnsi="Arial" w:cs="Arial"/>
          <w:b/>
          <w:bCs/>
          <w:sz w:val="20"/>
          <w:szCs w:val="20"/>
          <w:u w:val="single"/>
          <w:lang w:val="en-GB"/>
        </w:rPr>
      </w:pPr>
    </w:p>
    <w:p w14:paraId="0821307F" w14:textId="77777777" w:rsidR="00F1171E" w:rsidRPr="006A12B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A12BC"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A12BC" w:rsidRDefault="00F1171E" w:rsidP="007222C8">
            <w:pPr>
              <w:pStyle w:val="NormalWeb"/>
              <w:spacing w:before="0" w:beforeAutospacing="0" w:after="0" w:afterAutospacing="0"/>
              <w:rPr>
                <w:rFonts w:ascii="Arial" w:hAnsi="Arial" w:cs="Arial"/>
                <w:b/>
                <w:sz w:val="20"/>
                <w:szCs w:val="20"/>
                <w:u w:val="single"/>
                <w:lang w:val="en-GB"/>
              </w:rPr>
            </w:pPr>
            <w:r w:rsidRPr="006A12BC">
              <w:rPr>
                <w:rFonts w:ascii="Arial" w:hAnsi="Arial" w:cs="Arial"/>
                <w:b/>
                <w:sz w:val="20"/>
                <w:szCs w:val="20"/>
                <w:highlight w:val="yellow"/>
                <w:u w:val="single"/>
                <w:lang w:val="en-GB"/>
              </w:rPr>
              <w:lastRenderedPageBreak/>
              <w:t>PART  2:</w:t>
            </w:r>
            <w:r w:rsidRPr="006A12BC">
              <w:rPr>
                <w:rFonts w:ascii="Arial" w:hAnsi="Arial" w:cs="Arial"/>
                <w:b/>
                <w:sz w:val="20"/>
                <w:szCs w:val="20"/>
                <w:u w:val="single"/>
                <w:lang w:val="en-GB"/>
              </w:rPr>
              <w:t xml:space="preserve"> </w:t>
            </w:r>
          </w:p>
          <w:p w14:paraId="5B767407" w14:textId="77777777" w:rsidR="00F1171E" w:rsidRPr="006A12B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A12BC"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A12BC"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A12BC" w:rsidRDefault="00F1171E" w:rsidP="007222C8">
            <w:pPr>
              <w:pStyle w:val="Heading2"/>
              <w:jc w:val="left"/>
              <w:rPr>
                <w:rFonts w:ascii="Arial" w:hAnsi="Arial" w:cs="Arial"/>
                <w:lang w:val="en-GB"/>
              </w:rPr>
            </w:pPr>
            <w:r w:rsidRPr="006A12BC">
              <w:rPr>
                <w:rFonts w:ascii="Arial" w:hAnsi="Arial" w:cs="Arial"/>
                <w:lang w:val="en-GB"/>
              </w:rPr>
              <w:t>Reviewer’s comment</w:t>
            </w:r>
          </w:p>
        </w:tc>
        <w:tc>
          <w:tcPr>
            <w:tcW w:w="1342" w:type="pct"/>
          </w:tcPr>
          <w:p w14:paraId="6F48B50B" w14:textId="77777777" w:rsidR="00F1171E" w:rsidRPr="006A12BC" w:rsidRDefault="00F1171E" w:rsidP="007222C8">
            <w:pPr>
              <w:pStyle w:val="Heading2"/>
              <w:jc w:val="left"/>
              <w:rPr>
                <w:rFonts w:ascii="Arial" w:hAnsi="Arial" w:cs="Arial"/>
                <w:b w:val="0"/>
                <w:lang w:val="en-GB"/>
              </w:rPr>
            </w:pPr>
            <w:r w:rsidRPr="006A12BC">
              <w:rPr>
                <w:rFonts w:ascii="Arial" w:hAnsi="Arial" w:cs="Arial"/>
                <w:lang w:val="en-GB"/>
              </w:rPr>
              <w:t>Author’s comment</w:t>
            </w:r>
            <w:r w:rsidRPr="006A12BC">
              <w:rPr>
                <w:rFonts w:ascii="Arial" w:hAnsi="Arial" w:cs="Arial"/>
                <w:b w:val="0"/>
                <w:lang w:val="en-GB"/>
              </w:rPr>
              <w:t xml:space="preserve"> </w:t>
            </w:r>
            <w:r w:rsidRPr="006A12B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A12BC"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A12BC" w:rsidRDefault="00F1171E" w:rsidP="007222C8">
            <w:pPr>
              <w:pStyle w:val="NormalWeb"/>
              <w:spacing w:before="0" w:beforeAutospacing="0" w:after="0" w:afterAutospacing="0"/>
              <w:rPr>
                <w:rFonts w:ascii="Arial" w:hAnsi="Arial" w:cs="Arial"/>
                <w:b/>
                <w:sz w:val="20"/>
                <w:szCs w:val="20"/>
                <w:lang w:val="en-GB"/>
              </w:rPr>
            </w:pPr>
            <w:r w:rsidRPr="006A12BC">
              <w:rPr>
                <w:rFonts w:ascii="Arial" w:hAnsi="Arial" w:cs="Arial"/>
                <w:b/>
                <w:sz w:val="20"/>
                <w:szCs w:val="20"/>
                <w:lang w:val="en-GB"/>
              </w:rPr>
              <w:t xml:space="preserve">Are there ethical issues in this manuscript? </w:t>
            </w:r>
          </w:p>
          <w:p w14:paraId="6034B476" w14:textId="77777777" w:rsidR="00F1171E" w:rsidRPr="006A12BC"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A12BC" w:rsidRDefault="00F1171E" w:rsidP="007222C8">
            <w:pPr>
              <w:pStyle w:val="NormalWeb"/>
              <w:spacing w:before="0" w:beforeAutospacing="0" w:after="0" w:afterAutospacing="0"/>
              <w:rPr>
                <w:rFonts w:ascii="Arial" w:hAnsi="Arial" w:cs="Arial"/>
                <w:i/>
                <w:iCs/>
                <w:sz w:val="20"/>
                <w:szCs w:val="20"/>
                <w:u w:val="single"/>
                <w:lang w:val="en-GB"/>
              </w:rPr>
            </w:pPr>
            <w:r w:rsidRPr="006A12BC">
              <w:rPr>
                <w:rFonts w:ascii="Arial" w:hAnsi="Arial" w:cs="Arial"/>
                <w:i/>
                <w:iCs/>
                <w:sz w:val="20"/>
                <w:szCs w:val="20"/>
                <w:u w:val="single"/>
                <w:lang w:val="en-GB"/>
              </w:rPr>
              <w:t xml:space="preserve">(If yes, </w:t>
            </w:r>
            <w:proofErr w:type="gramStart"/>
            <w:r w:rsidRPr="006A12BC">
              <w:rPr>
                <w:rFonts w:ascii="Arial" w:hAnsi="Arial" w:cs="Arial"/>
                <w:i/>
                <w:iCs/>
                <w:sz w:val="20"/>
                <w:szCs w:val="20"/>
                <w:u w:val="single"/>
                <w:lang w:val="en-GB"/>
              </w:rPr>
              <w:t>Kindly</w:t>
            </w:r>
            <w:proofErr w:type="gramEnd"/>
            <w:r w:rsidRPr="006A12BC">
              <w:rPr>
                <w:rFonts w:ascii="Arial" w:hAnsi="Arial" w:cs="Arial"/>
                <w:i/>
                <w:iCs/>
                <w:sz w:val="20"/>
                <w:szCs w:val="20"/>
                <w:u w:val="single"/>
                <w:lang w:val="en-GB"/>
              </w:rPr>
              <w:t xml:space="preserve"> please write down the ethical issues here in detail)</w:t>
            </w:r>
          </w:p>
          <w:p w14:paraId="3F0D46E3" w14:textId="77777777" w:rsidR="00F1171E" w:rsidRPr="006A12BC" w:rsidRDefault="00F1171E" w:rsidP="007222C8">
            <w:pPr>
              <w:pStyle w:val="NormalWeb"/>
              <w:spacing w:before="0" w:beforeAutospacing="0" w:after="0" w:afterAutospacing="0"/>
              <w:rPr>
                <w:rFonts w:ascii="Arial" w:hAnsi="Arial" w:cs="Arial"/>
                <w:sz w:val="20"/>
                <w:szCs w:val="20"/>
                <w:lang w:val="en-GB"/>
              </w:rPr>
            </w:pPr>
          </w:p>
          <w:p w14:paraId="7B654B67" w14:textId="7F4B9240" w:rsidR="00F1171E" w:rsidRPr="006A12BC" w:rsidRDefault="00792D82" w:rsidP="007222C8">
            <w:pPr>
              <w:pStyle w:val="NormalWeb"/>
              <w:spacing w:before="0" w:beforeAutospacing="0" w:after="0" w:afterAutospacing="0"/>
              <w:rPr>
                <w:rFonts w:ascii="Arial" w:hAnsi="Arial" w:cs="Arial"/>
                <w:sz w:val="20"/>
                <w:szCs w:val="20"/>
                <w:lang w:val="en-GB"/>
              </w:rPr>
            </w:pPr>
            <w:r w:rsidRPr="006A12BC">
              <w:rPr>
                <w:rFonts w:ascii="Arial" w:hAnsi="Arial" w:cs="Arial"/>
                <w:sz w:val="20"/>
                <w:szCs w:val="20"/>
                <w:lang w:val="en-GB"/>
              </w:rPr>
              <w:t>No</w:t>
            </w:r>
          </w:p>
        </w:tc>
        <w:tc>
          <w:tcPr>
            <w:tcW w:w="1342" w:type="pct"/>
            <w:vAlign w:val="center"/>
          </w:tcPr>
          <w:p w14:paraId="780A9F8E" w14:textId="77777777" w:rsidR="00F1171E" w:rsidRPr="006A12BC" w:rsidRDefault="00F1171E" w:rsidP="007222C8">
            <w:pPr>
              <w:rPr>
                <w:rFonts w:ascii="Arial" w:eastAsia="Arial Unicode MS" w:hAnsi="Arial" w:cs="Arial"/>
                <w:sz w:val="20"/>
                <w:szCs w:val="20"/>
                <w:lang w:val="en-GB"/>
              </w:rPr>
            </w:pPr>
          </w:p>
          <w:p w14:paraId="4A981594" w14:textId="77777777" w:rsidR="00F1171E" w:rsidRPr="006A12BC" w:rsidRDefault="00F1171E" w:rsidP="007222C8">
            <w:pPr>
              <w:rPr>
                <w:rFonts w:ascii="Arial" w:eastAsia="Arial Unicode MS" w:hAnsi="Arial" w:cs="Arial"/>
                <w:sz w:val="20"/>
                <w:szCs w:val="20"/>
                <w:lang w:val="en-GB"/>
              </w:rPr>
            </w:pPr>
          </w:p>
          <w:p w14:paraId="4780A682" w14:textId="77777777" w:rsidR="00F1171E" w:rsidRPr="006A12BC" w:rsidRDefault="00F1171E" w:rsidP="007222C8">
            <w:pPr>
              <w:rPr>
                <w:rFonts w:ascii="Arial" w:eastAsia="Arial Unicode MS" w:hAnsi="Arial" w:cs="Arial"/>
                <w:sz w:val="20"/>
                <w:szCs w:val="20"/>
                <w:lang w:val="en-GB"/>
              </w:rPr>
            </w:pPr>
          </w:p>
          <w:p w14:paraId="2D80979A" w14:textId="77777777" w:rsidR="00F1171E" w:rsidRPr="006A12B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2E8424E" w14:textId="77777777" w:rsidR="006A12BC" w:rsidRPr="005753A4" w:rsidRDefault="006A12BC" w:rsidP="006A12BC">
      <w:pPr>
        <w:pStyle w:val="Affiliation"/>
        <w:spacing w:after="0" w:line="240" w:lineRule="auto"/>
        <w:jc w:val="left"/>
        <w:rPr>
          <w:rFonts w:ascii="Arial" w:hAnsi="Arial" w:cs="Arial"/>
          <w:b/>
          <w:u w:val="single"/>
        </w:rPr>
      </w:pPr>
      <w:r w:rsidRPr="005753A4">
        <w:rPr>
          <w:rFonts w:ascii="Arial" w:hAnsi="Arial" w:cs="Arial"/>
          <w:b/>
          <w:u w:val="single"/>
        </w:rPr>
        <w:t>Reviewer details:</w:t>
      </w:r>
    </w:p>
    <w:p w14:paraId="03448D9F" w14:textId="77777777" w:rsidR="006A12BC" w:rsidRPr="005753A4" w:rsidRDefault="006A12BC" w:rsidP="006A12BC">
      <w:pPr>
        <w:pStyle w:val="Affiliation"/>
        <w:spacing w:after="0" w:line="240" w:lineRule="auto"/>
        <w:jc w:val="left"/>
        <w:rPr>
          <w:rFonts w:ascii="Arial" w:hAnsi="Arial" w:cs="Arial"/>
          <w:b/>
        </w:rPr>
      </w:pPr>
      <w:r w:rsidRPr="005753A4">
        <w:rPr>
          <w:rFonts w:ascii="Arial" w:hAnsi="Arial" w:cs="Arial"/>
          <w:b/>
          <w:color w:val="000000"/>
        </w:rPr>
        <w:t xml:space="preserve">Nurul </w:t>
      </w:r>
      <w:proofErr w:type="spellStart"/>
      <w:r w:rsidRPr="005753A4">
        <w:rPr>
          <w:rFonts w:ascii="Arial" w:hAnsi="Arial" w:cs="Arial"/>
          <w:b/>
          <w:color w:val="000000"/>
        </w:rPr>
        <w:t>Raihen</w:t>
      </w:r>
      <w:proofErr w:type="spellEnd"/>
      <w:r w:rsidRPr="005753A4">
        <w:rPr>
          <w:rFonts w:ascii="Arial" w:hAnsi="Arial" w:cs="Arial"/>
          <w:b/>
          <w:color w:val="000000"/>
        </w:rPr>
        <w:t>, USA</w:t>
      </w:r>
      <w:r w:rsidRPr="005753A4">
        <w:rPr>
          <w:rFonts w:ascii="Arial" w:hAnsi="Arial" w:cs="Arial"/>
          <w:b/>
          <w:color w:val="000000"/>
        </w:rPr>
        <w:tab/>
      </w:r>
    </w:p>
    <w:p w14:paraId="765AA1F7" w14:textId="77777777" w:rsidR="006A12BC" w:rsidRPr="006A12BC" w:rsidRDefault="006A12BC">
      <w:pPr>
        <w:rPr>
          <w:rFonts w:ascii="Arial" w:hAnsi="Arial" w:cs="Arial"/>
          <w:b/>
          <w:sz w:val="20"/>
          <w:szCs w:val="20"/>
        </w:rPr>
      </w:pPr>
    </w:p>
    <w:sectPr w:rsidR="006A12BC" w:rsidRPr="006A12B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2462" w14:textId="77777777" w:rsidR="00B03180" w:rsidRPr="0000007A" w:rsidRDefault="00B03180" w:rsidP="0099583E">
      <w:r>
        <w:separator/>
      </w:r>
    </w:p>
  </w:endnote>
  <w:endnote w:type="continuationSeparator" w:id="0">
    <w:p w14:paraId="6D40F950" w14:textId="77777777" w:rsidR="00B03180" w:rsidRPr="0000007A" w:rsidRDefault="00B0318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95FA" w14:textId="77777777" w:rsidR="00B03180" w:rsidRPr="0000007A" w:rsidRDefault="00B03180" w:rsidP="0099583E">
      <w:r>
        <w:separator/>
      </w:r>
    </w:p>
  </w:footnote>
  <w:footnote w:type="continuationSeparator" w:id="0">
    <w:p w14:paraId="5E83C111" w14:textId="77777777" w:rsidR="00B03180" w:rsidRPr="0000007A" w:rsidRDefault="00B0318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9E3299"/>
    <w:multiLevelType w:val="multilevel"/>
    <w:tmpl w:val="9332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5B4658"/>
    <w:multiLevelType w:val="multilevel"/>
    <w:tmpl w:val="BCA8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96A9C"/>
    <w:multiLevelType w:val="multilevel"/>
    <w:tmpl w:val="CB308046"/>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C68C6"/>
    <w:multiLevelType w:val="hybridMultilevel"/>
    <w:tmpl w:val="8846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432033"/>
    <w:multiLevelType w:val="multilevel"/>
    <w:tmpl w:val="0054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706A22"/>
    <w:multiLevelType w:val="multilevel"/>
    <w:tmpl w:val="E3B0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918385">
    <w:abstractNumId w:val="4"/>
  </w:num>
  <w:num w:numId="2" w16cid:durableId="758676078">
    <w:abstractNumId w:val="9"/>
  </w:num>
  <w:num w:numId="3" w16cid:durableId="233589431">
    <w:abstractNumId w:val="8"/>
  </w:num>
  <w:num w:numId="4" w16cid:durableId="2092392216">
    <w:abstractNumId w:val="10"/>
  </w:num>
  <w:num w:numId="5" w16cid:durableId="331416043">
    <w:abstractNumId w:val="5"/>
  </w:num>
  <w:num w:numId="6" w16cid:durableId="50426433">
    <w:abstractNumId w:val="0"/>
  </w:num>
  <w:num w:numId="7" w16cid:durableId="633369492">
    <w:abstractNumId w:val="1"/>
  </w:num>
  <w:num w:numId="8" w16cid:durableId="1272779039">
    <w:abstractNumId w:val="13"/>
  </w:num>
  <w:num w:numId="9" w16cid:durableId="305857690">
    <w:abstractNumId w:val="12"/>
  </w:num>
  <w:num w:numId="10" w16cid:durableId="138572850">
    <w:abstractNumId w:val="3"/>
  </w:num>
  <w:num w:numId="11" w16cid:durableId="1973753176">
    <w:abstractNumId w:val="2"/>
  </w:num>
  <w:num w:numId="12" w16cid:durableId="1672296863">
    <w:abstractNumId w:val="11"/>
  </w:num>
  <w:num w:numId="13" w16cid:durableId="1156458128">
    <w:abstractNumId w:val="6"/>
  </w:num>
  <w:num w:numId="14" w16cid:durableId="1818952673">
    <w:abstractNumId w:val="15"/>
  </w:num>
  <w:num w:numId="15" w16cid:durableId="1013385270">
    <w:abstractNumId w:val="14"/>
  </w:num>
  <w:num w:numId="16" w16cid:durableId="1593198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332F"/>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43A4"/>
    <w:rsid w:val="002B0E4B"/>
    <w:rsid w:val="002C40B8"/>
    <w:rsid w:val="002D60EF"/>
    <w:rsid w:val="002E10DF"/>
    <w:rsid w:val="002E1211"/>
    <w:rsid w:val="002E2339"/>
    <w:rsid w:val="002E5C81"/>
    <w:rsid w:val="002E6D86"/>
    <w:rsid w:val="002E7787"/>
    <w:rsid w:val="002F0C96"/>
    <w:rsid w:val="002F6935"/>
    <w:rsid w:val="00312559"/>
    <w:rsid w:val="003204B8"/>
    <w:rsid w:val="00326D7D"/>
    <w:rsid w:val="0033018A"/>
    <w:rsid w:val="0033692F"/>
    <w:rsid w:val="00353718"/>
    <w:rsid w:val="00374F93"/>
    <w:rsid w:val="00377F1D"/>
    <w:rsid w:val="00394901"/>
    <w:rsid w:val="003970E3"/>
    <w:rsid w:val="003A04E7"/>
    <w:rsid w:val="003A1C45"/>
    <w:rsid w:val="003A4991"/>
    <w:rsid w:val="003A6E1A"/>
    <w:rsid w:val="003B1D0B"/>
    <w:rsid w:val="003B2172"/>
    <w:rsid w:val="003D1BDE"/>
    <w:rsid w:val="003E746A"/>
    <w:rsid w:val="00401C12"/>
    <w:rsid w:val="00421DBF"/>
    <w:rsid w:val="0042465A"/>
    <w:rsid w:val="004253F4"/>
    <w:rsid w:val="0043119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3AE4"/>
    <w:rsid w:val="00565D90"/>
    <w:rsid w:val="00567DE0"/>
    <w:rsid w:val="005735A5"/>
    <w:rsid w:val="005757CF"/>
    <w:rsid w:val="00581FF9"/>
    <w:rsid w:val="00587213"/>
    <w:rsid w:val="005A4F17"/>
    <w:rsid w:val="005B3509"/>
    <w:rsid w:val="005C25A0"/>
    <w:rsid w:val="005D230D"/>
    <w:rsid w:val="005E11DC"/>
    <w:rsid w:val="005E29CE"/>
    <w:rsid w:val="005E3241"/>
    <w:rsid w:val="005E7FB0"/>
    <w:rsid w:val="005F184C"/>
    <w:rsid w:val="005F77CB"/>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12BC"/>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19A"/>
    <w:rsid w:val="00751520"/>
    <w:rsid w:val="007629B2"/>
    <w:rsid w:val="00766889"/>
    <w:rsid w:val="00766A0D"/>
    <w:rsid w:val="00767F8C"/>
    <w:rsid w:val="00780B67"/>
    <w:rsid w:val="00781D07"/>
    <w:rsid w:val="00792D82"/>
    <w:rsid w:val="007A62F8"/>
    <w:rsid w:val="007B1099"/>
    <w:rsid w:val="007B369B"/>
    <w:rsid w:val="007B54A4"/>
    <w:rsid w:val="007C6CDF"/>
    <w:rsid w:val="007D0246"/>
    <w:rsid w:val="007F2F1F"/>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E0E"/>
    <w:rsid w:val="008B265C"/>
    <w:rsid w:val="008C2F62"/>
    <w:rsid w:val="008C4B1F"/>
    <w:rsid w:val="008C563B"/>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8DE"/>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B7A86"/>
    <w:rsid w:val="00AC1349"/>
    <w:rsid w:val="00AC6ED4"/>
    <w:rsid w:val="00AD6C51"/>
    <w:rsid w:val="00AE0E9B"/>
    <w:rsid w:val="00AE54CD"/>
    <w:rsid w:val="00AF3016"/>
    <w:rsid w:val="00B03180"/>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4014"/>
    <w:rsid w:val="00CD5091"/>
    <w:rsid w:val="00CD5DFD"/>
    <w:rsid w:val="00CD7C84"/>
    <w:rsid w:val="00CE199A"/>
    <w:rsid w:val="00CE5AC7"/>
    <w:rsid w:val="00CF0BBB"/>
    <w:rsid w:val="00CF0D07"/>
    <w:rsid w:val="00CF7035"/>
    <w:rsid w:val="00D1283A"/>
    <w:rsid w:val="00D12970"/>
    <w:rsid w:val="00D16477"/>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6A51"/>
    <w:rsid w:val="00DE7D30"/>
    <w:rsid w:val="00DF04E3"/>
    <w:rsid w:val="00E03C32"/>
    <w:rsid w:val="00E23C54"/>
    <w:rsid w:val="00E25A39"/>
    <w:rsid w:val="00E3111A"/>
    <w:rsid w:val="00E451EA"/>
    <w:rsid w:val="00E57F4B"/>
    <w:rsid w:val="00E63889"/>
    <w:rsid w:val="00E63A98"/>
    <w:rsid w:val="00E645E9"/>
    <w:rsid w:val="00E65596"/>
    <w:rsid w:val="00E66385"/>
    <w:rsid w:val="00E71C8D"/>
    <w:rsid w:val="00E72360"/>
    <w:rsid w:val="00E72A8E"/>
    <w:rsid w:val="00E90FB1"/>
    <w:rsid w:val="00E9533D"/>
    <w:rsid w:val="00E972A7"/>
    <w:rsid w:val="00EA2839"/>
    <w:rsid w:val="00EB3E91"/>
    <w:rsid w:val="00EB6E15"/>
    <w:rsid w:val="00EC6894"/>
    <w:rsid w:val="00ED6B12"/>
    <w:rsid w:val="00ED7400"/>
    <w:rsid w:val="00EF326D"/>
    <w:rsid w:val="00EF53FE"/>
    <w:rsid w:val="00F1171E"/>
    <w:rsid w:val="00F1282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0B08"/>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B369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7B369B"/>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6A12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3312">
      <w:bodyDiv w:val="1"/>
      <w:marLeft w:val="0"/>
      <w:marRight w:val="0"/>
      <w:marTop w:val="0"/>
      <w:marBottom w:val="0"/>
      <w:divBdr>
        <w:top w:val="none" w:sz="0" w:space="0" w:color="auto"/>
        <w:left w:val="none" w:sz="0" w:space="0" w:color="auto"/>
        <w:bottom w:val="none" w:sz="0" w:space="0" w:color="auto"/>
        <w:right w:val="none" w:sz="0" w:space="0" w:color="auto"/>
      </w:divBdr>
    </w:div>
    <w:div w:id="263659812">
      <w:bodyDiv w:val="1"/>
      <w:marLeft w:val="0"/>
      <w:marRight w:val="0"/>
      <w:marTop w:val="0"/>
      <w:marBottom w:val="0"/>
      <w:divBdr>
        <w:top w:val="none" w:sz="0" w:space="0" w:color="auto"/>
        <w:left w:val="none" w:sz="0" w:space="0" w:color="auto"/>
        <w:bottom w:val="none" w:sz="0" w:space="0" w:color="auto"/>
        <w:right w:val="none" w:sz="0" w:space="0" w:color="auto"/>
      </w:divBdr>
    </w:div>
    <w:div w:id="49835493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4136639">
      <w:bodyDiv w:val="1"/>
      <w:marLeft w:val="0"/>
      <w:marRight w:val="0"/>
      <w:marTop w:val="0"/>
      <w:marBottom w:val="0"/>
      <w:divBdr>
        <w:top w:val="none" w:sz="0" w:space="0" w:color="auto"/>
        <w:left w:val="none" w:sz="0" w:space="0" w:color="auto"/>
        <w:bottom w:val="none" w:sz="0" w:space="0" w:color="auto"/>
        <w:right w:val="none" w:sz="0" w:space="0" w:color="auto"/>
      </w:divBdr>
      <w:divsChild>
        <w:div w:id="164065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2449941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4602252">
      <w:bodyDiv w:val="1"/>
      <w:marLeft w:val="0"/>
      <w:marRight w:val="0"/>
      <w:marTop w:val="0"/>
      <w:marBottom w:val="0"/>
      <w:divBdr>
        <w:top w:val="none" w:sz="0" w:space="0" w:color="auto"/>
        <w:left w:val="none" w:sz="0" w:space="0" w:color="auto"/>
        <w:bottom w:val="none" w:sz="0" w:space="0" w:color="auto"/>
        <w:right w:val="none" w:sz="0" w:space="0" w:color="auto"/>
      </w:divBdr>
    </w:div>
    <w:div w:id="1585410730">
      <w:bodyDiv w:val="1"/>
      <w:marLeft w:val="0"/>
      <w:marRight w:val="0"/>
      <w:marTop w:val="0"/>
      <w:marBottom w:val="0"/>
      <w:divBdr>
        <w:top w:val="none" w:sz="0" w:space="0" w:color="auto"/>
        <w:left w:val="none" w:sz="0" w:space="0" w:color="auto"/>
        <w:bottom w:val="none" w:sz="0" w:space="0" w:color="auto"/>
        <w:right w:val="none" w:sz="0" w:space="0" w:color="auto"/>
      </w:divBdr>
      <w:divsChild>
        <w:div w:id="634798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461172">
      <w:bodyDiv w:val="1"/>
      <w:marLeft w:val="0"/>
      <w:marRight w:val="0"/>
      <w:marTop w:val="0"/>
      <w:marBottom w:val="0"/>
      <w:divBdr>
        <w:top w:val="none" w:sz="0" w:space="0" w:color="auto"/>
        <w:left w:val="none" w:sz="0" w:space="0" w:color="auto"/>
        <w:bottom w:val="none" w:sz="0" w:space="0" w:color="auto"/>
        <w:right w:val="none" w:sz="0" w:space="0" w:color="auto"/>
      </w:divBdr>
    </w:div>
    <w:div w:id="1616012750">
      <w:bodyDiv w:val="1"/>
      <w:marLeft w:val="0"/>
      <w:marRight w:val="0"/>
      <w:marTop w:val="0"/>
      <w:marBottom w:val="0"/>
      <w:divBdr>
        <w:top w:val="none" w:sz="0" w:space="0" w:color="auto"/>
        <w:left w:val="none" w:sz="0" w:space="0" w:color="auto"/>
        <w:bottom w:val="none" w:sz="0" w:space="0" w:color="auto"/>
        <w:right w:val="none" w:sz="0" w:space="0" w:color="auto"/>
      </w:divBdr>
    </w:div>
    <w:div w:id="1626811341">
      <w:bodyDiv w:val="1"/>
      <w:marLeft w:val="0"/>
      <w:marRight w:val="0"/>
      <w:marTop w:val="0"/>
      <w:marBottom w:val="0"/>
      <w:divBdr>
        <w:top w:val="none" w:sz="0" w:space="0" w:color="auto"/>
        <w:left w:val="none" w:sz="0" w:space="0" w:color="auto"/>
        <w:bottom w:val="none" w:sz="0" w:space="0" w:color="auto"/>
        <w:right w:val="none" w:sz="0" w:space="0" w:color="auto"/>
      </w:divBdr>
    </w:div>
    <w:div w:id="1627003803">
      <w:bodyDiv w:val="1"/>
      <w:marLeft w:val="0"/>
      <w:marRight w:val="0"/>
      <w:marTop w:val="0"/>
      <w:marBottom w:val="0"/>
      <w:divBdr>
        <w:top w:val="none" w:sz="0" w:space="0" w:color="auto"/>
        <w:left w:val="none" w:sz="0" w:space="0" w:color="auto"/>
        <w:bottom w:val="none" w:sz="0" w:space="0" w:color="auto"/>
        <w:right w:val="none" w:sz="0" w:space="0" w:color="auto"/>
      </w:divBdr>
      <w:divsChild>
        <w:div w:id="1780681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6409680">
      <w:bodyDiv w:val="1"/>
      <w:marLeft w:val="0"/>
      <w:marRight w:val="0"/>
      <w:marTop w:val="0"/>
      <w:marBottom w:val="0"/>
      <w:divBdr>
        <w:top w:val="none" w:sz="0" w:space="0" w:color="auto"/>
        <w:left w:val="none" w:sz="0" w:space="0" w:color="auto"/>
        <w:bottom w:val="none" w:sz="0" w:space="0" w:color="auto"/>
        <w:right w:val="none" w:sz="0" w:space="0" w:color="auto"/>
      </w:divBdr>
    </w:div>
    <w:div w:id="1895581518">
      <w:bodyDiv w:val="1"/>
      <w:marLeft w:val="0"/>
      <w:marRight w:val="0"/>
      <w:marTop w:val="0"/>
      <w:marBottom w:val="0"/>
      <w:divBdr>
        <w:top w:val="none" w:sz="0" w:space="0" w:color="auto"/>
        <w:left w:val="none" w:sz="0" w:space="0" w:color="auto"/>
        <w:bottom w:val="none" w:sz="0" w:space="0" w:color="auto"/>
        <w:right w:val="none" w:sz="0" w:space="0" w:color="auto"/>
      </w:divBdr>
    </w:div>
    <w:div w:id="2085907210">
      <w:bodyDiv w:val="1"/>
      <w:marLeft w:val="0"/>
      <w:marRight w:val="0"/>
      <w:marTop w:val="0"/>
      <w:marBottom w:val="0"/>
      <w:divBdr>
        <w:top w:val="none" w:sz="0" w:space="0" w:color="auto"/>
        <w:left w:val="none" w:sz="0" w:space="0" w:color="auto"/>
        <w:bottom w:val="none" w:sz="0" w:space="0" w:color="auto"/>
        <w:right w:val="none" w:sz="0" w:space="0" w:color="auto"/>
      </w:divBdr>
      <w:divsChild>
        <w:div w:id="1818260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