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29547D7D" w:rsidR="0000007A" w:rsidRPr="00DE7D30" w:rsidRDefault="00E02D2B" w:rsidP="00054BC4">
            <w:pPr>
              <w:pStyle w:val="NormalWeb"/>
              <w:rPr>
                <w:rFonts w:ascii="Arial" w:hAnsi="Arial" w:cs="Arial"/>
                <w:b/>
                <w:bCs/>
                <w:szCs w:val="28"/>
                <w:u w:val="single"/>
              </w:rPr>
            </w:pPr>
            <w:r w:rsidRPr="00E02D2B">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D0B1B1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2A7718">
              <w:rPr>
                <w:rFonts w:ascii="Arial" w:hAnsi="Arial" w:cs="Arial"/>
                <w:b/>
                <w:bCs/>
                <w:szCs w:val="28"/>
                <w:lang w:val="en-GB"/>
              </w:rPr>
              <w:t>3842.2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B0F636D" w:rsidR="0000007A" w:rsidRPr="00DE7D30" w:rsidRDefault="00257932" w:rsidP="000450FC">
            <w:pPr>
              <w:pStyle w:val="NormalWeb"/>
              <w:spacing w:before="0" w:beforeAutospacing="0" w:after="0" w:afterAutospacing="0"/>
              <w:rPr>
                <w:rFonts w:ascii="Arial" w:hAnsi="Arial" w:cs="Arial"/>
                <w:b/>
                <w:szCs w:val="28"/>
                <w:highlight w:val="yellow"/>
                <w:lang w:val="en-GB"/>
              </w:rPr>
            </w:pPr>
            <w:r w:rsidRPr="00257932">
              <w:rPr>
                <w:rFonts w:ascii="Arial" w:hAnsi="Arial" w:cs="Arial"/>
                <w:b/>
                <w:szCs w:val="28"/>
                <w:lang w:val="en-GB"/>
              </w:rPr>
              <w:t>Introductory Essentials to Finite Fields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887231B" w:rsidR="00CF0BBB" w:rsidRPr="00DE7D30" w:rsidRDefault="002A771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1417D8"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67405704" w:rsidR="00F1171E" w:rsidRPr="00900E9B" w:rsidRDefault="002275F0" w:rsidP="007222C8">
            <w:pPr>
              <w:pStyle w:val="ListParagraph"/>
              <w:ind w:left="0"/>
              <w:rPr>
                <w:b/>
                <w:bCs/>
                <w:sz w:val="20"/>
                <w:szCs w:val="20"/>
                <w:lang w:val="en-GB"/>
              </w:rPr>
            </w:pPr>
            <w:r>
              <w:t>This manuscript provides a foundational exploration of finite fields, their extensions, and applications. The structured approach to key definitions and examples aids in developing a comprehensive understanding of finite fields, crucial for mathematical research, cryptography, and theoretical computer science. The exercises and proofs further enhance its utility as a learning and reference tool.</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3EBB0E73" w:rsidR="00F1171E" w:rsidRPr="00900E9B" w:rsidRDefault="002275F0" w:rsidP="002275F0">
            <w:pPr>
              <w:rPr>
                <w:b/>
                <w:bCs/>
                <w:sz w:val="20"/>
                <w:szCs w:val="20"/>
                <w:lang w:val="en-GB"/>
              </w:rPr>
            </w:pPr>
            <w:r>
              <w:t>The title is suitable as it accurately reflects the content. However, consider specifying "finite field extensions and their properties" to emphasize the manuscript's focus.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B9741B2" w:rsidR="00F1171E" w:rsidRPr="00900E9B" w:rsidRDefault="002275F0" w:rsidP="002275F0">
            <w:pPr>
              <w:rPr>
                <w:b/>
                <w:bCs/>
                <w:sz w:val="20"/>
                <w:szCs w:val="20"/>
                <w:lang w:val="en-GB"/>
              </w:rPr>
            </w:pPr>
            <w:r>
              <w:t>The manuscript does not include a formal abstract. Adding one summarizing the key topics (finite fields, field extensions, and splitting fields) would improve clarity and accessibility.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6D668DE8" w:rsidR="00F1171E" w:rsidRPr="00900E9B" w:rsidRDefault="002275F0" w:rsidP="007222C8">
            <w:pPr>
              <w:pStyle w:val="ListParagraph"/>
              <w:ind w:left="0"/>
              <w:rPr>
                <w:b/>
                <w:bCs/>
                <w:sz w:val="20"/>
                <w:szCs w:val="20"/>
                <w:lang w:val="en-GB"/>
              </w:rPr>
            </w:pPr>
            <w:r>
              <w:t>The structure and subsections are logical and appropriate. Sections are systematically laid out with definitions, examples, lemmas, and proofs followed by exercises. This aids both theoretical understanding and practical application.</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lastRenderedPageBreak/>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28EAC963" w:rsidR="00F1171E" w:rsidRPr="00900E9B" w:rsidRDefault="002275F0" w:rsidP="007222C8">
            <w:pPr>
              <w:pStyle w:val="ListParagraph"/>
              <w:ind w:left="0"/>
              <w:rPr>
                <w:b/>
                <w:bCs/>
                <w:sz w:val="20"/>
                <w:szCs w:val="20"/>
                <w:lang w:val="en-GB"/>
              </w:rPr>
            </w:pPr>
            <w:r>
              <w:t xml:space="preserve">The manuscript is scientifically robust. The provided proofs, particularly for extension fields and the </w:t>
            </w:r>
            <w:proofErr w:type="spellStart"/>
            <w:r>
              <w:t>Wedderburn</w:t>
            </w:r>
            <w:proofErr w:type="spellEnd"/>
            <w:r>
              <w:t xml:space="preserve"> theorem, demonstrate technical soundness. The exercises complement the theoretical content and ensure comprehension.</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7EFC02A2" w14:textId="52D34629" w:rsidR="00F1171E" w:rsidRPr="00844D84" w:rsidRDefault="00F1171E" w:rsidP="00844D84">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29C17A9" w14:textId="77777777" w:rsidR="002275F0" w:rsidRPr="002275F0" w:rsidRDefault="002275F0" w:rsidP="002275F0">
            <w:pPr>
              <w:spacing w:before="100" w:beforeAutospacing="1" w:after="100" w:afterAutospacing="1"/>
            </w:pPr>
            <w:r w:rsidRPr="002275F0">
              <w:t>The references seem adequate, but there is room for updating with more recent works in applied areas like cryptography and blockchain, which extensively use finite fields.</w:t>
            </w:r>
          </w:p>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5C4BD367" w:rsidR="00F1171E" w:rsidRPr="00900E9B" w:rsidRDefault="002275F0" w:rsidP="007222C8">
            <w:pPr>
              <w:rPr>
                <w:sz w:val="20"/>
                <w:szCs w:val="20"/>
                <w:lang w:val="en-GB"/>
              </w:rPr>
            </w:pPr>
            <w:r>
              <w:t>The manuscript's language is comprehensible but could benefit from further refinement. Sentences like "We deduce that" and "This is to say" are sometimes overly repetitive. Ensure consistent formatting for equations and definitions.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2CD79B8F" w14:textId="1428DBA4" w:rsidR="002275F0" w:rsidRPr="002275F0" w:rsidRDefault="002275F0" w:rsidP="002275F0">
            <w:pPr>
              <w:spacing w:before="100" w:beforeAutospacing="1" w:after="100" w:afterAutospacing="1"/>
            </w:pPr>
            <w:r w:rsidRPr="002275F0">
              <w:t>The manuscript's blend of theory and exercises makes it a valuable educational resource. The focus on the algebraic structure of finite fields is well-detailed. Adding practical applications (e.g., cryptography) in an appendix might increase appeal to a broader audience.</w:t>
            </w:r>
            <w:r>
              <w:br/>
            </w:r>
            <w:r>
              <w:br/>
              <w:t xml:space="preserve">refer this paper and add a section on cryptography- </w:t>
            </w:r>
            <w:r w:rsidRPr="002275F0">
              <w:t>https://www.researchgate.net/profile/Chaitanya-Mahamuni/publication/344295537_A_Multivariate_Public_Key_Cryptosystem_MPKC_for_Digital_Image_and_Video_Encryption_based_on_Multiple_Permutation_Polynomials_over_Finite_Fields_with_a_Novel_Approach_for_Secure_Key_Transmission/links/5f64449ba6fdcc00862974a5/A-Multivariate-Public-Key-Cryptosystem-MPKC-for-Digital-Image-and-Video-Encryption-based-on-Multiple-Permutation-Polynomials-over-Finite-Fields-with-a-Novel-Approach-for-Secure-Key-Transmission.pdf</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E817DE" w:rsidRPr="00E817DE" w14:paraId="2297BF73" w14:textId="77777777" w:rsidTr="005B5B6B">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39DF235A" w14:textId="77777777" w:rsidR="00E817DE" w:rsidRPr="00E817DE" w:rsidRDefault="00E817DE" w:rsidP="00E817DE">
            <w:pPr>
              <w:pStyle w:val="BodyText"/>
              <w:rPr>
                <w:b/>
                <w:bCs/>
                <w:sz w:val="20"/>
                <w:szCs w:val="20"/>
                <w:u w:val="single"/>
                <w:lang w:val="en-GB"/>
              </w:rPr>
            </w:pPr>
            <w:bookmarkStart w:id="0" w:name="_Hlk167897572"/>
            <w:r w:rsidRPr="00E817DE">
              <w:rPr>
                <w:b/>
                <w:bCs/>
                <w:sz w:val="20"/>
                <w:szCs w:val="20"/>
                <w:u w:val="single"/>
                <w:lang w:val="en-GB"/>
              </w:rPr>
              <w:t xml:space="preserve">PART  2: </w:t>
            </w:r>
          </w:p>
          <w:p w14:paraId="405BF376" w14:textId="77777777" w:rsidR="00E817DE" w:rsidRPr="00E817DE" w:rsidRDefault="00E817DE" w:rsidP="00E817DE">
            <w:pPr>
              <w:pStyle w:val="BodyText"/>
              <w:rPr>
                <w:b/>
                <w:bCs/>
                <w:sz w:val="20"/>
                <w:szCs w:val="20"/>
                <w:u w:val="single"/>
                <w:lang w:val="en-GB"/>
              </w:rPr>
            </w:pPr>
          </w:p>
        </w:tc>
      </w:tr>
      <w:tr w:rsidR="00E817DE" w:rsidRPr="00E817DE" w14:paraId="1DA02566" w14:textId="77777777" w:rsidTr="005B5B6B">
        <w:tc>
          <w:tcPr>
            <w:tcW w:w="1589" w:type="pct"/>
            <w:shd w:val="clear" w:color="auto" w:fill="auto"/>
            <w:noWrap/>
            <w:tcMar>
              <w:top w:w="0" w:type="dxa"/>
              <w:left w:w="108" w:type="dxa"/>
              <w:bottom w:w="0" w:type="dxa"/>
              <w:right w:w="108" w:type="dxa"/>
            </w:tcMar>
            <w:vAlign w:val="center"/>
          </w:tcPr>
          <w:p w14:paraId="3298607E" w14:textId="77777777" w:rsidR="00E817DE" w:rsidRPr="00E817DE" w:rsidRDefault="00E817DE" w:rsidP="00E817DE">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1ABA80B7" w14:textId="77777777" w:rsidR="00E817DE" w:rsidRPr="00E817DE" w:rsidRDefault="00E817DE" w:rsidP="00E817DE">
            <w:pPr>
              <w:pStyle w:val="BodyText"/>
              <w:rPr>
                <w:b/>
                <w:bCs/>
                <w:sz w:val="20"/>
                <w:szCs w:val="20"/>
                <w:u w:val="single"/>
                <w:lang w:val="en-GB"/>
              </w:rPr>
            </w:pPr>
            <w:r w:rsidRPr="00E817DE">
              <w:rPr>
                <w:b/>
                <w:bCs/>
                <w:sz w:val="20"/>
                <w:szCs w:val="20"/>
                <w:u w:val="single"/>
                <w:lang w:val="en-GB"/>
              </w:rPr>
              <w:t>Reviewer’s comment</w:t>
            </w:r>
          </w:p>
        </w:tc>
        <w:tc>
          <w:tcPr>
            <w:tcW w:w="1664" w:type="pct"/>
            <w:shd w:val="clear" w:color="auto" w:fill="auto"/>
          </w:tcPr>
          <w:p w14:paraId="7FE8B622" w14:textId="77777777" w:rsidR="00E817DE" w:rsidRPr="00E817DE" w:rsidRDefault="00E817DE" w:rsidP="00E817DE">
            <w:pPr>
              <w:pStyle w:val="BodyText"/>
              <w:rPr>
                <w:b/>
                <w:bCs/>
                <w:sz w:val="20"/>
                <w:szCs w:val="20"/>
                <w:u w:val="single"/>
                <w:lang w:val="en-GB"/>
              </w:rPr>
            </w:pPr>
            <w:r w:rsidRPr="00E817DE">
              <w:rPr>
                <w:b/>
                <w:bCs/>
                <w:sz w:val="20"/>
                <w:szCs w:val="20"/>
                <w:u w:val="single"/>
                <w:lang w:val="en-GB"/>
              </w:rPr>
              <w:t xml:space="preserve">Author’s comment </w:t>
            </w:r>
            <w:r w:rsidRPr="00E817DE">
              <w:rPr>
                <w:b/>
                <w:bCs/>
                <w:i/>
                <w:sz w:val="20"/>
                <w:szCs w:val="20"/>
                <w:u w:val="single"/>
                <w:lang w:val="en-GB"/>
              </w:rPr>
              <w:t>(if agreed with reviewer, correct the manuscript and highlight that part in the manuscript. It is mandatory that authors should write his/her feedback here)</w:t>
            </w:r>
          </w:p>
        </w:tc>
      </w:tr>
      <w:tr w:rsidR="00E817DE" w:rsidRPr="00E817DE" w14:paraId="43732ABD" w14:textId="77777777" w:rsidTr="005B5B6B">
        <w:trPr>
          <w:trHeight w:val="890"/>
        </w:trPr>
        <w:tc>
          <w:tcPr>
            <w:tcW w:w="1589" w:type="pct"/>
            <w:shd w:val="clear" w:color="auto" w:fill="auto"/>
            <w:noWrap/>
            <w:tcMar>
              <w:top w:w="0" w:type="dxa"/>
              <w:left w:w="108" w:type="dxa"/>
              <w:bottom w:w="0" w:type="dxa"/>
              <w:right w:w="108" w:type="dxa"/>
            </w:tcMar>
            <w:vAlign w:val="center"/>
          </w:tcPr>
          <w:p w14:paraId="23C77506" w14:textId="77777777" w:rsidR="00E817DE" w:rsidRPr="00E817DE" w:rsidRDefault="00E817DE" w:rsidP="00E817DE">
            <w:pPr>
              <w:pStyle w:val="BodyText"/>
              <w:rPr>
                <w:b/>
                <w:bCs/>
                <w:sz w:val="20"/>
                <w:szCs w:val="20"/>
                <w:u w:val="single"/>
                <w:lang w:val="en-GB"/>
              </w:rPr>
            </w:pPr>
            <w:r w:rsidRPr="00E817DE">
              <w:rPr>
                <w:b/>
                <w:bCs/>
                <w:sz w:val="20"/>
                <w:szCs w:val="20"/>
                <w:u w:val="single"/>
                <w:lang w:val="en-GB"/>
              </w:rPr>
              <w:t xml:space="preserve">Are there ethical issues in this manuscript? </w:t>
            </w:r>
          </w:p>
          <w:p w14:paraId="35E13F25" w14:textId="77777777" w:rsidR="00E817DE" w:rsidRPr="00E817DE" w:rsidRDefault="00E817DE" w:rsidP="00E817DE">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1D4051B9" w14:textId="77777777" w:rsidR="00E817DE" w:rsidRPr="00E817DE" w:rsidRDefault="00E817DE" w:rsidP="00E817DE">
            <w:pPr>
              <w:pStyle w:val="BodyText"/>
              <w:rPr>
                <w:b/>
                <w:bCs/>
                <w:i/>
                <w:iCs/>
                <w:sz w:val="20"/>
                <w:szCs w:val="20"/>
                <w:u w:val="single"/>
                <w:lang w:val="en-GB"/>
              </w:rPr>
            </w:pPr>
            <w:r w:rsidRPr="00E817DE">
              <w:rPr>
                <w:b/>
                <w:bCs/>
                <w:i/>
                <w:iCs/>
                <w:sz w:val="20"/>
                <w:szCs w:val="20"/>
                <w:u w:val="single"/>
                <w:lang w:val="en-GB"/>
              </w:rPr>
              <w:t xml:space="preserve">(If yes, </w:t>
            </w:r>
            <w:proofErr w:type="gramStart"/>
            <w:r w:rsidRPr="00E817DE">
              <w:rPr>
                <w:b/>
                <w:bCs/>
                <w:i/>
                <w:iCs/>
                <w:sz w:val="20"/>
                <w:szCs w:val="20"/>
                <w:u w:val="single"/>
                <w:lang w:val="en-GB"/>
              </w:rPr>
              <w:t>Kindly</w:t>
            </w:r>
            <w:proofErr w:type="gramEnd"/>
            <w:r w:rsidRPr="00E817DE">
              <w:rPr>
                <w:b/>
                <w:bCs/>
                <w:i/>
                <w:iCs/>
                <w:sz w:val="20"/>
                <w:szCs w:val="20"/>
                <w:u w:val="single"/>
                <w:lang w:val="en-GB"/>
              </w:rPr>
              <w:t xml:space="preserve"> please write down the ethical issues here in details)</w:t>
            </w:r>
          </w:p>
          <w:p w14:paraId="478BF388" w14:textId="77777777" w:rsidR="00E817DE" w:rsidRPr="00E817DE" w:rsidRDefault="00E817DE" w:rsidP="00E817DE">
            <w:pPr>
              <w:pStyle w:val="BodyText"/>
              <w:rPr>
                <w:b/>
                <w:bCs/>
                <w:sz w:val="20"/>
                <w:szCs w:val="20"/>
                <w:u w:val="single"/>
                <w:lang w:val="en-GB"/>
              </w:rPr>
            </w:pPr>
          </w:p>
          <w:p w14:paraId="5F0A93A1" w14:textId="77777777" w:rsidR="00E817DE" w:rsidRPr="00E817DE" w:rsidRDefault="00E817DE" w:rsidP="00E817DE">
            <w:pPr>
              <w:pStyle w:val="BodyText"/>
              <w:rPr>
                <w:b/>
                <w:bCs/>
                <w:sz w:val="20"/>
                <w:szCs w:val="20"/>
                <w:u w:val="single"/>
                <w:lang w:val="en-GB"/>
              </w:rPr>
            </w:pPr>
          </w:p>
        </w:tc>
        <w:tc>
          <w:tcPr>
            <w:tcW w:w="1664" w:type="pct"/>
            <w:shd w:val="clear" w:color="auto" w:fill="auto"/>
            <w:vAlign w:val="center"/>
          </w:tcPr>
          <w:p w14:paraId="33CE5E8E" w14:textId="77777777" w:rsidR="00E817DE" w:rsidRPr="00E817DE" w:rsidRDefault="00E817DE" w:rsidP="00E817DE">
            <w:pPr>
              <w:pStyle w:val="BodyText"/>
              <w:rPr>
                <w:b/>
                <w:bCs/>
                <w:sz w:val="20"/>
                <w:szCs w:val="20"/>
                <w:u w:val="single"/>
                <w:lang w:val="en-GB"/>
              </w:rPr>
            </w:pPr>
          </w:p>
          <w:p w14:paraId="0F0E49FA" w14:textId="77777777" w:rsidR="00E817DE" w:rsidRPr="00E817DE" w:rsidRDefault="00E817DE" w:rsidP="00E817DE">
            <w:pPr>
              <w:pStyle w:val="BodyText"/>
              <w:rPr>
                <w:b/>
                <w:bCs/>
                <w:sz w:val="20"/>
                <w:szCs w:val="20"/>
                <w:u w:val="single"/>
                <w:lang w:val="en-GB"/>
              </w:rPr>
            </w:pPr>
          </w:p>
          <w:p w14:paraId="3238ADE0" w14:textId="77777777" w:rsidR="00E817DE" w:rsidRPr="00E817DE" w:rsidRDefault="00E817DE" w:rsidP="00E817DE">
            <w:pPr>
              <w:pStyle w:val="BodyText"/>
              <w:rPr>
                <w:b/>
                <w:bCs/>
                <w:sz w:val="20"/>
                <w:szCs w:val="20"/>
                <w:u w:val="single"/>
                <w:lang w:val="en-GB"/>
              </w:rPr>
            </w:pPr>
          </w:p>
        </w:tc>
      </w:tr>
    </w:tbl>
    <w:p w14:paraId="343B6FA0" w14:textId="77777777" w:rsidR="00E817DE" w:rsidRPr="00E817DE" w:rsidRDefault="00E817DE" w:rsidP="00E817DE">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E817DE" w:rsidRPr="00E817DE" w14:paraId="1FD4DFC1" w14:textId="77777777" w:rsidTr="005B5B6B">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6736143B" w14:textId="77777777" w:rsidR="00E817DE" w:rsidRPr="00E817DE" w:rsidRDefault="00E817DE" w:rsidP="00E817DE">
            <w:pPr>
              <w:pStyle w:val="BodyText"/>
              <w:rPr>
                <w:b/>
                <w:bCs/>
                <w:sz w:val="20"/>
                <w:szCs w:val="20"/>
                <w:u w:val="single"/>
                <w:lang w:val="en-US"/>
              </w:rPr>
            </w:pPr>
          </w:p>
          <w:p w14:paraId="20B303BC" w14:textId="77777777" w:rsidR="00E817DE" w:rsidRPr="00E817DE" w:rsidRDefault="00E817DE" w:rsidP="00E817DE">
            <w:pPr>
              <w:pStyle w:val="BodyText"/>
              <w:rPr>
                <w:b/>
                <w:bCs/>
                <w:sz w:val="20"/>
                <w:szCs w:val="20"/>
                <w:u w:val="single"/>
                <w:lang w:val="en-US"/>
              </w:rPr>
            </w:pPr>
          </w:p>
          <w:p w14:paraId="0EA31725" w14:textId="77777777" w:rsidR="00E817DE" w:rsidRPr="00E817DE" w:rsidRDefault="00E817DE" w:rsidP="00E817DE">
            <w:pPr>
              <w:pStyle w:val="BodyText"/>
              <w:rPr>
                <w:b/>
                <w:bCs/>
                <w:sz w:val="20"/>
                <w:szCs w:val="20"/>
                <w:u w:val="single"/>
                <w:lang w:val="en-GB"/>
              </w:rPr>
            </w:pPr>
          </w:p>
          <w:p w14:paraId="21BBA3BC" w14:textId="77777777" w:rsidR="00E817DE" w:rsidRPr="00E817DE" w:rsidRDefault="00E817DE" w:rsidP="00E817DE">
            <w:pPr>
              <w:pStyle w:val="BodyText"/>
              <w:rPr>
                <w:b/>
                <w:bCs/>
                <w:sz w:val="20"/>
                <w:szCs w:val="20"/>
                <w:u w:val="single"/>
                <w:lang w:val="en-GB"/>
              </w:rPr>
            </w:pPr>
          </w:p>
          <w:p w14:paraId="36852D1A" w14:textId="77777777" w:rsidR="00E817DE" w:rsidRPr="00E817DE" w:rsidRDefault="00E817DE" w:rsidP="00E817DE">
            <w:pPr>
              <w:pStyle w:val="BodyText"/>
              <w:rPr>
                <w:b/>
                <w:bCs/>
                <w:sz w:val="20"/>
                <w:szCs w:val="20"/>
                <w:u w:val="single"/>
                <w:lang w:val="en-GB"/>
              </w:rPr>
            </w:pPr>
            <w:r w:rsidRPr="00E817DE">
              <w:rPr>
                <w:b/>
                <w:bCs/>
                <w:sz w:val="20"/>
                <w:szCs w:val="20"/>
                <w:u w:val="single"/>
                <w:lang w:val="en-GB"/>
              </w:rPr>
              <w:t>Reviewer Details:</w:t>
            </w:r>
          </w:p>
          <w:p w14:paraId="2E201510" w14:textId="77777777" w:rsidR="00E817DE" w:rsidRPr="00E817DE" w:rsidRDefault="00E817DE" w:rsidP="00E817DE">
            <w:pPr>
              <w:pStyle w:val="BodyText"/>
              <w:rPr>
                <w:b/>
                <w:bCs/>
                <w:sz w:val="20"/>
                <w:szCs w:val="20"/>
                <w:u w:val="single"/>
                <w:lang w:val="en-GB"/>
              </w:rPr>
            </w:pPr>
          </w:p>
        </w:tc>
      </w:tr>
      <w:tr w:rsidR="00E817DE" w:rsidRPr="00E817DE" w14:paraId="1AE9546E" w14:textId="77777777" w:rsidTr="005B5B6B">
        <w:trPr>
          <w:trHeight w:val="77"/>
        </w:trPr>
        <w:tc>
          <w:tcPr>
            <w:tcW w:w="3780" w:type="dxa"/>
            <w:shd w:val="clear" w:color="auto" w:fill="auto"/>
            <w:noWrap/>
            <w:tcMar>
              <w:top w:w="0" w:type="dxa"/>
              <w:left w:w="108" w:type="dxa"/>
              <w:bottom w:w="0" w:type="dxa"/>
              <w:right w:w="108" w:type="dxa"/>
            </w:tcMar>
            <w:vAlign w:val="center"/>
          </w:tcPr>
          <w:p w14:paraId="4498B9E4" w14:textId="77777777" w:rsidR="00E817DE" w:rsidRPr="00E817DE" w:rsidRDefault="00E817DE" w:rsidP="00E817DE">
            <w:pPr>
              <w:pStyle w:val="BodyText"/>
              <w:rPr>
                <w:b/>
                <w:bCs/>
                <w:sz w:val="20"/>
                <w:szCs w:val="20"/>
                <w:u w:val="single"/>
                <w:lang w:val="en-GB"/>
              </w:rPr>
            </w:pPr>
            <w:r w:rsidRPr="00E817DE">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3220444F" w14:textId="77777777" w:rsidR="00E817DE" w:rsidRPr="00E817DE" w:rsidRDefault="00E817DE" w:rsidP="00E817DE">
            <w:pPr>
              <w:pStyle w:val="BodyText"/>
              <w:rPr>
                <w:b/>
                <w:bCs/>
                <w:sz w:val="20"/>
                <w:szCs w:val="20"/>
                <w:u w:val="single"/>
                <w:lang w:val="en-US"/>
              </w:rPr>
            </w:pPr>
            <w:r w:rsidRPr="00E817DE">
              <w:rPr>
                <w:b/>
                <w:bCs/>
                <w:sz w:val="20"/>
                <w:szCs w:val="20"/>
                <w:u w:val="single"/>
                <w:lang w:val="en-US"/>
              </w:rPr>
              <w:t>Anonymous reviewer (Only for this stage as per Review policy)</w:t>
            </w:r>
          </w:p>
        </w:tc>
      </w:tr>
      <w:tr w:rsidR="00E817DE" w:rsidRPr="00E817DE" w14:paraId="43EEA6B3" w14:textId="77777777" w:rsidTr="005B5B6B">
        <w:trPr>
          <w:trHeight w:val="77"/>
        </w:trPr>
        <w:tc>
          <w:tcPr>
            <w:tcW w:w="3780" w:type="dxa"/>
            <w:shd w:val="clear" w:color="auto" w:fill="auto"/>
            <w:noWrap/>
            <w:tcMar>
              <w:top w:w="0" w:type="dxa"/>
              <w:left w:w="108" w:type="dxa"/>
              <w:bottom w:w="0" w:type="dxa"/>
              <w:right w:w="108" w:type="dxa"/>
            </w:tcMar>
            <w:vAlign w:val="center"/>
          </w:tcPr>
          <w:p w14:paraId="0458CF9D" w14:textId="77777777" w:rsidR="00E817DE" w:rsidRPr="00E817DE" w:rsidRDefault="00E817DE" w:rsidP="00E817DE">
            <w:pPr>
              <w:pStyle w:val="BodyText"/>
              <w:rPr>
                <w:b/>
                <w:bCs/>
                <w:sz w:val="20"/>
                <w:szCs w:val="20"/>
                <w:u w:val="single"/>
                <w:lang w:val="en-GB"/>
              </w:rPr>
            </w:pPr>
            <w:r w:rsidRPr="00E817DE">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5E2170BB" w14:textId="77777777" w:rsidR="00E817DE" w:rsidRPr="00E817DE" w:rsidRDefault="00E817DE" w:rsidP="00E817DE">
            <w:pPr>
              <w:pStyle w:val="BodyText"/>
              <w:rPr>
                <w:b/>
                <w:bCs/>
                <w:sz w:val="20"/>
                <w:szCs w:val="20"/>
                <w:u w:val="single"/>
                <w:lang w:val="en-GB"/>
              </w:rPr>
            </w:pPr>
          </w:p>
        </w:tc>
      </w:tr>
    </w:tbl>
    <w:p w14:paraId="357E0907" w14:textId="77777777" w:rsidR="00E817DE" w:rsidRPr="00E817DE" w:rsidRDefault="00E817DE" w:rsidP="00E817DE">
      <w:pPr>
        <w:pStyle w:val="BodyText"/>
        <w:rPr>
          <w:b/>
          <w:bCs/>
          <w:sz w:val="20"/>
          <w:szCs w:val="20"/>
          <w:u w:val="single"/>
          <w:lang w:val="en-US"/>
        </w:rPr>
      </w:pPr>
    </w:p>
    <w:bookmarkEnd w:id="0"/>
    <w:p w14:paraId="3F2D2FE1" w14:textId="77777777" w:rsidR="00E817DE" w:rsidRPr="00E817DE" w:rsidRDefault="00E817DE" w:rsidP="00E817DE">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1461E" w14:textId="77777777" w:rsidR="001417D8" w:rsidRPr="0000007A" w:rsidRDefault="001417D8" w:rsidP="0099583E">
      <w:r>
        <w:separator/>
      </w:r>
    </w:p>
  </w:endnote>
  <w:endnote w:type="continuationSeparator" w:id="0">
    <w:p w14:paraId="3B44F463" w14:textId="77777777" w:rsidR="001417D8" w:rsidRPr="0000007A" w:rsidRDefault="001417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B92D7" w14:textId="77777777" w:rsidR="001417D8" w:rsidRPr="0000007A" w:rsidRDefault="001417D8" w:rsidP="0099583E">
      <w:r>
        <w:separator/>
      </w:r>
    </w:p>
  </w:footnote>
  <w:footnote w:type="continuationSeparator" w:id="0">
    <w:p w14:paraId="0A710D21" w14:textId="77777777" w:rsidR="001417D8" w:rsidRPr="0000007A" w:rsidRDefault="001417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B124E9"/>
    <w:multiLevelType w:val="multilevel"/>
    <w:tmpl w:val="5DCCE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1"/>
  </w:num>
  <w:num w:numId="8">
    <w:abstractNumId w:val="10"/>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616A"/>
    <w:rsid w:val="00136984"/>
    <w:rsid w:val="001417D8"/>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75F0"/>
    <w:rsid w:val="002320EB"/>
    <w:rsid w:val="0023696A"/>
    <w:rsid w:val="002422CB"/>
    <w:rsid w:val="00245E23"/>
    <w:rsid w:val="0025366D"/>
    <w:rsid w:val="0025366F"/>
    <w:rsid w:val="00257932"/>
    <w:rsid w:val="00257F9E"/>
    <w:rsid w:val="00262634"/>
    <w:rsid w:val="00275984"/>
    <w:rsid w:val="00280EC9"/>
    <w:rsid w:val="00282BEE"/>
    <w:rsid w:val="002859CC"/>
    <w:rsid w:val="00291D08"/>
    <w:rsid w:val="00293482"/>
    <w:rsid w:val="002A3D7C"/>
    <w:rsid w:val="002A7718"/>
    <w:rsid w:val="002B0E4B"/>
    <w:rsid w:val="002C40B8"/>
    <w:rsid w:val="002D60EF"/>
    <w:rsid w:val="002E10DF"/>
    <w:rsid w:val="002E1211"/>
    <w:rsid w:val="002E2339"/>
    <w:rsid w:val="002E5C81"/>
    <w:rsid w:val="002E6D86"/>
    <w:rsid w:val="002E7787"/>
    <w:rsid w:val="002F6935"/>
    <w:rsid w:val="00312559"/>
    <w:rsid w:val="003204B8"/>
    <w:rsid w:val="00322783"/>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4437"/>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031B"/>
    <w:rsid w:val="008126B7"/>
    <w:rsid w:val="00815F94"/>
    <w:rsid w:val="008224E2"/>
    <w:rsid w:val="00825DC9"/>
    <w:rsid w:val="0082676D"/>
    <w:rsid w:val="008324FC"/>
    <w:rsid w:val="00844D84"/>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673C"/>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3B53"/>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1645"/>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2D2B"/>
    <w:rsid w:val="00E03C32"/>
    <w:rsid w:val="00E3111A"/>
    <w:rsid w:val="00E451EA"/>
    <w:rsid w:val="00E57F4B"/>
    <w:rsid w:val="00E63889"/>
    <w:rsid w:val="00E63A98"/>
    <w:rsid w:val="00E645E9"/>
    <w:rsid w:val="00E65596"/>
    <w:rsid w:val="00E71C8D"/>
    <w:rsid w:val="00E72360"/>
    <w:rsid w:val="00E72A8E"/>
    <w:rsid w:val="00E817D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844D8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844D84"/>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0330010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87640946">
      <w:bodyDiv w:val="1"/>
      <w:marLeft w:val="0"/>
      <w:marRight w:val="0"/>
      <w:marTop w:val="0"/>
      <w:marBottom w:val="0"/>
      <w:divBdr>
        <w:top w:val="none" w:sz="0" w:space="0" w:color="auto"/>
        <w:left w:val="none" w:sz="0" w:space="0" w:color="auto"/>
        <w:bottom w:val="none" w:sz="0" w:space="0" w:color="auto"/>
        <w:right w:val="none" w:sz="0" w:space="0" w:color="auto"/>
      </w:divBdr>
    </w:div>
    <w:div w:id="2077825396">
      <w:bodyDiv w:val="1"/>
      <w:marLeft w:val="0"/>
      <w:marRight w:val="0"/>
      <w:marTop w:val="0"/>
      <w:marBottom w:val="0"/>
      <w:divBdr>
        <w:top w:val="none" w:sz="0" w:space="0" w:color="auto"/>
        <w:left w:val="none" w:sz="0" w:space="0" w:color="auto"/>
        <w:bottom w:val="none" w:sz="0" w:space="0" w:color="auto"/>
        <w:right w:val="none" w:sz="0" w:space="0" w:color="auto"/>
      </w:divBdr>
    </w:div>
    <w:div w:id="2084712741">
      <w:bodyDiv w:val="1"/>
      <w:marLeft w:val="0"/>
      <w:marRight w:val="0"/>
      <w:marTop w:val="0"/>
      <w:marBottom w:val="0"/>
      <w:divBdr>
        <w:top w:val="none" w:sz="0" w:space="0" w:color="auto"/>
        <w:left w:val="none" w:sz="0" w:space="0" w:color="auto"/>
        <w:bottom w:val="none" w:sz="0" w:space="0" w:color="auto"/>
        <w:right w:val="none" w:sz="0" w:space="0" w:color="auto"/>
      </w:divBdr>
      <w:divsChild>
        <w:div w:id="635182839">
          <w:marLeft w:val="0"/>
          <w:marRight w:val="0"/>
          <w:marTop w:val="0"/>
          <w:marBottom w:val="0"/>
          <w:divBdr>
            <w:top w:val="none" w:sz="0" w:space="0" w:color="auto"/>
            <w:left w:val="none" w:sz="0" w:space="0" w:color="auto"/>
            <w:bottom w:val="none" w:sz="0" w:space="0" w:color="auto"/>
            <w:right w:val="none" w:sz="0" w:space="0" w:color="auto"/>
          </w:divBdr>
        </w:div>
      </w:divsChild>
    </w:div>
    <w:div w:id="21108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4</cp:revision>
  <dcterms:created xsi:type="dcterms:W3CDTF">2024-12-11T09:27:00Z</dcterms:created>
  <dcterms:modified xsi:type="dcterms:W3CDTF">2024-12-12T12:02:00Z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