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9547D7D" w:rsidR="0000007A" w:rsidRPr="00DE7D30" w:rsidRDefault="00E02D2B" w:rsidP="00054BC4">
            <w:pPr>
              <w:pStyle w:val="NormalWeb"/>
              <w:rPr>
                <w:rFonts w:ascii="Arial" w:hAnsi="Arial" w:cs="Arial"/>
                <w:b/>
                <w:bCs/>
                <w:szCs w:val="28"/>
                <w:u w:val="single"/>
              </w:rPr>
            </w:pPr>
            <w:r w:rsidRPr="00E02D2B">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D0B1B1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2A7718">
              <w:rPr>
                <w:rFonts w:ascii="Arial" w:hAnsi="Arial" w:cs="Arial"/>
                <w:b/>
                <w:bCs/>
                <w:szCs w:val="28"/>
                <w:lang w:val="en-GB"/>
              </w:rPr>
              <w:t>3842.2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B0F636D" w:rsidR="0000007A" w:rsidRPr="00DE7D30" w:rsidRDefault="00257932" w:rsidP="000450FC">
            <w:pPr>
              <w:pStyle w:val="NormalWeb"/>
              <w:spacing w:before="0" w:beforeAutospacing="0" w:after="0" w:afterAutospacing="0"/>
              <w:rPr>
                <w:rFonts w:ascii="Arial" w:hAnsi="Arial" w:cs="Arial"/>
                <w:b/>
                <w:szCs w:val="28"/>
                <w:highlight w:val="yellow"/>
                <w:lang w:val="en-GB"/>
              </w:rPr>
            </w:pPr>
            <w:r w:rsidRPr="00257932">
              <w:rPr>
                <w:rFonts w:ascii="Arial" w:hAnsi="Arial" w:cs="Arial"/>
                <w:b/>
                <w:szCs w:val="28"/>
                <w:lang w:val="en-GB"/>
              </w:rPr>
              <w:t>Introductory Essentials to Finite Fields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887231B" w:rsidR="00CF0BBB" w:rsidRPr="00DE7D30" w:rsidRDefault="002A771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707038"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E1AECB1" w14:textId="77777777" w:rsidR="001932A8" w:rsidRDefault="001932A8" w:rsidP="001932A8">
            <w:pPr>
              <w:pStyle w:val="NormalWeb"/>
              <w:rPr>
                <w:lang w:val="en-MY" w:eastAsia="en-GB"/>
              </w:rPr>
            </w:pPr>
            <w:r>
              <w:t>The manuscript provides a foundational exploration of finite fields and their associated mathematical properties. It delves into essential definitions, construction methods, and applications of finite fields, which are critical in modern mathematics, particularly in areas like coding theory, cryptography, and computational algebra. The structured approach of posing key questions and systematically answering them offers clarity and guides further exploration in this field.</w:t>
            </w:r>
          </w:p>
          <w:p w14:paraId="7DBC9196" w14:textId="26601E5D" w:rsidR="00F1171E" w:rsidRPr="001932A8" w:rsidRDefault="001932A8" w:rsidP="001932A8">
            <w:pPr>
              <w:pStyle w:val="NormalWeb"/>
            </w:pPr>
            <w:r>
              <w:t xml:space="preserve">I appreciate the manuscript for its detailed explanations and logical flow, which make complex concepts accessible. However, the density of technical content might make it challenging for readers who lack a strong mathematical background. Overall, this manuscript is a valuable resource for advancing understanding in the </w:t>
            </w:r>
            <w:r>
              <w:lastRenderedPageBreak/>
              <w:t>mathematical and scientific community.</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751E1EA" w:rsidR="00F1171E" w:rsidRPr="00900E9B" w:rsidRDefault="001932A8" w:rsidP="001932A8">
            <w:pPr>
              <w:rPr>
                <w:b/>
                <w:bCs/>
                <w:sz w:val="20"/>
                <w:szCs w:val="20"/>
                <w:lang w:val="en-GB"/>
              </w:rPr>
            </w:pPr>
            <w:r>
              <w:t>The title of the manuscript, "Introductory Essentials to Finite Fields," is suitable for the content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6F03B1">
        <w:trPr>
          <w:trHeight w:val="42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6458D1B" w:rsidR="00F1171E" w:rsidRPr="001932A8" w:rsidRDefault="001932A8" w:rsidP="001932A8">
            <w:pPr>
              <w:rPr>
                <w:sz w:val="20"/>
                <w:szCs w:val="20"/>
                <w:lang w:val="en-GB"/>
              </w:rPr>
            </w:pPr>
            <w:r>
              <w:rPr>
                <w:sz w:val="20"/>
                <w:szCs w:val="20"/>
                <w:lang w:val="en-GB"/>
              </w:rPr>
              <w:t>No abstract in the manuscript.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015C70B7" w:rsidR="00F1171E" w:rsidRPr="00900E9B" w:rsidRDefault="001932A8" w:rsidP="007222C8">
            <w:pPr>
              <w:pStyle w:val="ListParagraph"/>
              <w:ind w:left="0"/>
              <w:rPr>
                <w:b/>
                <w:bCs/>
                <w:sz w:val="20"/>
                <w:szCs w:val="20"/>
                <w:lang w:val="en-GB"/>
              </w:rPr>
            </w:pPr>
            <w:r>
              <w:t>The manuscript demonstrates scientific robustness and technical soundness through its precise definitions, logical progression, and well-documented proofs of key mathematical concepts related to finite fields. It rigorously addresses foundational questions about extension and splitting fields, irreducible polynomials, and key theorems like Wedderburn's theorem, ensuring a comprehensive understanding of the subject. The mathematical arguments are detailed and supported by examples, exercises, and solutions, which strengthen the manuscript's credibility and pedagogical value. Overall, the manuscript provides a methodical and accurate exploration of finite fields, making it a reliable resource for students and researchers in mathematics and related fields.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0AB00CB" w:rsidR="00F1171E" w:rsidRPr="00900E9B" w:rsidRDefault="001932A8" w:rsidP="007222C8">
            <w:pPr>
              <w:pStyle w:val="ListParagraph"/>
              <w:ind w:left="0"/>
              <w:rPr>
                <w:b/>
                <w:bCs/>
                <w:sz w:val="20"/>
                <w:szCs w:val="20"/>
                <w:lang w:val="en-GB"/>
              </w:rPr>
            </w:pPr>
            <w:r>
              <w:t>Consider adding recent papers or reviews on finite fields' applications in technology, such as post-quantum cryptography or modern coding theory.</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55D112A0" w14:textId="77777777" w:rsidR="00100FCE" w:rsidRDefault="00100FCE" w:rsidP="00100FCE">
            <w:r>
              <w:rPr>
                <w:rFonts w:hAnsi="Symbol"/>
              </w:rPr>
              <w:t></w:t>
            </w:r>
            <w:r>
              <w:t xml:space="preserve">  Original: "In order to not get confused by the expression..."</w:t>
            </w:r>
          </w:p>
          <w:p w14:paraId="42C230A7" w14:textId="50C479FD" w:rsidR="00100FCE" w:rsidRDefault="00100FCE" w:rsidP="00100FCE">
            <w:pPr>
              <w:rPr>
                <w:rFonts w:hAnsi="Symbol"/>
              </w:rPr>
            </w:pPr>
            <w:r>
              <w:rPr>
                <w:rFonts w:hAnsi="Symbol"/>
              </w:rPr>
              <w:t></w:t>
            </w:r>
            <w:r>
              <w:t xml:space="preserve">  Suggested: "To avoid confusion with the expression..."</w:t>
            </w:r>
          </w:p>
          <w:p w14:paraId="306BECFE" w14:textId="77777777" w:rsidR="00100FCE" w:rsidRDefault="00100FCE" w:rsidP="00100FCE">
            <w:pPr>
              <w:rPr>
                <w:rFonts w:hAnsi="Symbol"/>
              </w:rPr>
            </w:pPr>
          </w:p>
          <w:p w14:paraId="02D5AD15" w14:textId="2ED159B9" w:rsidR="00100FCE" w:rsidRDefault="00100FCE" w:rsidP="00100FCE">
            <w:r>
              <w:rPr>
                <w:rFonts w:hAnsi="Symbol"/>
              </w:rPr>
              <w:t></w:t>
            </w:r>
            <w:r>
              <w:t xml:space="preserve">  Original: "This construction allows to have a field of </w:t>
            </w:r>
            <w:proofErr w:type="spellStart"/>
            <w:r>
              <w:t>pn</w:t>
            </w:r>
            <w:proofErr w:type="spellEnd"/>
            <w:r>
              <w:t xml:space="preserve"> elements..."</w:t>
            </w:r>
          </w:p>
          <w:p w14:paraId="29904C7B" w14:textId="5A5DBF84" w:rsidR="00100FCE" w:rsidRDefault="00100FCE" w:rsidP="00100FCE">
            <w:r>
              <w:rPr>
                <w:rFonts w:hAnsi="Symbol"/>
              </w:rPr>
              <w:t></w:t>
            </w:r>
            <w:r>
              <w:t xml:space="preserve">  Suggested: "This construction enables the creation of a field with </w:t>
            </w:r>
            <w:proofErr w:type="spellStart"/>
            <w:r>
              <w:t>pn</w:t>
            </w:r>
            <w:proofErr w:type="spellEnd"/>
            <w:r>
              <w:t xml:space="preserve"> elements..."</w:t>
            </w:r>
          </w:p>
          <w:p w14:paraId="7C03B529" w14:textId="77777777" w:rsidR="00100FCE" w:rsidRDefault="00100FCE" w:rsidP="00100FCE"/>
          <w:p w14:paraId="74126E84" w14:textId="77777777" w:rsidR="00100FCE" w:rsidRDefault="00100FCE" w:rsidP="00100FCE">
            <w:r>
              <w:rPr>
                <w:rFonts w:hAnsi="Symbol"/>
              </w:rPr>
              <w:t></w:t>
            </w:r>
            <w:r>
              <w:t xml:space="preserve">  Original: "It is important to note that for example in French language, a skew field is called 'corps gauche' and if a field is commutative, we add the qualificative so we get 'corps </w:t>
            </w:r>
            <w:proofErr w:type="spellStart"/>
            <w:r>
              <w:t>commutatif</w:t>
            </w:r>
            <w:proofErr w:type="spellEnd"/>
            <w:r>
              <w:t>.'"</w:t>
            </w:r>
          </w:p>
          <w:p w14:paraId="6C10813A" w14:textId="0226B35F" w:rsidR="00100FCE" w:rsidRDefault="00100FCE" w:rsidP="00100FCE">
            <w:pPr>
              <w:rPr>
                <w:rFonts w:hAnsi="Symbol"/>
              </w:rPr>
            </w:pPr>
            <w:r>
              <w:rPr>
                <w:rFonts w:hAnsi="Symbol"/>
              </w:rPr>
              <w:t></w:t>
            </w:r>
            <w:r>
              <w:t xml:space="preserve">  Suggested: "For example, in French, a skew field is called 'corps gauche,' and a commutative field is referred to as 'corps </w:t>
            </w:r>
            <w:proofErr w:type="spellStart"/>
            <w:r>
              <w:t>commutatif</w:t>
            </w:r>
            <w:proofErr w:type="spellEnd"/>
            <w:r>
              <w:t>.'"</w:t>
            </w:r>
          </w:p>
          <w:p w14:paraId="766253B2" w14:textId="77777777" w:rsidR="00100FCE" w:rsidRDefault="00100FCE" w:rsidP="00100FCE">
            <w:pPr>
              <w:rPr>
                <w:rFonts w:hAnsi="Symbol"/>
              </w:rPr>
            </w:pPr>
          </w:p>
          <w:p w14:paraId="3E9723D7" w14:textId="1FD2D5D7" w:rsidR="00100FCE" w:rsidRDefault="00100FCE" w:rsidP="00100FCE">
            <w:r>
              <w:rPr>
                <w:rFonts w:hAnsi="Symbol"/>
              </w:rPr>
              <w:t></w:t>
            </w:r>
            <w:r>
              <w:t xml:space="preserve">  Original: "The result can also be seen as a consequence of the </w:t>
            </w:r>
            <w:proofErr w:type="spellStart"/>
            <w:r>
              <w:t>Skolem</w:t>
            </w:r>
            <w:proofErr w:type="spellEnd"/>
            <w:r>
              <w:t>–</w:t>
            </w:r>
            <w:proofErr w:type="spellStart"/>
            <w:r>
              <w:t>Noether</w:t>
            </w:r>
            <w:proofErr w:type="spellEnd"/>
            <w:r>
              <w:t xml:space="preserve"> theorem..."</w:t>
            </w:r>
          </w:p>
          <w:p w14:paraId="0A07EA75" w14:textId="4746B204" w:rsidR="00F1171E" w:rsidRPr="00900E9B" w:rsidRDefault="00100FCE" w:rsidP="00100FCE">
            <w:pPr>
              <w:rPr>
                <w:sz w:val="20"/>
                <w:szCs w:val="20"/>
                <w:lang w:val="en-GB"/>
              </w:rPr>
            </w:pPr>
            <w:r>
              <w:rPr>
                <w:rFonts w:hAnsi="Symbol"/>
              </w:rPr>
              <w:t></w:t>
            </w:r>
            <w:r>
              <w:t xml:space="preserve">  Suggested: "This result also follows from the </w:t>
            </w:r>
            <w:proofErr w:type="spellStart"/>
            <w:r>
              <w:t>Skolem</w:t>
            </w:r>
            <w:proofErr w:type="spellEnd"/>
            <w:r>
              <w:t>–</w:t>
            </w:r>
            <w:proofErr w:type="spellStart"/>
            <w:r>
              <w:t>Noether</w:t>
            </w:r>
            <w:proofErr w:type="spellEnd"/>
            <w:r>
              <w:t xml:space="preserve"> theorem..."</w:t>
            </w:r>
          </w:p>
          <w:p w14:paraId="6CBA4B2A" w14:textId="77777777" w:rsidR="00F1171E" w:rsidRPr="00900E9B" w:rsidRDefault="00F1171E" w:rsidP="007222C8">
            <w:pPr>
              <w:rPr>
                <w:sz w:val="20"/>
                <w:szCs w:val="20"/>
                <w:lang w:val="en-GB"/>
              </w:rPr>
            </w:pPr>
          </w:p>
          <w:p w14:paraId="70AE73AD" w14:textId="77777777" w:rsidR="001932A8" w:rsidRDefault="001932A8" w:rsidP="001932A8">
            <w:r>
              <w:rPr>
                <w:rFonts w:hAnsi="Symbol"/>
              </w:rPr>
              <w:t></w:t>
            </w:r>
            <w:r>
              <w:t xml:space="preserve">  Original: "Since we are more interested in our team to rely on Abelian group-theoretic proofs for many problems as in [36, 10, 1, 37, 2], we also suggest to read the non-detailed but interesting proof done by Hans </w:t>
            </w:r>
            <w:proofErr w:type="spellStart"/>
            <w:r>
              <w:t>Zassenhaus</w:t>
            </w:r>
            <w:proofErr w:type="spellEnd"/>
            <w:r>
              <w:t xml:space="preserve"> in 1953."</w:t>
            </w:r>
          </w:p>
          <w:p w14:paraId="41E28118" w14:textId="6F98B6E5" w:rsidR="00F1171E" w:rsidRPr="00900E9B" w:rsidRDefault="001932A8" w:rsidP="001932A8">
            <w:pPr>
              <w:rPr>
                <w:sz w:val="20"/>
                <w:szCs w:val="20"/>
                <w:lang w:val="en-GB"/>
              </w:rPr>
            </w:pPr>
            <w:r>
              <w:rPr>
                <w:rFonts w:hAnsi="Symbol"/>
              </w:rPr>
              <w:t></w:t>
            </w:r>
            <w:r>
              <w:t xml:space="preserve">  Suggested: "Our team focuses on Abelian group-theoretic proofs for many problems (see references [36, 10, 1, 37, 2]). We also recommend the concise yet interesting proof by Hans </w:t>
            </w:r>
            <w:proofErr w:type="spellStart"/>
            <w:r>
              <w:t>Zassenhaus</w:t>
            </w:r>
            <w:proofErr w:type="spellEnd"/>
            <w:r>
              <w:t xml:space="preserve"> (1953)."</w:t>
            </w:r>
          </w:p>
          <w:p w14:paraId="149A6CEF" w14:textId="1F19815F"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012179" w:rsidRPr="00012179" w14:paraId="44CC5B91" w14:textId="77777777" w:rsidTr="00012179">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9C2129C" w14:textId="77777777" w:rsidR="00012179" w:rsidRPr="00012179" w:rsidRDefault="00012179" w:rsidP="00012179">
            <w:pPr>
              <w:pStyle w:val="BodyText"/>
              <w:rPr>
                <w:b/>
                <w:bCs/>
                <w:sz w:val="20"/>
                <w:szCs w:val="20"/>
                <w:u w:val="single"/>
                <w:lang w:val="en-GB"/>
              </w:rPr>
            </w:pPr>
            <w:bookmarkStart w:id="0" w:name="_Hlk167897572"/>
            <w:r w:rsidRPr="00012179">
              <w:rPr>
                <w:b/>
                <w:bCs/>
                <w:sz w:val="20"/>
                <w:szCs w:val="20"/>
                <w:u w:val="single"/>
                <w:lang w:val="en-GB"/>
              </w:rPr>
              <w:t xml:space="preserve">PART  2: </w:t>
            </w:r>
          </w:p>
          <w:p w14:paraId="4550B8BF" w14:textId="77777777" w:rsidR="00012179" w:rsidRPr="00012179" w:rsidRDefault="00012179" w:rsidP="00012179">
            <w:pPr>
              <w:pStyle w:val="BodyText"/>
              <w:rPr>
                <w:b/>
                <w:bCs/>
                <w:sz w:val="20"/>
                <w:szCs w:val="20"/>
                <w:u w:val="single"/>
                <w:lang w:val="en-GB"/>
              </w:rPr>
            </w:pPr>
          </w:p>
        </w:tc>
      </w:tr>
      <w:tr w:rsidR="00012179" w:rsidRPr="00012179" w14:paraId="46C7EDD7" w14:textId="77777777" w:rsidTr="00012179">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EE19DE5" w14:textId="77777777" w:rsidR="00012179" w:rsidRPr="00012179" w:rsidRDefault="00012179" w:rsidP="00012179">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733A53" w14:textId="77777777" w:rsidR="00012179" w:rsidRPr="00012179" w:rsidRDefault="00012179" w:rsidP="00012179">
            <w:pPr>
              <w:pStyle w:val="BodyText"/>
              <w:rPr>
                <w:b/>
                <w:bCs/>
                <w:sz w:val="20"/>
                <w:szCs w:val="20"/>
                <w:u w:val="single"/>
                <w:lang w:val="en-GB"/>
              </w:rPr>
            </w:pPr>
            <w:r w:rsidRPr="00012179">
              <w:rPr>
                <w:b/>
                <w:bCs/>
                <w:sz w:val="20"/>
                <w:szCs w:val="20"/>
                <w:u w:val="single"/>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3F915DCA" w14:textId="77777777" w:rsidR="00012179" w:rsidRPr="00012179" w:rsidRDefault="00012179" w:rsidP="00012179">
            <w:pPr>
              <w:pStyle w:val="BodyText"/>
              <w:rPr>
                <w:b/>
                <w:bCs/>
                <w:sz w:val="20"/>
                <w:szCs w:val="20"/>
                <w:u w:val="single"/>
                <w:lang w:val="en-GB"/>
              </w:rPr>
            </w:pPr>
            <w:r w:rsidRPr="00012179">
              <w:rPr>
                <w:b/>
                <w:bCs/>
                <w:sz w:val="20"/>
                <w:szCs w:val="20"/>
                <w:u w:val="single"/>
                <w:lang w:val="en-GB"/>
              </w:rPr>
              <w:t xml:space="preserve">Author’s comment </w:t>
            </w:r>
            <w:r w:rsidRPr="00012179">
              <w:rPr>
                <w:b/>
                <w:bCs/>
                <w:i/>
                <w:sz w:val="20"/>
                <w:szCs w:val="20"/>
                <w:u w:val="single"/>
                <w:lang w:val="en-GB"/>
              </w:rPr>
              <w:t>(if agreed with reviewer, correct the manuscript and highlight that part in the manuscript. It is mandatory that authors should write his/her feedback here)</w:t>
            </w:r>
          </w:p>
        </w:tc>
      </w:tr>
      <w:tr w:rsidR="00012179" w:rsidRPr="00012179" w14:paraId="547626E7" w14:textId="77777777" w:rsidTr="00012179">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EFC3AAD" w14:textId="77777777" w:rsidR="00012179" w:rsidRPr="00012179" w:rsidRDefault="00012179" w:rsidP="00012179">
            <w:pPr>
              <w:pStyle w:val="BodyText"/>
              <w:rPr>
                <w:b/>
                <w:bCs/>
                <w:sz w:val="20"/>
                <w:szCs w:val="20"/>
                <w:u w:val="single"/>
                <w:lang w:val="en-GB"/>
              </w:rPr>
            </w:pPr>
            <w:r w:rsidRPr="00012179">
              <w:rPr>
                <w:b/>
                <w:bCs/>
                <w:sz w:val="20"/>
                <w:szCs w:val="20"/>
                <w:u w:val="single"/>
                <w:lang w:val="en-GB"/>
              </w:rPr>
              <w:t xml:space="preserve">Are there ethical issues in this manuscript? </w:t>
            </w:r>
          </w:p>
          <w:p w14:paraId="2D63FC6E" w14:textId="77777777" w:rsidR="00012179" w:rsidRPr="00012179" w:rsidRDefault="00012179" w:rsidP="00012179">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D7CBEB" w14:textId="77777777" w:rsidR="00012179" w:rsidRPr="00012179" w:rsidRDefault="00012179" w:rsidP="00012179">
            <w:pPr>
              <w:pStyle w:val="BodyText"/>
              <w:rPr>
                <w:b/>
                <w:bCs/>
                <w:i/>
                <w:iCs/>
                <w:sz w:val="20"/>
                <w:szCs w:val="20"/>
                <w:u w:val="single"/>
                <w:lang w:val="en-GB"/>
              </w:rPr>
            </w:pPr>
            <w:r w:rsidRPr="00012179">
              <w:rPr>
                <w:b/>
                <w:bCs/>
                <w:i/>
                <w:iCs/>
                <w:sz w:val="20"/>
                <w:szCs w:val="20"/>
                <w:u w:val="single"/>
                <w:lang w:val="en-GB"/>
              </w:rPr>
              <w:t xml:space="preserve">(If yes, </w:t>
            </w:r>
            <w:proofErr w:type="gramStart"/>
            <w:r w:rsidRPr="00012179">
              <w:rPr>
                <w:b/>
                <w:bCs/>
                <w:i/>
                <w:iCs/>
                <w:sz w:val="20"/>
                <w:szCs w:val="20"/>
                <w:u w:val="single"/>
                <w:lang w:val="en-GB"/>
              </w:rPr>
              <w:t>Kindly</w:t>
            </w:r>
            <w:proofErr w:type="gramEnd"/>
            <w:r w:rsidRPr="00012179">
              <w:rPr>
                <w:b/>
                <w:bCs/>
                <w:i/>
                <w:iCs/>
                <w:sz w:val="20"/>
                <w:szCs w:val="20"/>
                <w:u w:val="single"/>
                <w:lang w:val="en-GB"/>
              </w:rPr>
              <w:t xml:space="preserve"> please write down the ethical issues here in details)</w:t>
            </w:r>
          </w:p>
          <w:p w14:paraId="44B6ECE8" w14:textId="77777777" w:rsidR="00012179" w:rsidRPr="00012179" w:rsidRDefault="00012179" w:rsidP="00012179">
            <w:pPr>
              <w:pStyle w:val="BodyText"/>
              <w:rPr>
                <w:b/>
                <w:bCs/>
                <w:sz w:val="20"/>
                <w:szCs w:val="20"/>
                <w:u w:val="single"/>
                <w:lang w:val="en-GB"/>
              </w:rPr>
            </w:pPr>
          </w:p>
          <w:p w14:paraId="38AB67E8" w14:textId="77777777" w:rsidR="00012179" w:rsidRPr="00012179" w:rsidRDefault="00012179" w:rsidP="00012179">
            <w:pPr>
              <w:pStyle w:val="BodyText"/>
              <w:rPr>
                <w:b/>
                <w:bCs/>
                <w:sz w:val="20"/>
                <w:szCs w:val="20"/>
                <w:u w:val="single"/>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22BE1124" w14:textId="77777777" w:rsidR="00012179" w:rsidRPr="00012179" w:rsidRDefault="00012179" w:rsidP="00012179">
            <w:pPr>
              <w:pStyle w:val="BodyText"/>
              <w:rPr>
                <w:b/>
                <w:bCs/>
                <w:sz w:val="20"/>
                <w:szCs w:val="20"/>
                <w:u w:val="single"/>
                <w:lang w:val="en-GB"/>
              </w:rPr>
            </w:pPr>
          </w:p>
          <w:p w14:paraId="70A44E18" w14:textId="77777777" w:rsidR="00012179" w:rsidRPr="00012179" w:rsidRDefault="00012179" w:rsidP="00012179">
            <w:pPr>
              <w:pStyle w:val="BodyText"/>
              <w:rPr>
                <w:b/>
                <w:bCs/>
                <w:sz w:val="20"/>
                <w:szCs w:val="20"/>
                <w:u w:val="single"/>
                <w:lang w:val="en-GB"/>
              </w:rPr>
            </w:pPr>
          </w:p>
          <w:p w14:paraId="6A54DB83" w14:textId="77777777" w:rsidR="00012179" w:rsidRPr="00012179" w:rsidRDefault="00012179" w:rsidP="00012179">
            <w:pPr>
              <w:pStyle w:val="BodyText"/>
              <w:rPr>
                <w:b/>
                <w:bCs/>
                <w:sz w:val="20"/>
                <w:szCs w:val="20"/>
                <w:u w:val="single"/>
                <w:lang w:val="en-GB"/>
              </w:rPr>
            </w:pPr>
          </w:p>
        </w:tc>
      </w:tr>
    </w:tbl>
    <w:p w14:paraId="53BF3E7D" w14:textId="77777777" w:rsidR="00012179" w:rsidRPr="00012179" w:rsidRDefault="00012179" w:rsidP="00012179">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012179" w:rsidRPr="00012179" w14:paraId="41373EC7" w14:textId="77777777" w:rsidTr="00012179">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ACD21B1" w14:textId="77777777" w:rsidR="00012179" w:rsidRPr="00012179" w:rsidRDefault="00012179" w:rsidP="00012179">
            <w:pPr>
              <w:pStyle w:val="BodyText"/>
              <w:rPr>
                <w:b/>
                <w:bCs/>
                <w:sz w:val="20"/>
                <w:szCs w:val="20"/>
                <w:u w:val="single"/>
                <w:lang w:val="en-US"/>
              </w:rPr>
            </w:pPr>
          </w:p>
          <w:p w14:paraId="5A926CCC" w14:textId="77777777" w:rsidR="00012179" w:rsidRPr="00012179" w:rsidRDefault="00012179" w:rsidP="00012179">
            <w:pPr>
              <w:pStyle w:val="BodyText"/>
              <w:rPr>
                <w:b/>
                <w:bCs/>
                <w:sz w:val="20"/>
                <w:szCs w:val="20"/>
                <w:u w:val="single"/>
                <w:lang w:val="en-US"/>
              </w:rPr>
            </w:pPr>
          </w:p>
          <w:p w14:paraId="3E64C4B9" w14:textId="77777777" w:rsidR="00012179" w:rsidRPr="00012179" w:rsidRDefault="00012179" w:rsidP="00012179">
            <w:pPr>
              <w:pStyle w:val="BodyText"/>
              <w:rPr>
                <w:b/>
                <w:bCs/>
                <w:sz w:val="20"/>
                <w:szCs w:val="20"/>
                <w:u w:val="single"/>
                <w:lang w:val="en-GB"/>
              </w:rPr>
            </w:pPr>
          </w:p>
          <w:p w14:paraId="3ADBB54A" w14:textId="77777777" w:rsidR="00012179" w:rsidRPr="00012179" w:rsidRDefault="00012179" w:rsidP="00012179">
            <w:pPr>
              <w:pStyle w:val="BodyText"/>
              <w:rPr>
                <w:b/>
                <w:bCs/>
                <w:sz w:val="20"/>
                <w:szCs w:val="20"/>
                <w:u w:val="single"/>
                <w:lang w:val="en-GB"/>
              </w:rPr>
            </w:pPr>
          </w:p>
          <w:p w14:paraId="19C6A7AF" w14:textId="77777777" w:rsidR="00012179" w:rsidRPr="00012179" w:rsidRDefault="00012179" w:rsidP="00012179">
            <w:pPr>
              <w:pStyle w:val="BodyText"/>
              <w:rPr>
                <w:b/>
                <w:bCs/>
                <w:sz w:val="20"/>
                <w:szCs w:val="20"/>
                <w:u w:val="single"/>
                <w:lang w:val="en-GB"/>
              </w:rPr>
            </w:pPr>
            <w:r w:rsidRPr="00012179">
              <w:rPr>
                <w:b/>
                <w:bCs/>
                <w:sz w:val="20"/>
                <w:szCs w:val="20"/>
                <w:u w:val="single"/>
                <w:lang w:val="en-GB"/>
              </w:rPr>
              <w:t>Reviewer Details:</w:t>
            </w:r>
          </w:p>
          <w:p w14:paraId="751BA935" w14:textId="77777777" w:rsidR="00012179" w:rsidRPr="00012179" w:rsidRDefault="00012179" w:rsidP="00012179">
            <w:pPr>
              <w:pStyle w:val="BodyText"/>
              <w:rPr>
                <w:b/>
                <w:bCs/>
                <w:sz w:val="20"/>
                <w:szCs w:val="20"/>
                <w:u w:val="single"/>
                <w:lang w:val="en-GB"/>
              </w:rPr>
            </w:pPr>
          </w:p>
        </w:tc>
      </w:tr>
      <w:tr w:rsidR="00012179" w:rsidRPr="00012179" w14:paraId="724FBDD9" w14:textId="77777777" w:rsidTr="00012179">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F70411D" w14:textId="77777777" w:rsidR="00012179" w:rsidRPr="00012179" w:rsidRDefault="00012179" w:rsidP="00012179">
            <w:pPr>
              <w:pStyle w:val="BodyText"/>
              <w:rPr>
                <w:b/>
                <w:bCs/>
                <w:sz w:val="20"/>
                <w:szCs w:val="20"/>
                <w:u w:val="single"/>
                <w:lang w:val="en-GB"/>
              </w:rPr>
            </w:pPr>
            <w:r w:rsidRPr="00012179">
              <w:rPr>
                <w:b/>
                <w:bCs/>
                <w:sz w:val="20"/>
                <w:szCs w:val="20"/>
                <w:u w:val="single"/>
                <w:lang w:val="en-GB"/>
              </w:rPr>
              <w:lastRenderedPageBreak/>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07EFA29" w14:textId="77777777" w:rsidR="00012179" w:rsidRPr="00012179" w:rsidRDefault="00012179" w:rsidP="00012179">
            <w:pPr>
              <w:pStyle w:val="BodyText"/>
              <w:rPr>
                <w:b/>
                <w:bCs/>
                <w:sz w:val="20"/>
                <w:szCs w:val="20"/>
                <w:u w:val="single"/>
                <w:lang w:val="en-US"/>
              </w:rPr>
            </w:pPr>
            <w:r w:rsidRPr="00012179">
              <w:rPr>
                <w:b/>
                <w:bCs/>
                <w:sz w:val="20"/>
                <w:szCs w:val="20"/>
                <w:u w:val="single"/>
                <w:lang w:val="en-US"/>
              </w:rPr>
              <w:t>Anonymous reviewer (Only for this stage as per Review policy)</w:t>
            </w:r>
          </w:p>
        </w:tc>
      </w:tr>
      <w:tr w:rsidR="00012179" w:rsidRPr="00012179" w14:paraId="08A9FBFF" w14:textId="77777777" w:rsidTr="00012179">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8332E8E" w14:textId="77777777" w:rsidR="00012179" w:rsidRPr="00012179" w:rsidRDefault="00012179" w:rsidP="00012179">
            <w:pPr>
              <w:pStyle w:val="BodyText"/>
              <w:rPr>
                <w:b/>
                <w:bCs/>
                <w:sz w:val="20"/>
                <w:szCs w:val="20"/>
                <w:u w:val="single"/>
                <w:lang w:val="en-GB"/>
              </w:rPr>
            </w:pPr>
            <w:r w:rsidRPr="00012179">
              <w:rPr>
                <w:b/>
                <w:bCs/>
                <w:sz w:val="20"/>
                <w:szCs w:val="20"/>
                <w:u w:val="single"/>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8E002F" w14:textId="77777777" w:rsidR="00012179" w:rsidRPr="00012179" w:rsidRDefault="00012179" w:rsidP="00012179">
            <w:pPr>
              <w:pStyle w:val="BodyText"/>
              <w:rPr>
                <w:b/>
                <w:bCs/>
                <w:sz w:val="20"/>
                <w:szCs w:val="20"/>
                <w:u w:val="single"/>
                <w:lang w:val="en-GB"/>
              </w:rPr>
            </w:pPr>
          </w:p>
        </w:tc>
      </w:tr>
    </w:tbl>
    <w:p w14:paraId="7C350ED8" w14:textId="77777777" w:rsidR="00012179" w:rsidRPr="00012179" w:rsidRDefault="00012179" w:rsidP="00012179">
      <w:pPr>
        <w:pStyle w:val="BodyText"/>
        <w:rPr>
          <w:b/>
          <w:bCs/>
          <w:sz w:val="20"/>
          <w:szCs w:val="20"/>
          <w:u w:val="single"/>
          <w:lang w:val="en-US"/>
        </w:rPr>
      </w:pPr>
    </w:p>
    <w:bookmarkEnd w:id="0"/>
    <w:p w14:paraId="1A8770ED" w14:textId="77777777" w:rsidR="00012179" w:rsidRPr="00012179" w:rsidRDefault="00012179" w:rsidP="00012179">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8582" w14:textId="77777777" w:rsidR="00707038" w:rsidRPr="0000007A" w:rsidRDefault="00707038" w:rsidP="0099583E">
      <w:r>
        <w:separator/>
      </w:r>
    </w:p>
  </w:endnote>
  <w:endnote w:type="continuationSeparator" w:id="0">
    <w:p w14:paraId="0BAF4E91" w14:textId="77777777" w:rsidR="00707038" w:rsidRPr="0000007A" w:rsidRDefault="007070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A1BB1" w14:textId="77777777" w:rsidR="00707038" w:rsidRPr="0000007A" w:rsidRDefault="00707038" w:rsidP="0099583E">
      <w:r>
        <w:separator/>
      </w:r>
    </w:p>
  </w:footnote>
  <w:footnote w:type="continuationSeparator" w:id="0">
    <w:p w14:paraId="1793E876" w14:textId="77777777" w:rsidR="00707038" w:rsidRPr="0000007A" w:rsidRDefault="007070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179"/>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0FCE"/>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874"/>
    <w:rsid w:val="00186C8F"/>
    <w:rsid w:val="0018753A"/>
    <w:rsid w:val="001932A8"/>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932"/>
    <w:rsid w:val="00257F9E"/>
    <w:rsid w:val="00262634"/>
    <w:rsid w:val="00275984"/>
    <w:rsid w:val="00280EC9"/>
    <w:rsid w:val="00282BEE"/>
    <w:rsid w:val="002859CC"/>
    <w:rsid w:val="00291D08"/>
    <w:rsid w:val="00293482"/>
    <w:rsid w:val="002A3CF6"/>
    <w:rsid w:val="002A3D7C"/>
    <w:rsid w:val="002A7718"/>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3A41"/>
    <w:rsid w:val="003A4991"/>
    <w:rsid w:val="003A6E1A"/>
    <w:rsid w:val="003B1D0B"/>
    <w:rsid w:val="003B2172"/>
    <w:rsid w:val="003D1BDE"/>
    <w:rsid w:val="003E4437"/>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03B1"/>
    <w:rsid w:val="00700A1D"/>
    <w:rsid w:val="00700EF2"/>
    <w:rsid w:val="00701186"/>
    <w:rsid w:val="00707038"/>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E6A60"/>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B5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1645"/>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2D2B"/>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FCE"/>
    <w:rPr>
      <w:rFonts w:ascii="Times New Roman" w:eastAsia="Times New Roman" w:hAnsi="Times New Roman"/>
      <w:sz w:val="24"/>
      <w:szCs w:val="24"/>
      <w:lang w:val="en-MY" w:eastAsia="en-GB"/>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eastAsia="en-US"/>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lang w:val="en-US" w:eastAsia="en-US"/>
    </w:rPr>
  </w:style>
  <w:style w:type="paragraph" w:styleId="BodyText">
    <w:name w:val="Body Text"/>
    <w:basedOn w:val="Normal"/>
    <w:link w:val="BodyTextChar"/>
    <w:rsid w:val="0000007A"/>
    <w:pPr>
      <w:jc w:val="both"/>
    </w:pPr>
    <w:rPr>
      <w:rFonts w:ascii="Helvetica" w:eastAsia="MS Mincho" w:hAnsi="Helvetica" w:cs="Helvetica"/>
      <w:lang w:val="fr-FR" w:eastAsia="en-US"/>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val="en-US" w:eastAsia="en-US"/>
    </w:r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val="en-US" w:eastAsia="en-US"/>
    </w:r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rPr>
      <w:lang w:val="en-US" w:eastAsia="en-US"/>
    </w:r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100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6888487">
      <w:bodyDiv w:val="1"/>
      <w:marLeft w:val="0"/>
      <w:marRight w:val="0"/>
      <w:marTop w:val="0"/>
      <w:marBottom w:val="0"/>
      <w:divBdr>
        <w:top w:val="none" w:sz="0" w:space="0" w:color="auto"/>
        <w:left w:val="none" w:sz="0" w:space="0" w:color="auto"/>
        <w:bottom w:val="none" w:sz="0" w:space="0" w:color="auto"/>
        <w:right w:val="none" w:sz="0" w:space="0" w:color="auto"/>
      </w:divBdr>
    </w:div>
    <w:div w:id="62134735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92775873">
      <w:bodyDiv w:val="1"/>
      <w:marLeft w:val="0"/>
      <w:marRight w:val="0"/>
      <w:marTop w:val="0"/>
      <w:marBottom w:val="0"/>
      <w:divBdr>
        <w:top w:val="none" w:sz="0" w:space="0" w:color="auto"/>
        <w:left w:val="none" w:sz="0" w:space="0" w:color="auto"/>
        <w:bottom w:val="none" w:sz="0" w:space="0" w:color="auto"/>
        <w:right w:val="none" w:sz="0" w:space="0" w:color="auto"/>
      </w:divBdr>
    </w:div>
    <w:div w:id="117545689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23262134">
      <w:bodyDiv w:val="1"/>
      <w:marLeft w:val="0"/>
      <w:marRight w:val="0"/>
      <w:marTop w:val="0"/>
      <w:marBottom w:val="0"/>
      <w:divBdr>
        <w:top w:val="none" w:sz="0" w:space="0" w:color="auto"/>
        <w:left w:val="none" w:sz="0" w:space="0" w:color="auto"/>
        <w:bottom w:val="none" w:sz="0" w:space="0" w:color="auto"/>
        <w:right w:val="none" w:sz="0" w:space="0" w:color="auto"/>
      </w:divBdr>
    </w:div>
    <w:div w:id="169557029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54676800">
      <w:bodyDiv w:val="1"/>
      <w:marLeft w:val="0"/>
      <w:marRight w:val="0"/>
      <w:marTop w:val="0"/>
      <w:marBottom w:val="0"/>
      <w:divBdr>
        <w:top w:val="none" w:sz="0" w:space="0" w:color="auto"/>
        <w:left w:val="none" w:sz="0" w:space="0" w:color="auto"/>
        <w:bottom w:val="none" w:sz="0" w:space="0" w:color="auto"/>
        <w:right w:val="none" w:sz="0" w:space="0" w:color="auto"/>
      </w:divBdr>
    </w:div>
    <w:div w:id="20970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97</cp:revision>
  <dcterms:created xsi:type="dcterms:W3CDTF">2023-08-30T09:21:00Z</dcterms:created>
  <dcterms:modified xsi:type="dcterms:W3CDTF">2024-12-12T12:02:00Z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