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5702B9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5702B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5702B9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5702B9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02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5702B9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5CB7505" w:rsidR="0000007A" w:rsidRPr="005702B9" w:rsidRDefault="009B7BDE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702B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"RURAL JUSTICE IN AFRICA: RETHINKING CRIME, POLICING, AND COMMUNITY SECURITY IN MARGINALISED SPACES"</w:t>
            </w:r>
          </w:p>
        </w:tc>
      </w:tr>
      <w:tr w:rsidR="0000007A" w:rsidRPr="005702B9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5702B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02B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3792526" w:rsidR="0000007A" w:rsidRPr="005702B9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570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570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570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BC21D6" w:rsidRPr="00570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5912.6</w:t>
            </w:r>
          </w:p>
        </w:tc>
      </w:tr>
      <w:tr w:rsidR="0000007A" w:rsidRPr="005702B9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5702B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02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9BBA7DF" w:rsidR="0000007A" w:rsidRPr="005702B9" w:rsidRDefault="009D218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5702B9">
              <w:rPr>
                <w:rFonts w:ascii="Arial" w:hAnsi="Arial" w:cs="Arial"/>
                <w:b/>
                <w:sz w:val="20"/>
                <w:szCs w:val="20"/>
                <w:lang w:val="en-GB"/>
              </w:rPr>
              <w:t>THEORETICAL AND METHODOLOGICAL CHALLENGES IN RESEARCHING RURAL CRIME IN AFRICAN CONTEXTS, INCLUDING THE NEED FOR DECOLONISED AND LOCALLY INFORMED FRAMEWORKS</w:t>
            </w:r>
          </w:p>
        </w:tc>
      </w:tr>
      <w:tr w:rsidR="00CF0BBB" w:rsidRPr="005702B9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5702B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02B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CB20171" w:rsidR="00CF0BBB" w:rsidRPr="005702B9" w:rsidRDefault="00BC21D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702B9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5702B9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5702B9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5702B9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5702B9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5702B9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5702B9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5702B9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5702B9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5702B9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5702B9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5702B9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3108DB81" w:rsidR="00E03C32" w:rsidRDefault="00A97957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A9795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MRS Journal of Multidisciplinary Research and Studies, 2 (6),13-26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01AB7E9D" w:rsidR="00E03C32" w:rsidRPr="00A97957" w:rsidRDefault="00A97957" w:rsidP="00A97957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</w:pPr>
                  <w:r w:rsidRPr="00A97957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DOI: </w:t>
                  </w:r>
                  <w:hyperlink r:id="rId7" w:history="1">
                    <w:r w:rsidRPr="00B7112C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pt-BR"/>
                      </w:rPr>
                      <w:t>https://doi.org/10.5281/zenodo.15617554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5702B9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5702B9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5702B9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5702B9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5702B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702B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702B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5702B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702B9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5702B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5702B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702B9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5702B9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02B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5702B9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5702B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702B9">
              <w:rPr>
                <w:rFonts w:ascii="Arial" w:hAnsi="Arial" w:cs="Arial"/>
                <w:lang w:val="en-GB"/>
              </w:rPr>
              <w:t>Author’s Feedback</w:t>
            </w:r>
            <w:r w:rsidRPr="005702B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702B9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5702B9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5702B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0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5702B9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B04004A" w14:textId="77777777" w:rsidR="00F1171E" w:rsidRPr="005702B9" w:rsidRDefault="00BC2DC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0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Article is of great importance for the following reasons:</w:t>
            </w:r>
          </w:p>
          <w:p w14:paraId="6DD07502" w14:textId="77777777" w:rsidR="00BC2DCE" w:rsidRPr="005702B9" w:rsidRDefault="00BC2DCE" w:rsidP="00BC2DC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02B9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</w:t>
            </w:r>
            <w:r w:rsidRPr="00570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5702B9">
              <w:rPr>
                <w:rFonts w:ascii="Arial" w:hAnsi="Arial" w:cs="Arial"/>
                <w:sz w:val="20"/>
                <w:szCs w:val="20"/>
              </w:rPr>
              <w:t xml:space="preserve">need for a </w:t>
            </w:r>
            <w:proofErr w:type="spellStart"/>
            <w:r w:rsidRPr="005702B9">
              <w:rPr>
                <w:rFonts w:ascii="Arial" w:hAnsi="Arial" w:cs="Arial"/>
                <w:sz w:val="20"/>
                <w:szCs w:val="20"/>
              </w:rPr>
              <w:t>decolonised</w:t>
            </w:r>
            <w:proofErr w:type="spellEnd"/>
            <w:r w:rsidRPr="005702B9">
              <w:rPr>
                <w:rFonts w:ascii="Arial" w:hAnsi="Arial" w:cs="Arial"/>
                <w:sz w:val="20"/>
                <w:szCs w:val="20"/>
              </w:rPr>
              <w:t xml:space="preserve"> and locally informed criminological framework that reflects the socio- cultural, economic, and historical realities of rural African communities.</w:t>
            </w:r>
          </w:p>
          <w:p w14:paraId="2DD2DFF7" w14:textId="77777777" w:rsidR="00BC2DCE" w:rsidRPr="005702B9" w:rsidRDefault="00BC2DCE" w:rsidP="00BC2DC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02B9">
              <w:rPr>
                <w:rFonts w:ascii="Arial" w:hAnsi="Arial" w:cs="Arial"/>
                <w:sz w:val="20"/>
                <w:szCs w:val="20"/>
              </w:rPr>
              <w:t>The paper seeks to draw insight to the fact that rural crime remains an under-explored area in African criminology, often overshadowed by urban-centric models and Western paradigms that fail to address the continent’s unique local conditions.</w:t>
            </w:r>
          </w:p>
          <w:p w14:paraId="356B746B" w14:textId="77777777" w:rsidR="00BC2DCE" w:rsidRPr="005702B9" w:rsidRDefault="00BC2DCE" w:rsidP="00BC2DC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02B9">
              <w:rPr>
                <w:rFonts w:ascii="Arial" w:hAnsi="Arial" w:cs="Arial"/>
                <w:sz w:val="20"/>
                <w:szCs w:val="20"/>
              </w:rPr>
              <w:t>The study seeks to centre African experiences, values, and justice practices within rural criminological inquiry to develop more responsive and sustainable crime prevention strategies.</w:t>
            </w:r>
          </w:p>
          <w:p w14:paraId="7DBC9196" w14:textId="56BF90F7" w:rsidR="00926A00" w:rsidRPr="005702B9" w:rsidRDefault="00926A00" w:rsidP="00BC2DC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02B9">
              <w:rPr>
                <w:rFonts w:ascii="Arial" w:hAnsi="Arial" w:cs="Arial"/>
                <w:sz w:val="20"/>
                <w:szCs w:val="20"/>
              </w:rPr>
              <w:t xml:space="preserve">It </w:t>
            </w:r>
            <w:proofErr w:type="gramStart"/>
            <w:r w:rsidRPr="005702B9">
              <w:rPr>
                <w:rFonts w:ascii="Arial" w:hAnsi="Arial" w:cs="Arial"/>
                <w:sz w:val="20"/>
                <w:szCs w:val="20"/>
              </w:rPr>
              <w:t>seek</w:t>
            </w:r>
            <w:proofErr w:type="gramEnd"/>
            <w:r w:rsidRPr="005702B9">
              <w:rPr>
                <w:rFonts w:ascii="Arial" w:hAnsi="Arial" w:cs="Arial"/>
                <w:sz w:val="20"/>
                <w:szCs w:val="20"/>
              </w:rPr>
              <w:t xml:space="preserve"> to theoretical framework best fit for African criminological experience.</w:t>
            </w:r>
          </w:p>
        </w:tc>
        <w:tc>
          <w:tcPr>
            <w:tcW w:w="1523" w:type="pct"/>
          </w:tcPr>
          <w:p w14:paraId="462A339C" w14:textId="77777777" w:rsidR="00F1171E" w:rsidRPr="005702B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702B9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5702B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0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5702B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0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5702B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8956A8F" w14:textId="77777777" w:rsidR="00F1171E" w:rsidRPr="005702B9" w:rsidRDefault="00926A00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0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No. Rather </w:t>
            </w:r>
            <w:proofErr w:type="spellStart"/>
            <w:r w:rsidRPr="00570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adaopt</w:t>
            </w:r>
            <w:proofErr w:type="spellEnd"/>
            <w:r w:rsidRPr="00570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:</w:t>
            </w:r>
          </w:p>
          <w:p w14:paraId="794AA9A7" w14:textId="7BD1FC27" w:rsidR="00926A00" w:rsidRPr="005702B9" w:rsidRDefault="00926A00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0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THEORETICAL AND METHODOLOGICAL CHALLENGES IN STUDYING RURAL CRIME IN AFRICAN CONTEXTS: THE NEED FOR DECOLONISED AND LOCALLY INFORMED FRAMEWORK.</w:t>
            </w:r>
          </w:p>
        </w:tc>
        <w:tc>
          <w:tcPr>
            <w:tcW w:w="1523" w:type="pct"/>
          </w:tcPr>
          <w:p w14:paraId="405B6701" w14:textId="77777777" w:rsidR="00F1171E" w:rsidRPr="005702B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702B9" w14:paraId="5604762A" w14:textId="77777777" w:rsidTr="00DE2497">
        <w:trPr>
          <w:trHeight w:val="773"/>
        </w:trPr>
        <w:tc>
          <w:tcPr>
            <w:tcW w:w="1265" w:type="pct"/>
            <w:noWrap/>
          </w:tcPr>
          <w:p w14:paraId="3635573D" w14:textId="77777777" w:rsidR="00F1171E" w:rsidRPr="005702B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702B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5702B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06CC46F9" w:rsidR="00F1171E" w:rsidRPr="005702B9" w:rsidRDefault="00926A00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0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IS PERFECTLY OKAY</w:t>
            </w:r>
          </w:p>
        </w:tc>
        <w:tc>
          <w:tcPr>
            <w:tcW w:w="1523" w:type="pct"/>
          </w:tcPr>
          <w:p w14:paraId="1D54B730" w14:textId="77777777" w:rsidR="00F1171E" w:rsidRPr="005702B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702B9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5702B9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70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029C2EAA" w:rsidR="00F1171E" w:rsidRPr="005702B9" w:rsidRDefault="00926A0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0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scientifically correct. As the claims are empirically backed.</w:t>
            </w:r>
          </w:p>
        </w:tc>
        <w:tc>
          <w:tcPr>
            <w:tcW w:w="1523" w:type="pct"/>
          </w:tcPr>
          <w:p w14:paraId="4898F764" w14:textId="77777777" w:rsidR="00F1171E" w:rsidRPr="005702B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702B9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5702B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0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5702B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702B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32B4E812" w14:textId="77777777" w:rsidR="00F1171E" w:rsidRPr="005702B9" w:rsidRDefault="00926A0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0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Let the author revisit the references, first </w:t>
            </w:r>
            <w:proofErr w:type="spellStart"/>
            <w:r w:rsidRPr="00570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Alhabetically</w:t>
            </w:r>
            <w:proofErr w:type="spellEnd"/>
            <w:r w:rsidRPr="00570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line with APA(7</w:t>
            </w:r>
            <w:r w:rsidRPr="005702B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th</w:t>
            </w:r>
            <w:r w:rsidRPr="00570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) edition format.</w:t>
            </w:r>
          </w:p>
          <w:p w14:paraId="41BBF3EF" w14:textId="77777777" w:rsidR="00926A00" w:rsidRPr="005702B9" w:rsidRDefault="00926A00" w:rsidP="00926A0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0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Intext citation- 24</w:t>
            </w:r>
          </w:p>
          <w:p w14:paraId="51FB9997" w14:textId="01142C6D" w:rsidR="00926A00" w:rsidRPr="005702B9" w:rsidRDefault="00926A00" w:rsidP="00926A0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0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References – 18</w:t>
            </w:r>
          </w:p>
          <w:p w14:paraId="1076F736" w14:textId="77777777" w:rsidR="00926A00" w:rsidRPr="005702B9" w:rsidRDefault="00926A00" w:rsidP="00926A0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0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Missing </w:t>
            </w:r>
            <w:proofErr w:type="spellStart"/>
            <w:r w:rsidRPr="00570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refernces</w:t>
            </w:r>
            <w:proofErr w:type="spellEnd"/>
            <w:r w:rsidRPr="00570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-6</w:t>
            </w:r>
          </w:p>
          <w:p w14:paraId="12499AFB" w14:textId="77777777" w:rsidR="00926A00" w:rsidRPr="005702B9" w:rsidRDefault="00926A00" w:rsidP="00926A00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3BE8569" w14:textId="77777777" w:rsidR="00926A00" w:rsidRPr="005702B9" w:rsidRDefault="00926A00" w:rsidP="00926A00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70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These are the missing </w:t>
            </w:r>
            <w:proofErr w:type="spellStart"/>
            <w:r w:rsidRPr="00570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Refernces</w:t>
            </w:r>
            <w:proofErr w:type="spellEnd"/>
            <w:r w:rsidRPr="00570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:</w:t>
            </w:r>
          </w:p>
          <w:p w14:paraId="0F7F6610" w14:textId="062B7A73" w:rsidR="00926A00" w:rsidRPr="005702B9" w:rsidRDefault="00926A00" w:rsidP="00926A00">
            <w:pPr>
              <w:pStyle w:val="ListParagraph"/>
              <w:tabs>
                <w:tab w:val="left" w:pos="1157"/>
              </w:tabs>
              <w:spacing w:before="118" w:line="276" w:lineRule="auto"/>
              <w:ind w:left="1877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nl-BE"/>
              </w:rPr>
            </w:pPr>
            <w:r w:rsidRPr="005702B9"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nl-BE"/>
              </w:rPr>
              <w:t>Parnel, 2016</w:t>
            </w:r>
          </w:p>
          <w:p w14:paraId="257B3EF8" w14:textId="77777777" w:rsidR="00926A00" w:rsidRPr="005702B9" w:rsidRDefault="00926A00" w:rsidP="00926A00">
            <w:pPr>
              <w:widowControl w:val="0"/>
              <w:tabs>
                <w:tab w:val="left" w:pos="1157"/>
              </w:tabs>
              <w:autoSpaceDE w:val="0"/>
              <w:autoSpaceDN w:val="0"/>
              <w:spacing w:before="118" w:line="276" w:lineRule="auto"/>
              <w:ind w:left="1877" w:right="38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nl-BE"/>
              </w:rPr>
            </w:pPr>
            <w:r w:rsidRPr="005702B9"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nl-BE"/>
              </w:rPr>
              <w:t>Schapera, 2020</w:t>
            </w:r>
          </w:p>
          <w:p w14:paraId="042B6AB1" w14:textId="77777777" w:rsidR="00926A00" w:rsidRPr="005702B9" w:rsidRDefault="00926A00" w:rsidP="00926A00">
            <w:pPr>
              <w:widowControl w:val="0"/>
              <w:tabs>
                <w:tab w:val="left" w:pos="1157"/>
              </w:tabs>
              <w:autoSpaceDE w:val="0"/>
              <w:autoSpaceDN w:val="0"/>
              <w:spacing w:before="118" w:line="276" w:lineRule="auto"/>
              <w:ind w:left="1877" w:right="38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nl-BE"/>
              </w:rPr>
            </w:pPr>
            <w:r w:rsidRPr="005702B9"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nl-BE"/>
              </w:rPr>
              <w:t>Hassin, 2016</w:t>
            </w:r>
          </w:p>
          <w:p w14:paraId="10A8BD6E" w14:textId="77777777" w:rsidR="00926A00" w:rsidRPr="005702B9" w:rsidRDefault="00926A00" w:rsidP="00926A00">
            <w:pPr>
              <w:widowControl w:val="0"/>
              <w:tabs>
                <w:tab w:val="left" w:pos="1157"/>
              </w:tabs>
              <w:autoSpaceDE w:val="0"/>
              <w:autoSpaceDN w:val="0"/>
              <w:spacing w:before="118" w:line="276" w:lineRule="auto"/>
              <w:ind w:left="1877" w:right="38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nl-BE"/>
              </w:rPr>
            </w:pPr>
            <w:r w:rsidRPr="005702B9"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nl-BE"/>
              </w:rPr>
              <w:t>Kritzinger, 2018</w:t>
            </w:r>
          </w:p>
          <w:p w14:paraId="3477D01F" w14:textId="77777777" w:rsidR="00926A00" w:rsidRPr="005702B9" w:rsidRDefault="00926A00" w:rsidP="00926A00">
            <w:pPr>
              <w:widowControl w:val="0"/>
              <w:tabs>
                <w:tab w:val="left" w:pos="1157"/>
              </w:tabs>
              <w:autoSpaceDE w:val="0"/>
              <w:autoSpaceDN w:val="0"/>
              <w:spacing w:before="118" w:line="276" w:lineRule="auto"/>
              <w:ind w:left="1877" w:right="38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nl-BE"/>
              </w:rPr>
            </w:pPr>
            <w:r w:rsidRPr="005702B9"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  <w:lang w:val="nl-BE"/>
              </w:rPr>
              <w:t>Kanyinga, 2021</w:t>
            </w:r>
          </w:p>
          <w:p w14:paraId="737800B6" w14:textId="77777777" w:rsidR="00926A00" w:rsidRPr="005702B9" w:rsidRDefault="00926A00" w:rsidP="00926A00">
            <w:pPr>
              <w:widowControl w:val="0"/>
              <w:tabs>
                <w:tab w:val="left" w:pos="1157"/>
              </w:tabs>
              <w:autoSpaceDE w:val="0"/>
              <w:autoSpaceDN w:val="0"/>
              <w:spacing w:before="118" w:line="276" w:lineRule="auto"/>
              <w:ind w:left="1877" w:right="38"/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</w:rPr>
            </w:pPr>
            <w:r w:rsidRPr="005702B9">
              <w:rPr>
                <w:rFonts w:ascii="Arial" w:hAnsi="Arial" w:cs="Arial"/>
                <w:b/>
                <w:color w:val="984806" w:themeColor="accent6" w:themeShade="80"/>
                <w:sz w:val="20"/>
                <w:szCs w:val="20"/>
              </w:rPr>
              <w:t>Pillay, 2020</w:t>
            </w:r>
          </w:p>
          <w:p w14:paraId="24FE0567" w14:textId="3F10C335" w:rsidR="00926A00" w:rsidRPr="005702B9" w:rsidRDefault="00926A00" w:rsidP="00926A00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5702B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702B9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5702B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5702B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702B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5702B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43908745" w:rsidR="00F1171E" w:rsidRPr="005702B9" w:rsidRDefault="00657DF5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702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Yes </w:t>
            </w:r>
          </w:p>
          <w:p w14:paraId="6CBA4B2A" w14:textId="77777777" w:rsidR="00F1171E" w:rsidRPr="005702B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919B059" w:rsidR="00F1171E" w:rsidRPr="005702B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5702B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702B9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5702B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702B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702B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702B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5702B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1B71E631" w:rsidR="00F1171E" w:rsidRPr="005702B9" w:rsidRDefault="00657DF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02B9">
              <w:rPr>
                <w:rFonts w:ascii="Arial" w:hAnsi="Arial" w:cs="Arial"/>
                <w:sz w:val="20"/>
                <w:szCs w:val="20"/>
                <w:lang w:val="en-GB"/>
              </w:rPr>
              <w:t xml:space="preserve">This paper is key as it relates to broadening, widening and deepening our understanding of African </w:t>
            </w:r>
            <w:proofErr w:type="spellStart"/>
            <w:r w:rsidRPr="005702B9">
              <w:rPr>
                <w:rFonts w:ascii="Arial" w:hAnsi="Arial" w:cs="Arial"/>
                <w:sz w:val="20"/>
                <w:szCs w:val="20"/>
                <w:lang w:val="en-GB"/>
              </w:rPr>
              <w:t>crimonolgical</w:t>
            </w:r>
            <w:proofErr w:type="spellEnd"/>
            <w:r w:rsidRPr="005702B9">
              <w:rPr>
                <w:rFonts w:ascii="Arial" w:hAnsi="Arial" w:cs="Arial"/>
                <w:sz w:val="20"/>
                <w:szCs w:val="20"/>
                <w:lang w:val="en-GB"/>
              </w:rPr>
              <w:t xml:space="preserve"> experience using theories best for African context, thereby departing from applying western theories in the Arican context.</w:t>
            </w:r>
          </w:p>
          <w:p w14:paraId="7B989D8B" w14:textId="28E0E318" w:rsidR="00657DF5" w:rsidRPr="005702B9" w:rsidRDefault="00657DF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92E4582" w:rsidR="00F1171E" w:rsidRPr="005702B9" w:rsidRDefault="00657DF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702B9">
              <w:rPr>
                <w:rFonts w:ascii="Arial" w:hAnsi="Arial" w:cs="Arial"/>
                <w:sz w:val="20"/>
                <w:szCs w:val="20"/>
                <w:lang w:val="en-GB"/>
              </w:rPr>
              <w:t>The author should apply Situational Action Theory (SAT) relating it to African Context.</w:t>
            </w:r>
          </w:p>
          <w:p w14:paraId="15DFD0E8" w14:textId="77777777" w:rsidR="00F1171E" w:rsidRPr="005702B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5702B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5702B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5702B9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5702B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702B9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702B9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5702B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5702B9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5702B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5702B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702B9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5702B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702B9">
              <w:rPr>
                <w:rFonts w:ascii="Arial" w:hAnsi="Arial" w:cs="Arial"/>
                <w:lang w:val="en-GB"/>
              </w:rPr>
              <w:t>Author’s comment</w:t>
            </w:r>
            <w:r w:rsidRPr="005702B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702B9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5702B9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5702B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702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5702B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5702B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702B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702B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702B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B654B67" w14:textId="28577234" w:rsidR="00F1171E" w:rsidRPr="005702B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5702B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5702B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5702B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5702B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B4FC9E1" w14:textId="77777777" w:rsidR="005702B9" w:rsidRPr="00630875" w:rsidRDefault="005702B9" w:rsidP="005702B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30875">
        <w:rPr>
          <w:rFonts w:ascii="Arial" w:hAnsi="Arial" w:cs="Arial"/>
          <w:b/>
          <w:u w:val="single"/>
        </w:rPr>
        <w:t>Reviewer details:</w:t>
      </w:r>
    </w:p>
    <w:p w14:paraId="5F0080D9" w14:textId="77777777" w:rsidR="005702B9" w:rsidRPr="00630875" w:rsidRDefault="005702B9" w:rsidP="005702B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315BE2F1" w14:textId="77777777" w:rsidR="005702B9" w:rsidRPr="00630875" w:rsidRDefault="005702B9" w:rsidP="005702B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30875">
        <w:rPr>
          <w:rFonts w:ascii="Arial" w:hAnsi="Arial" w:cs="Arial"/>
          <w:b/>
          <w:color w:val="000000"/>
        </w:rPr>
        <w:t xml:space="preserve">Aristotle </w:t>
      </w:r>
      <w:proofErr w:type="spellStart"/>
      <w:r w:rsidRPr="00630875">
        <w:rPr>
          <w:rFonts w:ascii="Arial" w:hAnsi="Arial" w:cs="Arial"/>
          <w:b/>
          <w:color w:val="000000"/>
        </w:rPr>
        <w:t>Idongesit</w:t>
      </w:r>
      <w:proofErr w:type="spellEnd"/>
      <w:r w:rsidRPr="00630875">
        <w:rPr>
          <w:rFonts w:ascii="Arial" w:hAnsi="Arial" w:cs="Arial"/>
          <w:b/>
          <w:color w:val="000000"/>
        </w:rPr>
        <w:t xml:space="preserve"> Isaac Jacobs, Nigeria</w:t>
      </w:r>
    </w:p>
    <w:p w14:paraId="08A64990" w14:textId="77777777" w:rsidR="005702B9" w:rsidRPr="005702B9" w:rsidRDefault="005702B9">
      <w:pPr>
        <w:rPr>
          <w:rFonts w:ascii="Arial" w:hAnsi="Arial" w:cs="Arial"/>
          <w:b/>
          <w:sz w:val="20"/>
          <w:szCs w:val="20"/>
        </w:rPr>
      </w:pPr>
    </w:p>
    <w:sectPr w:rsidR="005702B9" w:rsidRPr="005702B9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40EE3" w14:textId="77777777" w:rsidR="003102BB" w:rsidRPr="0000007A" w:rsidRDefault="003102BB" w:rsidP="0099583E">
      <w:r>
        <w:separator/>
      </w:r>
    </w:p>
  </w:endnote>
  <w:endnote w:type="continuationSeparator" w:id="0">
    <w:p w14:paraId="3FF23AC2" w14:textId="77777777" w:rsidR="003102BB" w:rsidRPr="0000007A" w:rsidRDefault="003102B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6DCCC" w14:textId="77777777" w:rsidR="003102BB" w:rsidRPr="0000007A" w:rsidRDefault="003102BB" w:rsidP="0099583E">
      <w:r>
        <w:separator/>
      </w:r>
    </w:p>
  </w:footnote>
  <w:footnote w:type="continuationSeparator" w:id="0">
    <w:p w14:paraId="3118F130" w14:textId="77777777" w:rsidR="003102BB" w:rsidRPr="0000007A" w:rsidRDefault="003102B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97748D3"/>
    <w:multiLevelType w:val="hybridMultilevel"/>
    <w:tmpl w:val="F8100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945B2D"/>
    <w:multiLevelType w:val="hybridMultilevel"/>
    <w:tmpl w:val="436CDB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081038">
    <w:abstractNumId w:val="3"/>
  </w:num>
  <w:num w:numId="2" w16cid:durableId="220285555">
    <w:abstractNumId w:val="6"/>
  </w:num>
  <w:num w:numId="3" w16cid:durableId="876696815">
    <w:abstractNumId w:val="5"/>
  </w:num>
  <w:num w:numId="4" w16cid:durableId="1247764763">
    <w:abstractNumId w:val="8"/>
  </w:num>
  <w:num w:numId="5" w16cid:durableId="1634216397">
    <w:abstractNumId w:val="4"/>
  </w:num>
  <w:num w:numId="6" w16cid:durableId="325979231">
    <w:abstractNumId w:val="0"/>
  </w:num>
  <w:num w:numId="7" w16cid:durableId="1019427779">
    <w:abstractNumId w:val="1"/>
  </w:num>
  <w:num w:numId="8" w16cid:durableId="2001346761">
    <w:abstractNumId w:val="10"/>
  </w:num>
  <w:num w:numId="9" w16cid:durableId="292951006">
    <w:abstractNumId w:val="9"/>
  </w:num>
  <w:num w:numId="10" w16cid:durableId="1275942607">
    <w:abstractNumId w:val="2"/>
  </w:num>
  <w:num w:numId="11" w16cid:durableId="633147217">
    <w:abstractNumId w:val="7"/>
  </w:num>
  <w:num w:numId="12" w16cid:durableId="15825691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02BB"/>
    <w:rsid w:val="00312559"/>
    <w:rsid w:val="003204B8"/>
    <w:rsid w:val="00326D7D"/>
    <w:rsid w:val="0033018A"/>
    <w:rsid w:val="0033692F"/>
    <w:rsid w:val="00353718"/>
    <w:rsid w:val="003647FE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B2F34"/>
    <w:rsid w:val="003D1BDE"/>
    <w:rsid w:val="003E746A"/>
    <w:rsid w:val="003F3344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4F7FAA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02B9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67A"/>
    <w:rsid w:val="006478EB"/>
    <w:rsid w:val="006532DF"/>
    <w:rsid w:val="0065409E"/>
    <w:rsid w:val="0065579D"/>
    <w:rsid w:val="00657DF5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146F"/>
    <w:rsid w:val="00706781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26A00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96A90"/>
    <w:rsid w:val="009A0242"/>
    <w:rsid w:val="009A59ED"/>
    <w:rsid w:val="009B101F"/>
    <w:rsid w:val="009B239B"/>
    <w:rsid w:val="009B7BDE"/>
    <w:rsid w:val="009C5642"/>
    <w:rsid w:val="009D2183"/>
    <w:rsid w:val="009E13C3"/>
    <w:rsid w:val="009E6A30"/>
    <w:rsid w:val="009F07D4"/>
    <w:rsid w:val="009F29EB"/>
    <w:rsid w:val="009F4AF2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56F2B"/>
    <w:rsid w:val="00A65C50"/>
    <w:rsid w:val="00A8290F"/>
    <w:rsid w:val="00A97957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21D6"/>
    <w:rsid w:val="00BC2DCE"/>
    <w:rsid w:val="00BC402F"/>
    <w:rsid w:val="00BD0DF5"/>
    <w:rsid w:val="00BD2AB0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2497"/>
    <w:rsid w:val="00DE7D30"/>
    <w:rsid w:val="00DF04E3"/>
    <w:rsid w:val="00E02745"/>
    <w:rsid w:val="00E03C32"/>
    <w:rsid w:val="00E3111A"/>
    <w:rsid w:val="00E451EA"/>
    <w:rsid w:val="00E50E30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5123"/>
    <w:rsid w:val="00EB6E15"/>
    <w:rsid w:val="00EB73C7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85865"/>
    <w:rsid w:val="00F90823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702B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5281/zenodo.156175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116</cp:revision>
  <dcterms:created xsi:type="dcterms:W3CDTF">2023-08-30T09:21:00Z</dcterms:created>
  <dcterms:modified xsi:type="dcterms:W3CDTF">2025-07-04T10:41:00Z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