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F1DD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F1DDB" w:rsidRDefault="00602F7D" w:rsidP="00FA6A3D">
            <w:pPr>
              <w:pStyle w:val="Heading2"/>
              <w:tabs>
                <w:tab w:val="left" w:pos="18701"/>
              </w:tabs>
              <w:ind w:hanging="1260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F1DD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F1DD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F1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5CB7505" w:rsidR="0000007A" w:rsidRPr="00AF1DDB" w:rsidRDefault="009B7BD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"RURAL JUSTICE IN AFRICA: RETHINKING CRIME, POLICING, AND COMMUNITY SECURITY IN MARGINALISED SPACES"</w:t>
            </w:r>
          </w:p>
        </w:tc>
      </w:tr>
      <w:tr w:rsidR="0000007A" w:rsidRPr="00AF1DD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F1D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3792526" w:rsidR="0000007A" w:rsidRPr="00AF1DD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C21D6"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5912.6</w:t>
            </w:r>
          </w:p>
        </w:tc>
      </w:tr>
      <w:tr w:rsidR="0000007A" w:rsidRPr="00AF1DD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F1D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9BBA7DF" w:rsidR="0000007A" w:rsidRPr="00AF1DDB" w:rsidRDefault="009D21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>THEORETICAL AND METHODOLOGICAL CHALLENGES IN RESEARCHING RURAL CRIME IN AFRICAN CONTEXTS, INCLUDING THE NEED FOR DECOLONISED AND LOCALLY INFORMED FRAMEWORKS</w:t>
            </w:r>
          </w:p>
        </w:tc>
      </w:tr>
      <w:tr w:rsidR="00CF0BBB" w:rsidRPr="00AF1DD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F1DD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CB20171" w:rsidR="00CF0BBB" w:rsidRPr="00AF1DDB" w:rsidRDefault="00BC21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F1DD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AF1DDB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AF1DD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F1DD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AF1DD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AF1DD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F1DD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9F66F3D" w:rsidR="00640538" w:rsidRPr="00AF1DDB" w:rsidRDefault="00FA6A3D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F1DD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12FF5" wp14:editId="0947939C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3108DB81" w:rsidR="00E03C32" w:rsidRDefault="00A97957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A9795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MRS Journal of Multidisciplinary Research and Studies, 2 (6),13-26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01AB7E9D" w:rsidR="00E03C32" w:rsidRPr="00A97957" w:rsidRDefault="00A97957" w:rsidP="00A9795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 w:rsidRPr="00A9795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DOI: </w:t>
                            </w:r>
                            <w:hyperlink r:id="rId7" w:history="1">
                              <w:r w:rsidRPr="00B7112C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pt-BR"/>
                                </w:rPr>
                                <w:t>https://doi.org/10.5281/zenodo.15617554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3108DB81" w:rsidR="00E03C32" w:rsidRDefault="00A97957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A9795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MRS Journal of Multidisciplinary Research and Studies, 2 (6),13-26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01AB7E9D" w:rsidR="00E03C32" w:rsidRPr="00A97957" w:rsidRDefault="00A97957" w:rsidP="00A9795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 w:rsidRPr="00A9795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DOI: </w:t>
                      </w:r>
                      <w:hyperlink r:id="rId8" w:history="1">
                        <w:r w:rsidRPr="00B7112C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pt-BR"/>
                          </w:rPr>
                          <w:t>https://doi.org/10.5281/zenodo.15617554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AF1DDB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F1DD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AF1DD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F1DDB" w14:paraId="71A94C1F" w14:textId="77777777" w:rsidTr="70CBB41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1DD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F1DD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F1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F1DDB" w14:paraId="5EA12279" w14:textId="77777777" w:rsidTr="70CBB413">
        <w:tc>
          <w:tcPr>
            <w:tcW w:w="1265" w:type="pct"/>
            <w:noWrap/>
          </w:tcPr>
          <w:p w14:paraId="7AE9682F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1DD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F1DD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F1DD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F1DDB">
              <w:rPr>
                <w:rFonts w:ascii="Arial" w:hAnsi="Arial" w:cs="Arial"/>
                <w:lang w:val="en-GB"/>
              </w:rPr>
              <w:t>Author’s Feedback</w:t>
            </w:r>
            <w:r w:rsidRPr="00AF1DD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F1DD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F1DDB" w14:paraId="5C0AB4EC" w14:textId="77777777" w:rsidTr="70CBB413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F1D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F1DD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5696223" w:rsidR="00F1171E" w:rsidRPr="00AF1DDB" w:rsidRDefault="4978DD8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makes a significant contribution to criminology by addressing the underexplored area of rural crime in Africa through a decolonised lens. It critiques Western-centric frameworks and advocates for integrating indigenous knowledge systems, traditional justice mechanisms, and socio-economic realities into criminological research.  Also, its interdisciplinary approach (bridging criminology, anthropology, and political economy) enriches academic discourse and offers practical insights for policymakers and law enforcement in rural Africa.</w:t>
            </w:r>
          </w:p>
        </w:tc>
        <w:tc>
          <w:tcPr>
            <w:tcW w:w="1523" w:type="pct"/>
          </w:tcPr>
          <w:p w14:paraId="462A339C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1DDB" w14:paraId="0D8B5B2C" w14:textId="77777777" w:rsidTr="70CBB413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F1D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F1D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7EAA39B" w14:textId="77777777" w:rsidR="00205DF1" w:rsidRPr="00AF1DDB" w:rsidRDefault="00205DF1" w:rsidP="70CBB4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6203D40B" w:rsidR="00F1171E" w:rsidRPr="00AF1DDB" w:rsidRDefault="3150D557" w:rsidP="70CBB4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comprehensive and accurately reflects the manuscript’s focus. However, it could be slightly streamlined for clarity:</w:t>
            </w:r>
            <w:r w:rsidR="00F1171E" w:rsidRPr="00AF1DDB">
              <w:rPr>
                <w:rFonts w:ascii="Arial" w:hAnsi="Arial" w:cs="Arial"/>
                <w:sz w:val="20"/>
                <w:szCs w:val="20"/>
              </w:rPr>
              <w:br/>
            </w: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Suggested Alternative: Decolonising Rural Criminology in Africa: Integrating Indigenous Knowledge and Local Realities</w:t>
            </w:r>
          </w:p>
        </w:tc>
        <w:tc>
          <w:tcPr>
            <w:tcW w:w="1523" w:type="pct"/>
          </w:tcPr>
          <w:p w14:paraId="405B6701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1DDB" w14:paraId="5604762A" w14:textId="77777777" w:rsidTr="70CBB413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F1DD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F1DD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8EC104B" w14:textId="6CCF47A2" w:rsidR="00F1171E" w:rsidRPr="00AF1DDB" w:rsidRDefault="72420FE8" w:rsidP="70CBB4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effectively summarizes the study’s aims, methods, and contributions. However, the author(s) could enhance it</w:t>
            </w:r>
            <w:r w:rsidR="0BDB2A74"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providing a</w:t>
            </w: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brief mention of the theoretical frameworks used (e.g., decolonised criminology, restorative justice).</w:t>
            </w:r>
            <w:r w:rsidR="556A3D73"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the</w:t>
            </w: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geographical scope (e.g., focusing on Southern and East Africa) to contextualize the literature reviewed.</w:t>
            </w:r>
          </w:p>
          <w:p w14:paraId="0FB7E83A" w14:textId="67C725A4" w:rsidR="00F1171E" w:rsidRPr="00AF1D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1DDB" w14:paraId="2F579F54" w14:textId="77777777" w:rsidTr="70CBB413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F1DD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4B73555" w:rsidR="00F1171E" w:rsidRPr="00AF1DDB" w:rsidRDefault="75B4634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robust, by employing a systematic literature review (2000–2024), critical engagement with Western criminological theories (e.g., Hirschi’s Social Control Theory) and integration of African scholars (e.g., Mbembe, Mamdani) to challenge Eurocentric paradigms.</w:t>
            </w:r>
            <w:r w:rsidR="74C38ECF"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However, there are l</w:t>
            </w: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imited empirical data from Francophone and North African regions</w:t>
            </w:r>
            <w:r w:rsidR="3432C0AC"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u</w:t>
            </w: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nderdeveloped discussion on gender dynamics in rural crime</w:t>
            </w:r>
            <w:r w:rsidR="7FE0A339"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98F764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1DDB" w14:paraId="73739464" w14:textId="77777777" w:rsidTr="70CBB413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F1D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F1DD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F946F8A" w14:textId="77777777" w:rsidR="00205DF1" w:rsidRPr="00AF1DDB" w:rsidRDefault="00205DF1" w:rsidP="70CBB4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FA82D55" w14:textId="0F934395" w:rsidR="00F1171E" w:rsidRPr="00AF1DDB" w:rsidRDefault="0D4E9C09" w:rsidP="70CBB41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largely current (2020–2024) and relevant, however, more examples from West Africa (e.g., Ghana, Nigeria) to complement the Southern Africa focus.</w:t>
            </w:r>
          </w:p>
          <w:p w14:paraId="24FE0567" w14:textId="3ADA592B" w:rsidR="00F1171E" w:rsidRPr="00AF1DDB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1DDB" w14:paraId="73CC4A50" w14:textId="77777777" w:rsidTr="70CBB413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F1DD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F1DD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F1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1A62F954" w:rsidR="00F1171E" w:rsidRPr="00AF1DDB" w:rsidRDefault="38320CFD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language is scholarly and accessible, but minor edits are needed. The author (s) could replace underexplored with under-researched for precision.</w:t>
            </w:r>
            <w:r w:rsidR="048F86C3"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Also, avoid r</w:t>
            </w:r>
            <w:r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edundant phrases (e.g., both historical and contemporary </w:t>
            </w:r>
            <w:r w:rsidR="169D126F"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>--</w:t>
            </w:r>
            <w:r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historical and contemporary).</w:t>
            </w:r>
          </w:p>
          <w:p w14:paraId="149A6CEF" w14:textId="77777777" w:rsidR="00F1171E" w:rsidRPr="00AF1DDB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F1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F1DDB" w14:paraId="20A16C0C" w14:textId="77777777" w:rsidTr="70CBB413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F1DD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F1DD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F1DD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F1DDB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E946A0E" w14:textId="631872E2" w:rsidR="00F1171E" w:rsidRPr="00AF1DDB" w:rsidRDefault="1766CC24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research work significantly </w:t>
            </w:r>
            <w:r w:rsidR="2D23A2A4"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>contributes</w:t>
            </w:r>
            <w:r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13EEC692"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>to the</w:t>
            </w:r>
            <w:r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scientific </w:t>
            </w:r>
            <w:r w:rsidR="03E4C772"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>community, however few corrections need to be attended to</w:t>
            </w:r>
          </w:p>
          <w:p w14:paraId="7EB58C99" w14:textId="77777777" w:rsidR="00F1171E" w:rsidRPr="00AF1DDB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5DFD0E8" w14:textId="77777777" w:rsidR="00F1171E" w:rsidRPr="00AF1DDB" w:rsidRDefault="00F1171E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F1D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F1D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F1DD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F1D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F1DD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F1DD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F1D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F1DD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F1D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1DD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F1D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F1DDB">
              <w:rPr>
                <w:rFonts w:ascii="Arial" w:hAnsi="Arial" w:cs="Arial"/>
                <w:lang w:val="en-GB"/>
              </w:rPr>
              <w:t>Author’s comment</w:t>
            </w:r>
            <w:r w:rsidRPr="00AF1DD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F1DD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F1DD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F1D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1D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F1D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F1D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F1DD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F1DD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F1DD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AF1D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AF1D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F1DD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F1DD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F1DD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F1D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413CF4AE" w:rsidR="004C3DF1" w:rsidRDefault="004C3DF1" w:rsidP="70CBB413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5AC26D1" w14:textId="77777777" w:rsidR="00AF1DDB" w:rsidRPr="00630875" w:rsidRDefault="00AF1DDB" w:rsidP="00AF1DD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859D7DC" w14:textId="77777777" w:rsidR="00AF1DDB" w:rsidRPr="00630875" w:rsidRDefault="00AF1DDB" w:rsidP="00AF1D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30875">
        <w:rPr>
          <w:rFonts w:ascii="Arial" w:hAnsi="Arial" w:cs="Arial"/>
          <w:b/>
          <w:u w:val="single"/>
        </w:rPr>
        <w:t>Reviewer details:</w:t>
      </w:r>
    </w:p>
    <w:p w14:paraId="09BAF066" w14:textId="77777777" w:rsidR="00AF1DDB" w:rsidRPr="00630875" w:rsidRDefault="00AF1DDB" w:rsidP="00AF1DD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30875">
        <w:rPr>
          <w:rFonts w:ascii="Arial" w:hAnsi="Arial" w:cs="Arial"/>
          <w:b/>
          <w:color w:val="000000"/>
        </w:rPr>
        <w:t>Obeng Charles, Ghana</w:t>
      </w:r>
    </w:p>
    <w:p w14:paraId="576F868E" w14:textId="77777777" w:rsidR="00AF1DDB" w:rsidRPr="00AF1DDB" w:rsidRDefault="00AF1DDB" w:rsidP="70CBB413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sectPr w:rsidR="00AF1DDB" w:rsidRPr="00AF1DDB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2C8A" w14:textId="77777777" w:rsidR="00094BF2" w:rsidRPr="0000007A" w:rsidRDefault="00094BF2" w:rsidP="0099583E">
      <w:r>
        <w:separator/>
      </w:r>
    </w:p>
  </w:endnote>
  <w:endnote w:type="continuationSeparator" w:id="0">
    <w:p w14:paraId="28D7368B" w14:textId="77777777" w:rsidR="00094BF2" w:rsidRPr="0000007A" w:rsidRDefault="00094BF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5129" w14:textId="77777777" w:rsidR="00094BF2" w:rsidRPr="0000007A" w:rsidRDefault="00094BF2" w:rsidP="0099583E">
      <w:r>
        <w:separator/>
      </w:r>
    </w:p>
  </w:footnote>
  <w:footnote w:type="continuationSeparator" w:id="0">
    <w:p w14:paraId="43A5E32D" w14:textId="77777777" w:rsidR="00094BF2" w:rsidRPr="0000007A" w:rsidRDefault="00094BF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D1E1D"/>
    <w:multiLevelType w:val="hybridMultilevel"/>
    <w:tmpl w:val="FB28C328"/>
    <w:lvl w:ilvl="0" w:tplc="5DE46E68">
      <w:start w:val="1"/>
      <w:numFmt w:val="decimal"/>
      <w:lvlText w:val="%1."/>
      <w:lvlJc w:val="left"/>
      <w:pPr>
        <w:ind w:left="720" w:hanging="360"/>
      </w:pPr>
    </w:lvl>
    <w:lvl w:ilvl="1" w:tplc="13CAB2C0">
      <w:start w:val="1"/>
      <w:numFmt w:val="lowerLetter"/>
      <w:lvlText w:val="%2."/>
      <w:lvlJc w:val="left"/>
      <w:pPr>
        <w:ind w:left="1440" w:hanging="360"/>
      </w:pPr>
    </w:lvl>
    <w:lvl w:ilvl="2" w:tplc="039E476A">
      <w:start w:val="1"/>
      <w:numFmt w:val="lowerRoman"/>
      <w:lvlText w:val="%3."/>
      <w:lvlJc w:val="right"/>
      <w:pPr>
        <w:ind w:left="2160" w:hanging="180"/>
      </w:pPr>
    </w:lvl>
    <w:lvl w:ilvl="3" w:tplc="2F507508">
      <w:start w:val="1"/>
      <w:numFmt w:val="decimal"/>
      <w:lvlText w:val="%4."/>
      <w:lvlJc w:val="left"/>
      <w:pPr>
        <w:ind w:left="2880" w:hanging="360"/>
      </w:pPr>
    </w:lvl>
    <w:lvl w:ilvl="4" w:tplc="3702D4E0">
      <w:start w:val="1"/>
      <w:numFmt w:val="lowerLetter"/>
      <w:lvlText w:val="%5."/>
      <w:lvlJc w:val="left"/>
      <w:pPr>
        <w:ind w:left="3600" w:hanging="360"/>
      </w:pPr>
    </w:lvl>
    <w:lvl w:ilvl="5" w:tplc="3490D1A0">
      <w:start w:val="1"/>
      <w:numFmt w:val="lowerRoman"/>
      <w:lvlText w:val="%6."/>
      <w:lvlJc w:val="right"/>
      <w:pPr>
        <w:ind w:left="4320" w:hanging="180"/>
      </w:pPr>
    </w:lvl>
    <w:lvl w:ilvl="6" w:tplc="8376DC04">
      <w:start w:val="1"/>
      <w:numFmt w:val="decimal"/>
      <w:lvlText w:val="%7."/>
      <w:lvlJc w:val="left"/>
      <w:pPr>
        <w:ind w:left="5040" w:hanging="360"/>
      </w:pPr>
    </w:lvl>
    <w:lvl w:ilvl="7" w:tplc="3E280A4C">
      <w:start w:val="1"/>
      <w:numFmt w:val="lowerLetter"/>
      <w:lvlText w:val="%8."/>
      <w:lvlJc w:val="left"/>
      <w:pPr>
        <w:ind w:left="5760" w:hanging="360"/>
      </w:pPr>
    </w:lvl>
    <w:lvl w:ilvl="8" w:tplc="73DE84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695520">
    <w:abstractNumId w:val="8"/>
  </w:num>
  <w:num w:numId="2" w16cid:durableId="1785735658">
    <w:abstractNumId w:val="3"/>
  </w:num>
  <w:num w:numId="3" w16cid:durableId="629945206">
    <w:abstractNumId w:val="6"/>
  </w:num>
  <w:num w:numId="4" w16cid:durableId="2102674457">
    <w:abstractNumId w:val="5"/>
  </w:num>
  <w:num w:numId="5" w16cid:durableId="646908006">
    <w:abstractNumId w:val="7"/>
  </w:num>
  <w:num w:numId="6" w16cid:durableId="1480685061">
    <w:abstractNumId w:val="4"/>
  </w:num>
  <w:num w:numId="7" w16cid:durableId="2037386262">
    <w:abstractNumId w:val="0"/>
  </w:num>
  <w:num w:numId="8" w16cid:durableId="1482309794">
    <w:abstractNumId w:val="1"/>
  </w:num>
  <w:num w:numId="9" w16cid:durableId="1640309004">
    <w:abstractNumId w:val="10"/>
  </w:num>
  <w:num w:numId="10" w16cid:durableId="2006786753">
    <w:abstractNumId w:val="9"/>
  </w:num>
  <w:num w:numId="11" w16cid:durableId="2029018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4BF2"/>
    <w:rsid w:val="00095A59"/>
    <w:rsid w:val="000A2134"/>
    <w:rsid w:val="000A2D36"/>
    <w:rsid w:val="000A6F41"/>
    <w:rsid w:val="000B189E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5DF1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0E46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510"/>
    <w:rsid w:val="003D1BDE"/>
    <w:rsid w:val="003E746A"/>
    <w:rsid w:val="003F3344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9CE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14EB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23D2"/>
    <w:rsid w:val="006C3797"/>
    <w:rsid w:val="006D467C"/>
    <w:rsid w:val="006E01EE"/>
    <w:rsid w:val="006E6014"/>
    <w:rsid w:val="006E7D6E"/>
    <w:rsid w:val="00700A1D"/>
    <w:rsid w:val="00700EF2"/>
    <w:rsid w:val="00701186"/>
    <w:rsid w:val="0070146F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7BDE"/>
    <w:rsid w:val="009C5642"/>
    <w:rsid w:val="009D2183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957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1DDB"/>
    <w:rsid w:val="00AF3016"/>
    <w:rsid w:val="00B03A45"/>
    <w:rsid w:val="00B2236C"/>
    <w:rsid w:val="00B22FE6"/>
    <w:rsid w:val="00B23205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21D6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1013"/>
    <w:rsid w:val="00DB7E1B"/>
    <w:rsid w:val="00DC1D81"/>
    <w:rsid w:val="00DC6FED"/>
    <w:rsid w:val="00DD0C4A"/>
    <w:rsid w:val="00DD274C"/>
    <w:rsid w:val="00DE7D30"/>
    <w:rsid w:val="00DF04E3"/>
    <w:rsid w:val="00E02745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5123"/>
    <w:rsid w:val="00EB6E15"/>
    <w:rsid w:val="00EB73C7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5865"/>
    <w:rsid w:val="00F90823"/>
    <w:rsid w:val="00F96F54"/>
    <w:rsid w:val="00F978B8"/>
    <w:rsid w:val="00FA6528"/>
    <w:rsid w:val="00FA6A3D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2FDED87"/>
    <w:rsid w:val="03E4C772"/>
    <w:rsid w:val="048F86C3"/>
    <w:rsid w:val="052C69DC"/>
    <w:rsid w:val="0A6EDB44"/>
    <w:rsid w:val="0BDB2A74"/>
    <w:rsid w:val="0D4E9C09"/>
    <w:rsid w:val="13EEC692"/>
    <w:rsid w:val="169D126F"/>
    <w:rsid w:val="16D2E43A"/>
    <w:rsid w:val="1766CC24"/>
    <w:rsid w:val="1963299E"/>
    <w:rsid w:val="1DD81979"/>
    <w:rsid w:val="2D23A2A4"/>
    <w:rsid w:val="2F32D833"/>
    <w:rsid w:val="3150D557"/>
    <w:rsid w:val="3432C0AC"/>
    <w:rsid w:val="38029DFA"/>
    <w:rsid w:val="38320CFD"/>
    <w:rsid w:val="3A10355F"/>
    <w:rsid w:val="3B09EF47"/>
    <w:rsid w:val="4103D87C"/>
    <w:rsid w:val="4222421F"/>
    <w:rsid w:val="43904A21"/>
    <w:rsid w:val="474C0F80"/>
    <w:rsid w:val="493DE854"/>
    <w:rsid w:val="4978DD8A"/>
    <w:rsid w:val="49C4CE97"/>
    <w:rsid w:val="510D8671"/>
    <w:rsid w:val="556A3D73"/>
    <w:rsid w:val="56CE0C67"/>
    <w:rsid w:val="581D421E"/>
    <w:rsid w:val="69F8C092"/>
    <w:rsid w:val="6A72216E"/>
    <w:rsid w:val="6B413ABE"/>
    <w:rsid w:val="70CBB413"/>
    <w:rsid w:val="72420FE8"/>
    <w:rsid w:val="74C38ECF"/>
    <w:rsid w:val="75B46340"/>
    <w:rsid w:val="76B09F5E"/>
    <w:rsid w:val="7871B4C3"/>
    <w:rsid w:val="7FE0A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D84A9B27-4798-49C5-8285-7DCB0CBE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uiPriority w:val="9"/>
    <w:unhideWhenUsed/>
    <w:qFormat/>
    <w:rsid w:val="70CBB413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iliation">
    <w:name w:val="Affiliation"/>
    <w:basedOn w:val="Normal"/>
    <w:rsid w:val="00AF1D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56175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56175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8</cp:revision>
  <dcterms:created xsi:type="dcterms:W3CDTF">2025-06-18T00:33:00Z</dcterms:created>
  <dcterms:modified xsi:type="dcterms:W3CDTF">2025-07-04T10:41:00Z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