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43E70" w14:textId="77777777" w:rsidR="002E7DC1" w:rsidRPr="00D85277" w:rsidRDefault="002E7DC1" w:rsidP="002E7DC1">
      <w:pPr>
        <w:spacing w:after="0" w:line="240" w:lineRule="auto"/>
        <w:contextualSpacing/>
        <w:jc w:val="center"/>
        <w:rPr>
          <w:rFonts w:ascii="Arial" w:eastAsia="Times New Roman" w:hAnsi="Arial" w:cs="Arial"/>
          <w:b/>
          <w:i/>
          <w:sz w:val="14"/>
          <w:szCs w:val="20"/>
        </w:rPr>
      </w:pPr>
    </w:p>
    <w:p w14:paraId="17BC4D18" w14:textId="77777777" w:rsidR="002E7DC1" w:rsidRPr="00D85277" w:rsidRDefault="002E7DC1" w:rsidP="002E7DC1">
      <w:pPr>
        <w:spacing w:after="0" w:line="240" w:lineRule="auto"/>
        <w:contextualSpacing/>
        <w:jc w:val="center"/>
        <w:rPr>
          <w:rFonts w:ascii="Arial" w:eastAsia="Times New Roman" w:hAnsi="Arial" w:cs="Arial"/>
          <w:b/>
          <w:i/>
          <w:sz w:val="14"/>
          <w:szCs w:val="20"/>
        </w:rPr>
      </w:pPr>
    </w:p>
    <w:p w14:paraId="2DE6559B" w14:textId="77777777" w:rsidR="002E7DC1" w:rsidRPr="00D85277" w:rsidRDefault="00B83D1B" w:rsidP="002E7DC1">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37EA19F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wrap type="none"/>
            <w10:anchorlock/>
          </v:shape>
        </w:pict>
      </w:r>
    </w:p>
    <w:p w14:paraId="39F602BC" w14:textId="77777777" w:rsidR="00511743" w:rsidRPr="00D85277" w:rsidRDefault="00511743" w:rsidP="000B4699">
      <w:pPr>
        <w:spacing w:after="0" w:line="240" w:lineRule="auto"/>
        <w:contextualSpacing/>
        <w:jc w:val="right"/>
        <w:rPr>
          <w:rFonts w:ascii="Arial" w:eastAsia="Times New Roman" w:hAnsi="Arial" w:cs="Arial"/>
          <w:b/>
          <w:bCs/>
          <w:iCs/>
          <w:kern w:val="28"/>
          <w:sz w:val="20"/>
          <w:szCs w:val="20"/>
        </w:rPr>
      </w:pPr>
    </w:p>
    <w:p w14:paraId="111491FD" w14:textId="067F9726" w:rsidR="003F47A0" w:rsidRPr="00D85277" w:rsidRDefault="004B582C" w:rsidP="000B4699">
      <w:pPr>
        <w:pStyle w:val="Heading1"/>
        <w:keepNext w:val="0"/>
        <w:keepLines w:val="0"/>
        <w:rPr>
          <w:rFonts w:eastAsia="Times New Roman"/>
          <w:kern w:val="28"/>
          <w:sz w:val="48"/>
          <w:szCs w:val="48"/>
        </w:rPr>
      </w:pPr>
      <w:r w:rsidRPr="00D85277">
        <w:rPr>
          <w:rFonts w:eastAsia="Times New Roman"/>
          <w:kern w:val="28"/>
          <w:sz w:val="48"/>
          <w:szCs w:val="48"/>
          <w:lang w:val="en"/>
        </w:rPr>
        <w:t>Sugarcane Borer Management Strategies and Crop Loss Assessment under Changing Climatic Conditions in Andhra Pradesh, India</w:t>
      </w:r>
    </w:p>
    <w:p w14:paraId="5D31473D" w14:textId="77777777" w:rsidR="003F47A0" w:rsidRPr="00D85277" w:rsidRDefault="003F47A0" w:rsidP="000B4699">
      <w:pPr>
        <w:spacing w:after="0" w:line="240" w:lineRule="auto"/>
        <w:contextualSpacing/>
        <w:jc w:val="right"/>
        <w:rPr>
          <w:rFonts w:ascii="Arial" w:eastAsia="Times New Roman" w:hAnsi="Arial" w:cs="Arial"/>
          <w:b/>
          <w:bCs/>
          <w:sz w:val="36"/>
          <w:szCs w:val="20"/>
        </w:rPr>
      </w:pPr>
    </w:p>
    <w:p w14:paraId="0743598F" w14:textId="77777777" w:rsidR="00D706B3" w:rsidRDefault="00D706B3" w:rsidP="000B4699">
      <w:pPr>
        <w:spacing w:after="0" w:line="240" w:lineRule="auto"/>
        <w:contextualSpacing/>
        <w:jc w:val="right"/>
        <w:rPr>
          <w:rFonts w:ascii="Arial" w:eastAsia="Times New Roman" w:hAnsi="Arial" w:cs="Arial"/>
          <w:sz w:val="16"/>
          <w:szCs w:val="16"/>
        </w:rPr>
      </w:pPr>
    </w:p>
    <w:p w14:paraId="5991F5B1" w14:textId="77777777" w:rsidR="00D706B3" w:rsidRDefault="00D706B3" w:rsidP="000B4699">
      <w:pPr>
        <w:spacing w:after="0" w:line="240" w:lineRule="auto"/>
        <w:contextualSpacing/>
        <w:jc w:val="right"/>
        <w:rPr>
          <w:rFonts w:ascii="Arial" w:eastAsia="Times New Roman" w:hAnsi="Arial" w:cs="Arial"/>
          <w:sz w:val="16"/>
          <w:szCs w:val="16"/>
        </w:rPr>
      </w:pPr>
    </w:p>
    <w:p w14:paraId="34BAE9FB" w14:textId="77777777" w:rsidR="00D706B3" w:rsidRPr="00D85277" w:rsidRDefault="00D706B3" w:rsidP="000B4699">
      <w:pPr>
        <w:spacing w:after="0" w:line="240" w:lineRule="auto"/>
        <w:contextualSpacing/>
        <w:jc w:val="right"/>
        <w:rPr>
          <w:rFonts w:ascii="Arial" w:eastAsia="Times New Roman" w:hAnsi="Arial" w:cs="Arial"/>
          <w:sz w:val="16"/>
          <w:szCs w:val="16"/>
        </w:rPr>
      </w:pPr>
    </w:p>
    <w:p w14:paraId="05A5C5D0" w14:textId="77777777" w:rsidR="00BD060A" w:rsidRPr="00D85277" w:rsidRDefault="00BD060A" w:rsidP="000B4699">
      <w:pPr>
        <w:spacing w:after="0" w:line="240" w:lineRule="auto"/>
        <w:contextualSpacing/>
        <w:jc w:val="right"/>
        <w:rPr>
          <w:rFonts w:ascii="Arial" w:eastAsia="Times New Roman" w:hAnsi="Arial" w:cs="Arial"/>
          <w:bCs/>
          <w:iCs/>
          <w:sz w:val="16"/>
          <w:szCs w:val="16"/>
        </w:rPr>
      </w:pPr>
    </w:p>
    <w:p w14:paraId="43A26D31" w14:textId="41F16455" w:rsidR="00BD060A" w:rsidRDefault="00B83D1B" w:rsidP="000B4699">
      <w:pPr>
        <w:autoSpaceDE w:val="0"/>
        <w:autoSpaceDN w:val="0"/>
        <w:adjustRightInd w:val="0"/>
        <w:spacing w:after="0" w:line="240" w:lineRule="auto"/>
        <w:contextualSpacing/>
        <w:jc w:val="right"/>
        <w:rPr>
          <w:rFonts w:ascii="Arial" w:eastAsia="Times New Roman" w:hAnsi="Arial" w:cs="Arial"/>
          <w:b/>
          <w:i/>
          <w:sz w:val="20"/>
          <w:szCs w:val="16"/>
        </w:rPr>
      </w:pPr>
      <w:r>
        <w:rPr>
          <w:noProof/>
        </w:rPr>
        <w:pict w14:anchorId="22FC52E1">
          <v:rect id="Rectangle 29" o:spid="_x0000_s1027" style="position:absolute;left:0;text-align:left;margin-left:.75pt;margin-top:2.05pt;width:137.6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">
            <v:textbox inset=",2.16pt,,2.16pt">
              <w:txbxContent>
                <w:p w14:paraId="26BED43B" w14:textId="76F67314" w:rsidR="00B83D1B" w:rsidRPr="00081439" w:rsidRDefault="00B83D1B" w:rsidP="00682F1A">
                  <w:pPr>
                    <w:jc w:val="center"/>
                    <w:rPr>
                      <w:rFonts w:ascii="Arial" w:hAnsi="Arial" w:cs="Arial"/>
                      <w:b/>
                      <w:i/>
                      <w:sz w:val="20"/>
                    </w:rPr>
                  </w:pPr>
                  <w:r w:rsidRPr="004B582C">
                    <w:rPr>
                      <w:rFonts w:ascii="Arial" w:hAnsi="Arial" w:cs="Arial"/>
                      <w:b/>
                      <w:i/>
                      <w:sz w:val="20"/>
                    </w:rPr>
                    <w:t xml:space="preserve">Original Research </w:t>
                  </w:r>
                  <w:r w:rsidRPr="00081439">
                    <w:rPr>
                      <w:rFonts w:ascii="Arial" w:hAnsi="Arial" w:cs="Arial"/>
                      <w:b/>
                      <w:i/>
                      <w:sz w:val="20"/>
                    </w:rPr>
                    <w:t>Article</w:t>
                  </w:r>
                </w:p>
              </w:txbxContent>
            </v:textbox>
          </v:rect>
        </w:pict>
      </w:r>
    </w:p>
    <w:p w14:paraId="782FA4E2" w14:textId="77777777" w:rsidR="00D706B3" w:rsidRDefault="00D706B3" w:rsidP="000B4699">
      <w:pPr>
        <w:autoSpaceDE w:val="0"/>
        <w:autoSpaceDN w:val="0"/>
        <w:adjustRightInd w:val="0"/>
        <w:spacing w:after="0" w:line="240" w:lineRule="auto"/>
        <w:contextualSpacing/>
        <w:jc w:val="right"/>
        <w:rPr>
          <w:rFonts w:ascii="Arial" w:eastAsia="Times New Roman" w:hAnsi="Arial" w:cs="Arial"/>
          <w:b/>
          <w:i/>
          <w:sz w:val="20"/>
          <w:szCs w:val="16"/>
        </w:rPr>
      </w:pPr>
    </w:p>
    <w:p w14:paraId="533BE6C7" w14:textId="77777777" w:rsidR="00D706B3" w:rsidRPr="00D85277" w:rsidRDefault="00D706B3" w:rsidP="000B4699">
      <w:pPr>
        <w:autoSpaceDE w:val="0"/>
        <w:autoSpaceDN w:val="0"/>
        <w:adjustRightInd w:val="0"/>
        <w:spacing w:after="0" w:line="240" w:lineRule="auto"/>
        <w:contextualSpacing/>
        <w:jc w:val="right"/>
        <w:rPr>
          <w:rFonts w:ascii="Arial" w:eastAsia="Times New Roman" w:hAnsi="Arial" w:cs="Arial"/>
          <w:b/>
          <w:i/>
          <w:sz w:val="20"/>
          <w:szCs w:val="16"/>
        </w:rPr>
      </w:pPr>
    </w:p>
    <w:p w14:paraId="62CB5417" w14:textId="1999C8C6" w:rsidR="00BD060A" w:rsidRPr="00D85277" w:rsidRDefault="00B83D1B" w:rsidP="000B4699">
      <w:pPr>
        <w:spacing w:after="0" w:line="240" w:lineRule="auto"/>
        <w:contextualSpacing/>
        <w:rPr>
          <w:rFonts w:ascii="Arial" w:eastAsia="Times New Roman" w:hAnsi="Arial" w:cs="Arial"/>
          <w:b/>
          <w:caps/>
          <w:sz w:val="24"/>
          <w:szCs w:val="20"/>
        </w:rPr>
      </w:pPr>
      <w:r>
        <w:pict w14:anchorId="5BCEADDF">
          <v:shapetype id="_x0000_t32" coordsize="21600,21600" o:spt="32" o:oned="t" path="m,l21600,21600e" filled="f">
            <v:path arrowok="t" fillok="f" o:connecttype="none"/>
            <o:lock v:ext="edit" shapetype="t"/>
          </v:shapetype>
          <v:shape id="AutoShape 30" o:spid="_x0000_s1028" type="#_x0000_t32" style="width:450.7pt;height:.05pt;visibility:visible;mso-wrap-style:square;mso-left-percent:-10001;mso-top-percent:-10001;mso-position-horizontal:absolute;mso-position-horizontal-relative:char;mso-position-vertical:absolute;mso-position-vertical-relative:line;mso-left-percent:-10001;mso-top-percent:-10001" strokeweight="1.5pt">
            <w10:wrap type="none"/>
            <w10:anchorlock/>
          </v:shape>
        </w:pict>
      </w:r>
    </w:p>
    <w:p w14:paraId="2D65D4D7" w14:textId="77777777" w:rsidR="00BD060A" w:rsidRPr="00D85277" w:rsidRDefault="00BD060A" w:rsidP="000B4699">
      <w:pPr>
        <w:tabs>
          <w:tab w:val="left" w:pos="3870"/>
        </w:tabs>
        <w:spacing w:after="0" w:line="240" w:lineRule="auto"/>
        <w:contextualSpacing/>
        <w:rPr>
          <w:rFonts w:ascii="Arial" w:eastAsia="Times New Roman" w:hAnsi="Arial" w:cs="Arial"/>
          <w:b/>
          <w:caps/>
          <w:sz w:val="16"/>
          <w:szCs w:val="16"/>
        </w:rPr>
      </w:pPr>
    </w:p>
    <w:p w14:paraId="36A317D2" w14:textId="77777777" w:rsidR="00BD060A" w:rsidRPr="00D85277" w:rsidRDefault="00BD060A" w:rsidP="000B4699">
      <w:pPr>
        <w:pStyle w:val="Heading2"/>
        <w:keepNext w:val="0"/>
        <w:keepLines w:val="0"/>
        <w:rPr>
          <w:rFonts w:eastAsia="Times New Roman"/>
        </w:rPr>
      </w:pPr>
      <w:r w:rsidRPr="00D85277">
        <w:rPr>
          <w:rFonts w:eastAsia="Times New Roman"/>
        </w:rPr>
        <w:t>ABSTRACT</w:t>
      </w:r>
    </w:p>
    <w:p w14:paraId="29D5935B" w14:textId="77777777" w:rsidR="00BD060A" w:rsidRPr="00D85277" w:rsidRDefault="00BD060A" w:rsidP="000B4699">
      <w:pPr>
        <w:spacing w:after="0" w:line="240" w:lineRule="auto"/>
        <w:contextualSpacing/>
        <w:rPr>
          <w:rFonts w:ascii="Arial" w:eastAsia="Times New Roman" w:hAnsi="Arial" w:cs="Arial"/>
          <w:b/>
          <w:caps/>
          <w:sz w:val="16"/>
          <w:szCs w:val="16"/>
        </w:rPr>
      </w:pPr>
    </w:p>
    <w:tbl>
      <w:tblPr>
        <w:tblStyle w:val="TableGrid"/>
        <w:tblW w:w="4900" w:type="pct"/>
        <w:jc w:val="center"/>
        <w:tblLayout w:type="fixed"/>
        <w:tblLook w:val="04A0" w:firstRow="1" w:lastRow="0" w:firstColumn="1" w:lastColumn="0" w:noHBand="0" w:noVBand="1"/>
      </w:tblPr>
      <w:tblGrid>
        <w:gridCol w:w="9060"/>
      </w:tblGrid>
      <w:tr w:rsidR="00BD060A" w:rsidRPr="00D85277" w14:paraId="7F5A5F6B" w14:textId="77777777" w:rsidTr="00031499">
        <w:trPr>
          <w:trHeight w:val="20"/>
          <w:jc w:val="center"/>
        </w:trPr>
        <w:tc>
          <w:tcPr>
            <w:tcW w:w="9040" w:type="dxa"/>
          </w:tcPr>
          <w:p w14:paraId="51A6D0E4" w14:textId="77777777" w:rsidR="004B582C" w:rsidRPr="00D85277" w:rsidDel="00D158B9" w:rsidRDefault="004B582C" w:rsidP="000B4699">
            <w:pPr>
              <w:contextualSpacing/>
              <w:jc w:val="both"/>
              <w:rPr>
                <w:del w:id="0" w:author="Galoo" w:date="2025-08-27T22:01:00Z"/>
                <w:rFonts w:ascii="Arial" w:eastAsia="Calibri" w:hAnsi="Arial" w:cs="Arial"/>
                <w:sz w:val="20"/>
                <w:lang w:val="en"/>
              </w:rPr>
            </w:pPr>
            <w:r w:rsidRPr="00D85277">
              <w:rPr>
                <w:rFonts w:ascii="Arial" w:eastAsia="Calibri" w:hAnsi="Arial" w:cs="Arial"/>
                <w:sz w:val="20"/>
                <w:lang w:val="en"/>
              </w:rPr>
              <w:t xml:space="preserve">Sugarcane borers are among the most critical constraints to cane yield and sugar recovery in India. In Andhra Pradesh, the early shoot borer (ESB), </w:t>
            </w:r>
            <w:r w:rsidRPr="00D85277">
              <w:rPr>
                <w:rFonts w:ascii="Arial" w:eastAsia="Calibri" w:hAnsi="Arial" w:cs="Arial"/>
                <w:i/>
                <w:sz w:val="20"/>
                <w:lang w:val="en"/>
              </w:rPr>
              <w:t xml:space="preserve">Chilo infuscatellus </w:t>
            </w:r>
            <w:r w:rsidRPr="00D85277">
              <w:rPr>
                <w:rFonts w:ascii="Arial" w:eastAsia="Calibri" w:hAnsi="Arial" w:cs="Arial"/>
                <w:sz w:val="20"/>
                <w:lang w:val="en"/>
              </w:rPr>
              <w:t xml:space="preserve">Snellen and the internode borer (INB), </w:t>
            </w:r>
            <w:proofErr w:type="spellStart"/>
            <w:r w:rsidRPr="00D85277">
              <w:rPr>
                <w:rFonts w:ascii="Arial" w:eastAsia="Calibri" w:hAnsi="Arial" w:cs="Arial"/>
                <w:i/>
                <w:sz w:val="20"/>
                <w:lang w:val="en"/>
              </w:rPr>
              <w:t>Chilo</w:t>
            </w:r>
            <w:proofErr w:type="spellEnd"/>
            <w:r w:rsidRPr="00D85277">
              <w:rPr>
                <w:rFonts w:ascii="Arial" w:eastAsia="Calibri" w:hAnsi="Arial" w:cs="Arial"/>
                <w:i/>
                <w:sz w:val="20"/>
                <w:lang w:val="en"/>
              </w:rPr>
              <w:t xml:space="preserve"> </w:t>
            </w:r>
            <w:proofErr w:type="spellStart"/>
            <w:r w:rsidRPr="00D85277">
              <w:rPr>
                <w:rFonts w:ascii="Arial" w:eastAsia="Calibri" w:hAnsi="Arial" w:cs="Arial"/>
                <w:i/>
                <w:sz w:val="20"/>
                <w:lang w:val="en"/>
              </w:rPr>
              <w:t>sacchariphagus</w:t>
            </w:r>
            <w:proofErr w:type="spellEnd"/>
            <w:r w:rsidRPr="00D85277">
              <w:rPr>
                <w:rFonts w:ascii="Arial" w:eastAsia="Calibri" w:hAnsi="Arial" w:cs="Arial"/>
                <w:i/>
                <w:sz w:val="20"/>
                <w:lang w:val="en"/>
              </w:rPr>
              <w:t xml:space="preserve"> </w:t>
            </w:r>
            <w:proofErr w:type="spellStart"/>
            <w:r w:rsidRPr="00D85277">
              <w:rPr>
                <w:rFonts w:ascii="Arial" w:eastAsia="Calibri" w:hAnsi="Arial" w:cs="Arial"/>
                <w:i/>
                <w:sz w:val="20"/>
                <w:lang w:val="en"/>
              </w:rPr>
              <w:t>indicus</w:t>
            </w:r>
            <w:proofErr w:type="spellEnd"/>
            <w:r w:rsidRPr="00D85277">
              <w:rPr>
                <w:rFonts w:ascii="Arial" w:eastAsia="Calibri" w:hAnsi="Arial" w:cs="Arial"/>
                <w:i/>
                <w:sz w:val="20"/>
                <w:lang w:val="en"/>
              </w:rPr>
              <w:t xml:space="preserve"> </w:t>
            </w:r>
            <w:proofErr w:type="spellStart"/>
            <w:r w:rsidRPr="00D85277">
              <w:rPr>
                <w:rFonts w:ascii="Arial" w:eastAsia="Calibri" w:hAnsi="Arial" w:cs="Arial"/>
                <w:sz w:val="20"/>
                <w:lang w:val="en"/>
              </w:rPr>
              <w:t>Kapur</w:t>
            </w:r>
            <w:proofErr w:type="spellEnd"/>
            <w:r w:rsidRPr="00D85277">
              <w:rPr>
                <w:rFonts w:ascii="Arial" w:eastAsia="Calibri" w:hAnsi="Arial" w:cs="Arial"/>
                <w:sz w:val="20"/>
                <w:lang w:val="en"/>
              </w:rPr>
              <w:t xml:space="preserve"> are the predominant pests, causing substantial yield losses. Climate change has altered the occurrence patterns, outbreak frequency and population dynamics of stem borers across various regions of Andhra Pradesh. Considering the severe damage caused by these borers, particularly during the early stages of crop development, effective pest management is essential to maintain optimal plant density and achieve high cane yield. Currently, integrated pest management (IPM) strategies are used to manage stem borers, combining chemical communication, biological control, chemical pesticides and the development of resistant varieties. Therefore, with a view to assess the impact of borer infestation on cane yield and to evaluate the efficacy of various management strategies including chemical, non-chemical, and integrated pest management (IPM) methods, a field experiment was conducted at the Research Farm of RARS, </w:t>
            </w:r>
            <w:proofErr w:type="spellStart"/>
            <w:r w:rsidRPr="00D85277">
              <w:rPr>
                <w:rFonts w:ascii="Arial" w:eastAsia="Calibri" w:hAnsi="Arial" w:cs="Arial"/>
                <w:sz w:val="20"/>
                <w:lang w:val="en"/>
              </w:rPr>
              <w:t>Anakapalle</w:t>
            </w:r>
            <w:proofErr w:type="spellEnd"/>
            <w:r w:rsidRPr="00D85277">
              <w:rPr>
                <w:rFonts w:ascii="Arial" w:eastAsia="Calibri" w:hAnsi="Arial" w:cs="Arial"/>
                <w:sz w:val="20"/>
                <w:lang w:val="en"/>
              </w:rPr>
              <w:t xml:space="preserve"> for two seasons. </w:t>
            </w:r>
          </w:p>
          <w:p w14:paraId="70F96958" w14:textId="2DDD01B4" w:rsidR="003F47A0" w:rsidRPr="00D85277" w:rsidRDefault="004B582C" w:rsidP="000B4699">
            <w:pPr>
              <w:contextualSpacing/>
              <w:jc w:val="both"/>
              <w:rPr>
                <w:rFonts w:ascii="Arial" w:eastAsia="Calibri" w:hAnsi="Arial" w:cs="Arial"/>
                <w:sz w:val="20"/>
                <w:lang w:val="en"/>
              </w:rPr>
            </w:pPr>
            <w:r w:rsidRPr="00D85277">
              <w:rPr>
                <w:rFonts w:ascii="Arial" w:eastAsia="Calibri" w:hAnsi="Arial" w:cs="Arial"/>
                <w:sz w:val="20"/>
                <w:lang w:val="en"/>
              </w:rPr>
              <w:t xml:space="preserve">Field studies were conducted in a </w:t>
            </w:r>
            <w:del w:id="1" w:author="Galoo" w:date="2025-08-27T15:08:00Z">
              <w:r w:rsidRPr="00D85277" w:rsidDel="00A86446">
                <w:rPr>
                  <w:rFonts w:ascii="Arial" w:eastAsia="Calibri" w:hAnsi="Arial" w:cs="Arial"/>
                  <w:sz w:val="20"/>
                  <w:lang w:val="en"/>
                </w:rPr>
                <w:delText xml:space="preserve">randomised </w:delText>
              </w:r>
            </w:del>
            <w:ins w:id="2" w:author="Galoo" w:date="2025-08-27T15:08:00Z">
              <w:r w:rsidR="00A86446" w:rsidRPr="00D85277">
                <w:rPr>
                  <w:rFonts w:ascii="Arial" w:eastAsia="Calibri" w:hAnsi="Arial" w:cs="Arial"/>
                  <w:sz w:val="20"/>
                  <w:lang w:val="en"/>
                </w:rPr>
                <w:t>randomi</w:t>
              </w:r>
              <w:r w:rsidR="00A86446">
                <w:rPr>
                  <w:rFonts w:ascii="Arial" w:eastAsia="Calibri" w:hAnsi="Arial" w:cs="Arial"/>
                  <w:sz w:val="20"/>
                  <w:lang w:val="en"/>
                </w:rPr>
                <w:t>z</w:t>
              </w:r>
              <w:r w:rsidR="00A86446" w:rsidRPr="00D85277">
                <w:rPr>
                  <w:rFonts w:ascii="Arial" w:eastAsia="Calibri" w:hAnsi="Arial" w:cs="Arial"/>
                  <w:sz w:val="20"/>
                  <w:lang w:val="en"/>
                </w:rPr>
                <w:t xml:space="preserve">ed </w:t>
              </w:r>
            </w:ins>
            <w:r w:rsidRPr="00D85277">
              <w:rPr>
                <w:rFonts w:ascii="Arial" w:eastAsia="Calibri" w:hAnsi="Arial" w:cs="Arial"/>
                <w:sz w:val="20"/>
                <w:lang w:val="en"/>
              </w:rPr>
              <w:t>block design comprised of four treatments and four replications at Regional Agricultural Research Station, Anakapalle during 2023-24 and 2024-25. The data on ESB were recorded at 30, 60, 90 and 120 days after planting. The data on INB, growth parameters, juice sucrose were recorded at harvest. Standard procedures were followed for the observations and statistical analysis of the data.  The results revealed that more than 30% early shoot borer (ESB) incidence and 100% internode borer (INB) infestation with 26.6% intensity reduced the number of millable canes, juice sucrose, and cane weight, resulting in 18.7 per cent yield loss compared to the protected plot with IPM module (chemical + non-chemical). The IPM module significantly reduced the ESB and INB infestations and increased cane yield by 23.1% over the untreated control, achieving a benefit-cost ratio (BCR) of 2.73. In chemical and non-chemical methods alone resulted in yield increases of 19.9% and 16.</w:t>
            </w:r>
            <w:r w:rsidR="00ED2E63" w:rsidRPr="00D85277">
              <w:rPr>
                <w:rFonts w:ascii="Arial" w:eastAsia="Calibri" w:hAnsi="Arial" w:cs="Arial"/>
                <w:sz w:val="20"/>
                <w:lang w:val="en"/>
              </w:rPr>
              <w:t>7</w:t>
            </w:r>
            <w:r w:rsidRPr="00D85277">
              <w:rPr>
                <w:rFonts w:ascii="Arial" w:eastAsia="Calibri" w:hAnsi="Arial" w:cs="Arial"/>
                <w:sz w:val="20"/>
                <w:lang w:val="en"/>
              </w:rPr>
              <w:t>%, with BCRs of 2.69 and 2.62, respectively.</w:t>
            </w:r>
          </w:p>
          <w:p w14:paraId="59B13C12" w14:textId="07A89D23" w:rsidR="004B582C" w:rsidRPr="00D85277" w:rsidRDefault="004B582C" w:rsidP="000B4699">
            <w:pPr>
              <w:contextualSpacing/>
              <w:jc w:val="both"/>
              <w:rPr>
                <w:rFonts w:ascii="Arial" w:eastAsia="Calibri" w:hAnsi="Arial" w:cs="Arial"/>
                <w:sz w:val="12"/>
                <w:szCs w:val="14"/>
              </w:rPr>
            </w:pPr>
          </w:p>
        </w:tc>
      </w:tr>
    </w:tbl>
    <w:p w14:paraId="490B86C1" w14:textId="77777777" w:rsidR="00D851AD" w:rsidRPr="00D85277" w:rsidRDefault="00D851AD" w:rsidP="000B4699">
      <w:pPr>
        <w:spacing w:after="0" w:line="240" w:lineRule="auto"/>
        <w:ind w:left="1080" w:hanging="1080"/>
        <w:contextualSpacing/>
        <w:jc w:val="both"/>
        <w:rPr>
          <w:rFonts w:ascii="Arial" w:eastAsia="Times New Roman" w:hAnsi="Arial" w:cs="Arial"/>
          <w:i/>
          <w:sz w:val="14"/>
          <w:szCs w:val="14"/>
        </w:rPr>
      </w:pPr>
    </w:p>
    <w:p w14:paraId="5A3D6FC1" w14:textId="6F74A5E9" w:rsidR="00BD060A" w:rsidRPr="00D85277" w:rsidRDefault="00BD060A" w:rsidP="000B4699">
      <w:pPr>
        <w:spacing w:after="0" w:line="240" w:lineRule="auto"/>
        <w:ind w:left="1080" w:hanging="1080"/>
        <w:contextualSpacing/>
        <w:jc w:val="both"/>
        <w:rPr>
          <w:rFonts w:ascii="Arial" w:eastAsia="Times New Roman" w:hAnsi="Arial" w:cs="Arial"/>
          <w:bCs/>
          <w:i/>
          <w:iCs/>
          <w:sz w:val="20"/>
          <w:szCs w:val="20"/>
          <w:lang w:val="en"/>
        </w:rPr>
      </w:pPr>
      <w:r w:rsidRPr="00D85277">
        <w:rPr>
          <w:rFonts w:ascii="Arial" w:eastAsia="Times New Roman" w:hAnsi="Arial" w:cs="Arial"/>
          <w:i/>
          <w:sz w:val="20"/>
          <w:szCs w:val="20"/>
        </w:rPr>
        <w:t xml:space="preserve">Keywords: </w:t>
      </w:r>
      <w:r w:rsidR="008C23A9" w:rsidRPr="00D85277">
        <w:rPr>
          <w:rFonts w:ascii="Arial" w:eastAsia="Times New Roman" w:hAnsi="Arial" w:cs="Arial"/>
          <w:i/>
          <w:sz w:val="20"/>
          <w:szCs w:val="20"/>
        </w:rPr>
        <w:tab/>
      </w:r>
      <w:commentRangeStart w:id="3"/>
      <w:r w:rsidR="004B582C" w:rsidRPr="00D85277">
        <w:rPr>
          <w:rFonts w:ascii="Arial" w:eastAsia="Times New Roman" w:hAnsi="Arial" w:cs="Arial"/>
          <w:bCs/>
          <w:i/>
          <w:iCs/>
          <w:sz w:val="20"/>
          <w:szCs w:val="20"/>
          <w:lang w:val="en"/>
        </w:rPr>
        <w:t xml:space="preserve">Sugarcane borers; yield loss; assessment; climate; management; IPM; Trichogramma chilonis; intercropping; trash mulching; pheromone traps; </w:t>
      </w:r>
      <w:proofErr w:type="spellStart"/>
      <w:r w:rsidR="004B582C" w:rsidRPr="00D85277">
        <w:rPr>
          <w:rFonts w:ascii="Arial" w:eastAsia="Times New Roman" w:hAnsi="Arial" w:cs="Arial"/>
          <w:bCs/>
          <w:i/>
          <w:iCs/>
          <w:sz w:val="20"/>
          <w:szCs w:val="20"/>
          <w:lang w:val="en"/>
        </w:rPr>
        <w:t>chlorantraniliprole</w:t>
      </w:r>
      <w:proofErr w:type="spellEnd"/>
      <w:r w:rsidR="004B582C" w:rsidRPr="00D85277">
        <w:rPr>
          <w:rFonts w:ascii="Arial" w:eastAsia="Times New Roman" w:hAnsi="Arial" w:cs="Arial"/>
          <w:bCs/>
          <w:i/>
          <w:iCs/>
          <w:sz w:val="20"/>
          <w:szCs w:val="20"/>
          <w:lang w:val="en"/>
        </w:rPr>
        <w:t>.</w:t>
      </w:r>
      <w:commentRangeEnd w:id="3"/>
      <w:r w:rsidR="00317274">
        <w:rPr>
          <w:rStyle w:val="CommentReference"/>
        </w:rPr>
        <w:commentReference w:id="3"/>
      </w:r>
    </w:p>
    <w:p w14:paraId="3AEF754B" w14:textId="77777777" w:rsidR="00993466" w:rsidRPr="00D85277" w:rsidRDefault="00993466" w:rsidP="000B4699">
      <w:pPr>
        <w:spacing w:after="0" w:line="240" w:lineRule="auto"/>
        <w:contextualSpacing/>
        <w:jc w:val="both"/>
        <w:rPr>
          <w:rFonts w:ascii="Arial" w:eastAsia="Times New Roman" w:hAnsi="Arial" w:cs="Arial"/>
          <w:bCs/>
          <w:sz w:val="14"/>
          <w:szCs w:val="14"/>
          <w:lang w:val="en"/>
        </w:rPr>
      </w:pPr>
    </w:p>
    <w:p w14:paraId="1DC541E8" w14:textId="77777777" w:rsidR="000B4699" w:rsidRPr="00D85277" w:rsidRDefault="000B4699" w:rsidP="000B4699">
      <w:pPr>
        <w:pStyle w:val="Heading2"/>
        <w:keepNext w:val="0"/>
        <w:keepLines w:val="0"/>
        <w:rPr>
          <w:rFonts w:eastAsia="Times New Roman"/>
          <w:sz w:val="14"/>
          <w:szCs w:val="14"/>
          <w:lang w:val="en"/>
        </w:rPr>
        <w:sectPr w:rsidR="000B4699" w:rsidRPr="00D85277" w:rsidSect="00295B92">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864" w:gutter="0"/>
          <w:pgNumType w:start="24"/>
          <w:cols w:space="720"/>
          <w:titlePg/>
          <w:docGrid w:linePitch="360"/>
        </w:sectPr>
      </w:pPr>
    </w:p>
    <w:p w14:paraId="46F8F1C2" w14:textId="2442559C" w:rsidR="00F72EE4" w:rsidRPr="00D85277" w:rsidRDefault="00031499" w:rsidP="000B4699">
      <w:pPr>
        <w:pStyle w:val="Heading2"/>
        <w:keepNext w:val="0"/>
        <w:keepLines w:val="0"/>
        <w:rPr>
          <w:rFonts w:eastAsia="Times New Roman"/>
          <w:lang w:val="en"/>
        </w:rPr>
      </w:pPr>
      <w:r w:rsidRPr="00D85277">
        <w:rPr>
          <w:rFonts w:eastAsia="Times New Roman"/>
          <w:lang w:val="en"/>
        </w:rPr>
        <w:lastRenderedPageBreak/>
        <w:t xml:space="preserve">1. INTRODUCTION </w:t>
      </w:r>
    </w:p>
    <w:p w14:paraId="575F87C7" w14:textId="77777777" w:rsidR="00F72EE4" w:rsidRPr="00D85277" w:rsidRDefault="00F72EE4" w:rsidP="000B4699">
      <w:pPr>
        <w:spacing w:after="0" w:line="240" w:lineRule="auto"/>
        <w:jc w:val="both"/>
        <w:rPr>
          <w:rFonts w:ascii="Arial" w:eastAsia="Times New Roman" w:hAnsi="Arial" w:cs="Arial"/>
          <w:b/>
          <w:bCs/>
          <w:sz w:val="14"/>
          <w:szCs w:val="14"/>
          <w:lang w:val="en"/>
        </w:rPr>
      </w:pPr>
    </w:p>
    <w:p w14:paraId="06E8B124" w14:textId="2C03CDEB"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Sugarcane (</w:t>
      </w:r>
      <w:r w:rsidRPr="00D85277">
        <w:rPr>
          <w:rFonts w:ascii="Arial" w:eastAsia="Times New Roman" w:hAnsi="Arial" w:cs="Arial"/>
          <w:bCs/>
          <w:i/>
          <w:sz w:val="20"/>
          <w:szCs w:val="20"/>
          <w:lang w:val="en"/>
        </w:rPr>
        <w:t>Saccharum</w:t>
      </w:r>
      <w:r w:rsidRPr="00D85277">
        <w:rPr>
          <w:rFonts w:ascii="Arial" w:eastAsia="Times New Roman" w:hAnsi="Arial" w:cs="Arial"/>
          <w:bCs/>
          <w:sz w:val="20"/>
          <w:szCs w:val="20"/>
          <w:lang w:val="en"/>
        </w:rPr>
        <w:t xml:space="preserve"> spp.) is an important commercial crop in India, grown mainly for sugar, jaggery, and bioenergy from by-products like bagasse and molasses. India is the world’s second-largest producer of sugarcane (18.18%) and sugar (15.81%) after Brazil (Yadav &amp; Yadav, </w:t>
      </w:r>
      <w:r w:rsidRPr="00D85277">
        <w:rPr>
          <w:rFonts w:ascii="Arial" w:eastAsia="Times New Roman" w:hAnsi="Arial" w:cs="Arial"/>
          <w:bCs/>
          <w:sz w:val="20"/>
          <w:szCs w:val="20"/>
          <w:lang w:val="en"/>
        </w:rPr>
        <w:lastRenderedPageBreak/>
        <w:t xml:space="preserve">2018), and ranks second globally in sugarcane area, covering 5.88 million hectares with a production of 490.53 million tonnes (FAOSTAT, 2023). Sugarcane cultivation is increasingly threatened by a range of diseases and insect pests, among which stem borers are among the most destructive, causing substantial yield losses. These pests complete multiple </w:t>
      </w:r>
      <w:r w:rsidRPr="00D85277">
        <w:rPr>
          <w:rFonts w:ascii="Arial" w:eastAsia="Times New Roman" w:hAnsi="Arial" w:cs="Arial"/>
          <w:bCs/>
          <w:sz w:val="20"/>
          <w:szCs w:val="20"/>
          <w:lang w:val="en"/>
        </w:rPr>
        <w:lastRenderedPageBreak/>
        <w:t>generations annually, with population densities compounding over time, leading to significant economic damage from the seedling stage through to crop maturity. Among the economically important borer species in South India, the early shoot borer (</w:t>
      </w:r>
      <w:proofErr w:type="spellStart"/>
      <w:r w:rsidRPr="00D85277">
        <w:rPr>
          <w:rFonts w:ascii="Arial" w:eastAsia="Times New Roman" w:hAnsi="Arial" w:cs="Arial"/>
          <w:bCs/>
          <w:i/>
          <w:sz w:val="20"/>
          <w:szCs w:val="20"/>
          <w:lang w:val="en"/>
        </w:rPr>
        <w:t>Chilo</w:t>
      </w:r>
      <w:proofErr w:type="spellEnd"/>
      <w:r w:rsidRPr="00D85277">
        <w:rPr>
          <w:rFonts w:ascii="Arial" w:eastAsia="Times New Roman" w:hAnsi="Arial" w:cs="Arial"/>
          <w:bCs/>
          <w:i/>
          <w:sz w:val="20"/>
          <w:szCs w:val="20"/>
          <w:lang w:val="en"/>
        </w:rPr>
        <w:t xml:space="preserve"> </w:t>
      </w:r>
      <w:proofErr w:type="spellStart"/>
      <w:r w:rsidRPr="00D85277">
        <w:rPr>
          <w:rFonts w:ascii="Arial" w:eastAsia="Times New Roman" w:hAnsi="Arial" w:cs="Arial"/>
          <w:bCs/>
          <w:i/>
          <w:sz w:val="20"/>
          <w:szCs w:val="20"/>
          <w:lang w:val="en"/>
        </w:rPr>
        <w:t>infuscatellus</w:t>
      </w:r>
      <w:proofErr w:type="spellEnd"/>
      <w:r w:rsidRPr="00D85277">
        <w:rPr>
          <w:rFonts w:ascii="Arial" w:eastAsia="Times New Roman" w:hAnsi="Arial" w:cs="Arial"/>
          <w:bCs/>
          <w:sz w:val="20"/>
          <w:szCs w:val="20"/>
          <w:lang w:val="en"/>
        </w:rPr>
        <w:t xml:space="preserve"> </w:t>
      </w:r>
      <w:proofErr w:type="spellStart"/>
      <w:r w:rsidRPr="00D85277">
        <w:rPr>
          <w:rFonts w:ascii="Arial" w:eastAsia="Times New Roman" w:hAnsi="Arial" w:cs="Arial"/>
          <w:bCs/>
          <w:sz w:val="20"/>
          <w:szCs w:val="20"/>
          <w:lang w:val="en"/>
        </w:rPr>
        <w:t>Snellen</w:t>
      </w:r>
      <w:proofErr w:type="spellEnd"/>
      <w:r w:rsidRPr="00D85277">
        <w:rPr>
          <w:rFonts w:ascii="Arial" w:eastAsia="Times New Roman" w:hAnsi="Arial" w:cs="Arial"/>
          <w:bCs/>
          <w:sz w:val="20"/>
          <w:szCs w:val="20"/>
          <w:lang w:val="en"/>
        </w:rPr>
        <w:t xml:space="preserve"> (Lepidoptera: </w:t>
      </w:r>
      <w:proofErr w:type="spellStart"/>
      <w:r w:rsidRPr="00D85277">
        <w:rPr>
          <w:rFonts w:ascii="Arial" w:eastAsia="Times New Roman" w:hAnsi="Arial" w:cs="Arial"/>
          <w:bCs/>
          <w:sz w:val="20"/>
          <w:szCs w:val="20"/>
          <w:lang w:val="en"/>
        </w:rPr>
        <w:t>Crambidae</w:t>
      </w:r>
      <w:proofErr w:type="spellEnd"/>
      <w:r w:rsidRPr="00D85277">
        <w:rPr>
          <w:rFonts w:ascii="Arial" w:eastAsia="Times New Roman" w:hAnsi="Arial" w:cs="Arial"/>
          <w:bCs/>
          <w:sz w:val="20"/>
          <w:szCs w:val="20"/>
          <w:lang w:val="en"/>
        </w:rPr>
        <w:t>) is one of the most noxious and destructive, causing severe damage during the early growth stages and leading to significant yield loss (</w:t>
      </w:r>
      <w:proofErr w:type="spellStart"/>
      <w:r w:rsidRPr="00D85277">
        <w:rPr>
          <w:rFonts w:ascii="Arial" w:eastAsia="Times New Roman" w:hAnsi="Arial" w:cs="Arial"/>
          <w:bCs/>
          <w:sz w:val="20"/>
          <w:szCs w:val="20"/>
          <w:lang w:val="en"/>
        </w:rPr>
        <w:t>Douressamy</w:t>
      </w:r>
      <w:proofErr w:type="spellEnd"/>
      <w:r w:rsidRPr="00D85277">
        <w:rPr>
          <w:rFonts w:ascii="Arial" w:eastAsia="Times New Roman" w:hAnsi="Arial" w:cs="Arial"/>
          <w:bCs/>
          <w:sz w:val="20"/>
          <w:szCs w:val="20"/>
          <w:lang w:val="en"/>
        </w:rPr>
        <w:t xml:space="preserve">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2018</w:t>
      </w:r>
      <w:r w:rsidR="004963A2" w:rsidRPr="00D85277">
        <w:rPr>
          <w:rFonts w:ascii="Arial" w:eastAsia="Times New Roman" w:hAnsi="Arial" w:cs="Arial"/>
          <w:bCs/>
          <w:sz w:val="20"/>
          <w:szCs w:val="20"/>
          <w:lang w:val="en"/>
        </w:rPr>
        <w:t xml:space="preserve">; </w:t>
      </w:r>
      <w:r w:rsidR="004963A2" w:rsidRPr="00D85277">
        <w:rPr>
          <w:rFonts w:ascii="Arial" w:eastAsiaTheme="minorHAnsi" w:hAnsi="Arial" w:cs="Arial"/>
          <w:kern w:val="2"/>
          <w:sz w:val="20"/>
          <w:szCs w:val="20"/>
        </w:rPr>
        <w:t xml:space="preserve">Srikanth </w:t>
      </w:r>
      <w:r w:rsidR="004963A2" w:rsidRPr="00D85277">
        <w:rPr>
          <w:rFonts w:ascii="Arial" w:eastAsiaTheme="minorHAnsi" w:hAnsi="Arial" w:cs="Arial"/>
          <w:i/>
          <w:iCs/>
          <w:kern w:val="2"/>
          <w:sz w:val="20"/>
          <w:szCs w:val="20"/>
        </w:rPr>
        <w:t>et al</w:t>
      </w:r>
      <w:r w:rsidR="004963A2" w:rsidRPr="00D85277">
        <w:rPr>
          <w:rFonts w:ascii="Arial" w:eastAsiaTheme="minorHAnsi" w:hAnsi="Arial" w:cs="Arial"/>
          <w:kern w:val="2"/>
          <w:sz w:val="20"/>
          <w:szCs w:val="20"/>
        </w:rPr>
        <w:t>., 2001</w:t>
      </w:r>
      <w:r w:rsidRPr="00D85277">
        <w:rPr>
          <w:rFonts w:ascii="Arial" w:eastAsia="Times New Roman" w:hAnsi="Arial" w:cs="Arial"/>
          <w:bCs/>
          <w:sz w:val="20"/>
          <w:szCs w:val="20"/>
          <w:lang w:val="en"/>
        </w:rPr>
        <w:t>). It is widely prevalent across all major sugarcane-growing regions of the country (Srikanth, 2019). In Andhra Pradesh, infestations begin at the germination stage, with larvae attacking as shoot borers and may continue into the stalk formation phase as internode borers, particularly under drought or poor rainfall conditions (</w:t>
      </w:r>
      <w:commentRangeStart w:id="4"/>
      <w:proofErr w:type="spellStart"/>
      <w:r w:rsidRPr="00D85277">
        <w:rPr>
          <w:rFonts w:ascii="Arial" w:eastAsia="Times New Roman" w:hAnsi="Arial" w:cs="Arial"/>
          <w:bCs/>
          <w:sz w:val="20"/>
          <w:szCs w:val="20"/>
          <w:lang w:val="en"/>
        </w:rPr>
        <w:t>Avasthy</w:t>
      </w:r>
      <w:proofErr w:type="spellEnd"/>
      <w:r w:rsidRPr="00D85277">
        <w:rPr>
          <w:rFonts w:ascii="Arial" w:eastAsia="Times New Roman" w:hAnsi="Arial" w:cs="Arial"/>
          <w:bCs/>
          <w:sz w:val="20"/>
          <w:szCs w:val="20"/>
          <w:lang w:val="en"/>
        </w:rPr>
        <w:t xml:space="preserve"> </w:t>
      </w:r>
      <w:r w:rsidR="008857A7" w:rsidRPr="00D85277">
        <w:rPr>
          <w:rFonts w:ascii="Arial" w:eastAsia="Times New Roman" w:hAnsi="Arial" w:cs="Arial"/>
          <w:bCs/>
          <w:sz w:val="20"/>
          <w:szCs w:val="20"/>
          <w:lang w:val="en"/>
        </w:rPr>
        <w:t>&amp;</w:t>
      </w:r>
      <w:r w:rsidRPr="00D85277">
        <w:rPr>
          <w:rFonts w:ascii="Arial" w:eastAsia="Times New Roman" w:hAnsi="Arial" w:cs="Arial"/>
          <w:bCs/>
          <w:sz w:val="20"/>
          <w:szCs w:val="20"/>
          <w:lang w:val="en"/>
        </w:rPr>
        <w:t xml:space="preserve"> </w:t>
      </w:r>
      <w:proofErr w:type="spellStart"/>
      <w:r w:rsidRPr="00D85277">
        <w:rPr>
          <w:rFonts w:ascii="Arial" w:eastAsia="Times New Roman" w:hAnsi="Arial" w:cs="Arial"/>
          <w:bCs/>
          <w:sz w:val="20"/>
          <w:szCs w:val="20"/>
          <w:lang w:val="en"/>
        </w:rPr>
        <w:t>Tiwari</w:t>
      </w:r>
      <w:proofErr w:type="spellEnd"/>
      <w:r w:rsidRPr="00D85277">
        <w:rPr>
          <w:rFonts w:ascii="Arial" w:eastAsia="Times New Roman" w:hAnsi="Arial" w:cs="Arial"/>
          <w:bCs/>
          <w:sz w:val="20"/>
          <w:szCs w:val="20"/>
          <w:lang w:val="en"/>
        </w:rPr>
        <w:t>,</w:t>
      </w:r>
      <w:r w:rsidR="008857A7"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1986</w:t>
      </w:r>
      <w:commentRangeEnd w:id="4"/>
      <w:r w:rsidR="00B07944">
        <w:rPr>
          <w:rStyle w:val="CommentReference"/>
        </w:rPr>
        <w:commentReference w:id="4"/>
      </w:r>
      <w:r w:rsidRPr="00D85277">
        <w:rPr>
          <w:rFonts w:ascii="Arial" w:eastAsia="Times New Roman" w:hAnsi="Arial" w:cs="Arial"/>
          <w:bCs/>
          <w:sz w:val="20"/>
          <w:szCs w:val="20"/>
          <w:lang w:val="en"/>
        </w:rPr>
        <w:t>). The pest persists year-round, with peak infestations commonly observed during May–June in high-incidence years, largely due to favourable climatological conditions (</w:t>
      </w:r>
      <w:commentRangeStart w:id="5"/>
      <w:r w:rsidRPr="00D85277">
        <w:rPr>
          <w:rFonts w:ascii="Arial" w:eastAsia="Times New Roman" w:hAnsi="Arial" w:cs="Arial"/>
          <w:bCs/>
          <w:sz w:val="20"/>
          <w:szCs w:val="20"/>
          <w:lang w:val="en"/>
        </w:rPr>
        <w:t xml:space="preserve">Srikanth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2002; 2009</w:t>
      </w:r>
      <w:commentRangeEnd w:id="5"/>
      <w:r w:rsidR="00B07944">
        <w:rPr>
          <w:rStyle w:val="CommentReference"/>
        </w:rPr>
        <w:commentReference w:id="5"/>
      </w:r>
      <w:r w:rsidRPr="00D85277">
        <w:rPr>
          <w:rFonts w:ascii="Arial" w:eastAsia="Times New Roman" w:hAnsi="Arial" w:cs="Arial"/>
          <w:bCs/>
          <w:sz w:val="20"/>
          <w:szCs w:val="20"/>
          <w:lang w:val="en"/>
        </w:rPr>
        <w:t>).</w:t>
      </w:r>
    </w:p>
    <w:p w14:paraId="044BC40A" w14:textId="77777777" w:rsidR="00031499" w:rsidRPr="00D85277" w:rsidRDefault="00031499" w:rsidP="000B4699">
      <w:pPr>
        <w:spacing w:after="0" w:line="240" w:lineRule="auto"/>
        <w:jc w:val="both"/>
        <w:rPr>
          <w:rFonts w:ascii="Arial" w:eastAsia="Times New Roman" w:hAnsi="Arial" w:cs="Arial"/>
          <w:bCs/>
          <w:sz w:val="19"/>
          <w:szCs w:val="19"/>
          <w:lang w:val="en"/>
        </w:rPr>
      </w:pPr>
    </w:p>
    <w:p w14:paraId="27E06F5F" w14:textId="7B3BB8E0"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In the North Coastal Zone of Andhra Pradesh, early shoot borer (ESB) infestations can affect more than 70% of shoots in rainfed sugarcane crops (</w:t>
      </w:r>
      <w:commentRangeStart w:id="6"/>
      <w:r w:rsidRPr="00D85277">
        <w:rPr>
          <w:rFonts w:ascii="Arial" w:eastAsia="Times New Roman" w:hAnsi="Arial" w:cs="Arial"/>
          <w:bCs/>
          <w:sz w:val="20"/>
          <w:szCs w:val="20"/>
          <w:lang w:val="en"/>
        </w:rPr>
        <w:t xml:space="preserve">Prasad Rao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1991</w:t>
      </w:r>
      <w:commentRangeEnd w:id="6"/>
      <w:r w:rsidR="00B07944">
        <w:rPr>
          <w:rStyle w:val="CommentReference"/>
        </w:rPr>
        <w:commentReference w:id="6"/>
      </w:r>
      <w:r w:rsidRPr="00D85277">
        <w:rPr>
          <w:rFonts w:ascii="Arial" w:eastAsia="Times New Roman" w:hAnsi="Arial" w:cs="Arial"/>
          <w:bCs/>
          <w:sz w:val="20"/>
          <w:szCs w:val="20"/>
          <w:lang w:val="en"/>
        </w:rPr>
        <w:t>). The resulting losses in sugar production are estimated at 13–20%, with yield reductions reaching as high as 42.5%</w:t>
      </w:r>
      <w:r w:rsidR="00987FC7" w:rsidRPr="00D85277">
        <w:rPr>
          <w:rFonts w:ascii="Arial" w:eastAsia="Times New Roman" w:hAnsi="Arial" w:cs="Arial"/>
          <w:bCs/>
          <w:sz w:val="20"/>
          <w:szCs w:val="20"/>
          <w:lang w:val="en"/>
        </w:rPr>
        <w:t xml:space="preserve"> (</w:t>
      </w:r>
      <w:r w:rsidR="00987FC7" w:rsidRPr="00D85277">
        <w:rPr>
          <w:rFonts w:ascii="Arial" w:eastAsiaTheme="minorHAnsi" w:hAnsi="Arial" w:cs="Arial"/>
          <w:kern w:val="2"/>
          <w:sz w:val="20"/>
          <w:szCs w:val="20"/>
        </w:rPr>
        <w:t xml:space="preserve">Srikanth </w:t>
      </w:r>
      <w:r w:rsidR="00987FC7" w:rsidRPr="00B07944">
        <w:rPr>
          <w:rFonts w:ascii="Arial" w:eastAsiaTheme="minorHAnsi" w:hAnsi="Arial" w:cs="Arial"/>
          <w:i/>
          <w:kern w:val="2"/>
          <w:sz w:val="20"/>
          <w:szCs w:val="20"/>
          <w:rPrChange w:id="7" w:author="Galoo" w:date="2025-08-27T16:08:00Z">
            <w:rPr>
              <w:rFonts w:ascii="Arial" w:eastAsiaTheme="minorHAnsi" w:hAnsi="Arial" w:cs="Arial"/>
              <w:kern w:val="2"/>
              <w:sz w:val="20"/>
              <w:szCs w:val="20"/>
            </w:rPr>
          </w:rPrChange>
        </w:rPr>
        <w:t>et al</w:t>
      </w:r>
      <w:r w:rsidR="00987FC7" w:rsidRPr="00D85277">
        <w:rPr>
          <w:rFonts w:ascii="Arial" w:eastAsiaTheme="minorHAnsi" w:hAnsi="Arial" w:cs="Arial"/>
          <w:kern w:val="2"/>
          <w:sz w:val="20"/>
          <w:szCs w:val="20"/>
        </w:rPr>
        <w:t>., 2016)</w:t>
      </w:r>
      <w:r w:rsidRPr="00D85277">
        <w:rPr>
          <w:rFonts w:ascii="Arial" w:eastAsia="Times New Roman" w:hAnsi="Arial" w:cs="Arial"/>
          <w:bCs/>
          <w:sz w:val="20"/>
          <w:szCs w:val="20"/>
          <w:lang w:val="en"/>
        </w:rPr>
        <w:t>. All commercial sugarcane varieties are considered equally susceptible</w:t>
      </w:r>
      <w:r w:rsidR="00285C5D" w:rsidRPr="00D85277">
        <w:rPr>
          <w:rFonts w:ascii="Arial" w:eastAsia="Times New Roman" w:hAnsi="Arial" w:cs="Arial"/>
          <w:bCs/>
          <w:sz w:val="20"/>
          <w:szCs w:val="20"/>
          <w:lang w:val="en"/>
        </w:rPr>
        <w:t xml:space="preserve"> (</w:t>
      </w:r>
      <w:commentRangeStart w:id="8"/>
      <w:r w:rsidR="00285C5D" w:rsidRPr="00D85277">
        <w:rPr>
          <w:rFonts w:ascii="Arial" w:eastAsiaTheme="minorHAnsi" w:hAnsi="Arial" w:cs="Arial"/>
          <w:kern w:val="2"/>
          <w:sz w:val="20"/>
          <w:szCs w:val="20"/>
        </w:rPr>
        <w:t>David, 1987</w:t>
      </w:r>
      <w:commentRangeEnd w:id="8"/>
      <w:r w:rsidR="00B07944">
        <w:rPr>
          <w:rStyle w:val="CommentReference"/>
        </w:rPr>
        <w:commentReference w:id="8"/>
      </w:r>
      <w:r w:rsidR="00285C5D" w:rsidRPr="00D85277">
        <w:rPr>
          <w:rFonts w:ascii="Arial" w:eastAsiaTheme="minorHAnsi" w:hAnsi="Arial" w:cs="Arial"/>
          <w:kern w:val="2"/>
          <w:sz w:val="20"/>
          <w:szCs w:val="20"/>
        </w:rPr>
        <w:t>)</w:t>
      </w:r>
      <w:r w:rsidRPr="00D85277">
        <w:rPr>
          <w:rFonts w:ascii="Arial" w:eastAsia="Times New Roman" w:hAnsi="Arial" w:cs="Arial"/>
          <w:bCs/>
          <w:sz w:val="20"/>
          <w:szCs w:val="20"/>
          <w:lang w:val="en"/>
        </w:rPr>
        <w:t xml:space="preserve">. At 15% dead heart incidence, yield loss is estimated at around 0.5 tonnes/ha, while a 30% incidence can cause a loss of up to 7 tonnes/ha, representing a 22–33% reduction in yield. In addition, such infestations may lead to a 12% decline in sugar recovery and a 27% reduction in </w:t>
      </w:r>
      <w:proofErr w:type="spellStart"/>
      <w:r w:rsidRPr="00D85277">
        <w:rPr>
          <w:rFonts w:ascii="Arial" w:eastAsia="Times New Roman" w:hAnsi="Arial" w:cs="Arial"/>
          <w:bCs/>
          <w:sz w:val="20"/>
          <w:szCs w:val="20"/>
          <w:lang w:val="en"/>
        </w:rPr>
        <w:t>jaggery</w:t>
      </w:r>
      <w:proofErr w:type="spellEnd"/>
      <w:r w:rsidRPr="00D85277">
        <w:rPr>
          <w:rFonts w:ascii="Arial" w:eastAsia="Times New Roman" w:hAnsi="Arial" w:cs="Arial"/>
          <w:bCs/>
          <w:sz w:val="20"/>
          <w:szCs w:val="20"/>
          <w:lang w:val="en"/>
        </w:rPr>
        <w:t xml:space="preserve"> production (</w:t>
      </w:r>
      <w:commentRangeStart w:id="9"/>
      <w:proofErr w:type="spellStart"/>
      <w:r w:rsidR="008857A7" w:rsidRPr="00D85277">
        <w:rPr>
          <w:rFonts w:ascii="Arial" w:eastAsia="Times New Roman" w:hAnsi="Arial" w:cs="Arial"/>
          <w:bCs/>
          <w:sz w:val="20"/>
          <w:szCs w:val="20"/>
        </w:rPr>
        <w:t>Patil</w:t>
      </w:r>
      <w:proofErr w:type="spellEnd"/>
      <w:r w:rsidR="008857A7" w:rsidRPr="00D85277">
        <w:rPr>
          <w:rFonts w:ascii="Arial" w:eastAsia="Times New Roman" w:hAnsi="Arial" w:cs="Arial"/>
          <w:bCs/>
          <w:sz w:val="20"/>
          <w:szCs w:val="20"/>
        </w:rPr>
        <w:t xml:space="preserve"> &amp; </w:t>
      </w:r>
      <w:proofErr w:type="spellStart"/>
      <w:r w:rsidR="008857A7" w:rsidRPr="00D85277">
        <w:rPr>
          <w:rFonts w:ascii="Arial" w:eastAsia="Times New Roman" w:hAnsi="Arial" w:cs="Arial"/>
          <w:bCs/>
          <w:sz w:val="20"/>
          <w:szCs w:val="20"/>
        </w:rPr>
        <w:t>Hapse</w:t>
      </w:r>
      <w:proofErr w:type="spellEnd"/>
      <w:r w:rsidR="008857A7" w:rsidRPr="00D85277">
        <w:rPr>
          <w:rFonts w:ascii="Arial" w:eastAsia="Times New Roman" w:hAnsi="Arial" w:cs="Arial"/>
          <w:bCs/>
          <w:sz w:val="20"/>
          <w:szCs w:val="20"/>
        </w:rPr>
        <w:t>, 1981</w:t>
      </w:r>
      <w:commentRangeEnd w:id="9"/>
      <w:r w:rsidR="00B07944">
        <w:rPr>
          <w:rStyle w:val="CommentReference"/>
        </w:rPr>
        <w:commentReference w:id="9"/>
      </w:r>
      <w:r w:rsidRPr="00D85277">
        <w:rPr>
          <w:rFonts w:ascii="Arial" w:eastAsia="Times New Roman" w:hAnsi="Arial" w:cs="Arial"/>
          <w:bCs/>
          <w:sz w:val="20"/>
          <w:szCs w:val="20"/>
          <w:lang w:val="en"/>
        </w:rPr>
        <w:t>).</w:t>
      </w:r>
    </w:p>
    <w:p w14:paraId="15ABF278" w14:textId="77777777" w:rsidR="00031499" w:rsidRPr="00D85277" w:rsidRDefault="00031499" w:rsidP="000B4699">
      <w:pPr>
        <w:spacing w:after="0" w:line="240" w:lineRule="auto"/>
        <w:jc w:val="both"/>
        <w:rPr>
          <w:rFonts w:ascii="Arial" w:eastAsia="Times New Roman" w:hAnsi="Arial" w:cs="Arial"/>
          <w:bCs/>
          <w:sz w:val="19"/>
          <w:szCs w:val="19"/>
          <w:lang w:val="en"/>
        </w:rPr>
      </w:pPr>
    </w:p>
    <w:p w14:paraId="681D5950" w14:textId="6688FCEB"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The internode borer, </w:t>
      </w:r>
      <w:proofErr w:type="spellStart"/>
      <w:r w:rsidRPr="00D85277">
        <w:rPr>
          <w:rFonts w:ascii="Arial" w:eastAsia="Times New Roman" w:hAnsi="Arial" w:cs="Arial"/>
          <w:bCs/>
          <w:i/>
          <w:sz w:val="20"/>
          <w:szCs w:val="20"/>
          <w:lang w:val="en"/>
        </w:rPr>
        <w:t>Chilo</w:t>
      </w:r>
      <w:proofErr w:type="spellEnd"/>
      <w:r w:rsidRPr="00D85277">
        <w:rPr>
          <w:rFonts w:ascii="Arial" w:eastAsia="Times New Roman" w:hAnsi="Arial" w:cs="Arial"/>
          <w:bCs/>
          <w:i/>
          <w:sz w:val="20"/>
          <w:szCs w:val="20"/>
          <w:lang w:val="en"/>
        </w:rPr>
        <w:t xml:space="preserve"> </w:t>
      </w:r>
      <w:proofErr w:type="spellStart"/>
      <w:r w:rsidRPr="00D85277">
        <w:rPr>
          <w:rFonts w:ascii="Arial" w:eastAsia="Times New Roman" w:hAnsi="Arial" w:cs="Arial"/>
          <w:bCs/>
          <w:i/>
          <w:sz w:val="20"/>
          <w:szCs w:val="20"/>
          <w:lang w:val="en"/>
        </w:rPr>
        <w:t>sacchariphagus</w:t>
      </w:r>
      <w:proofErr w:type="spellEnd"/>
      <w:r w:rsidRPr="00D85277">
        <w:rPr>
          <w:rFonts w:ascii="Arial" w:eastAsia="Times New Roman" w:hAnsi="Arial" w:cs="Arial"/>
          <w:bCs/>
          <w:i/>
          <w:sz w:val="20"/>
          <w:szCs w:val="20"/>
          <w:lang w:val="en"/>
        </w:rPr>
        <w:t xml:space="preserve"> </w:t>
      </w:r>
      <w:proofErr w:type="spellStart"/>
      <w:r w:rsidRPr="00D85277">
        <w:rPr>
          <w:rFonts w:ascii="Arial" w:eastAsia="Times New Roman" w:hAnsi="Arial" w:cs="Arial"/>
          <w:bCs/>
          <w:i/>
          <w:sz w:val="20"/>
          <w:szCs w:val="20"/>
          <w:lang w:val="en"/>
        </w:rPr>
        <w:t>indicus</w:t>
      </w:r>
      <w:proofErr w:type="spellEnd"/>
      <w:r w:rsidRPr="00D85277">
        <w:rPr>
          <w:rFonts w:ascii="Arial" w:eastAsia="Times New Roman" w:hAnsi="Arial" w:cs="Arial"/>
          <w:bCs/>
          <w:sz w:val="20"/>
          <w:szCs w:val="20"/>
          <w:lang w:val="en"/>
        </w:rPr>
        <w:t xml:space="preserve"> </w:t>
      </w:r>
      <w:proofErr w:type="spellStart"/>
      <w:r w:rsidRPr="00D85277">
        <w:rPr>
          <w:rFonts w:ascii="Arial" w:eastAsia="Times New Roman" w:hAnsi="Arial" w:cs="Arial"/>
          <w:bCs/>
          <w:sz w:val="20"/>
          <w:szCs w:val="20"/>
          <w:lang w:val="en"/>
        </w:rPr>
        <w:t>Kapur</w:t>
      </w:r>
      <w:proofErr w:type="spellEnd"/>
      <w:r w:rsidRPr="00D85277">
        <w:rPr>
          <w:rFonts w:ascii="Arial" w:eastAsia="Times New Roman" w:hAnsi="Arial" w:cs="Arial"/>
          <w:bCs/>
          <w:sz w:val="20"/>
          <w:szCs w:val="20"/>
          <w:lang w:val="en"/>
        </w:rPr>
        <w:t xml:space="preserve"> (Lepidoptera: </w:t>
      </w:r>
      <w:proofErr w:type="spellStart"/>
      <w:r w:rsidRPr="00D85277">
        <w:rPr>
          <w:rFonts w:ascii="Arial" w:eastAsia="Times New Roman" w:hAnsi="Arial" w:cs="Arial"/>
          <w:bCs/>
          <w:sz w:val="20"/>
          <w:szCs w:val="20"/>
          <w:lang w:val="en"/>
        </w:rPr>
        <w:t>Crambidae</w:t>
      </w:r>
      <w:proofErr w:type="spellEnd"/>
      <w:r w:rsidRPr="00D85277">
        <w:rPr>
          <w:rFonts w:ascii="Arial" w:eastAsia="Times New Roman" w:hAnsi="Arial" w:cs="Arial"/>
          <w:bCs/>
          <w:sz w:val="20"/>
          <w:szCs w:val="20"/>
          <w:lang w:val="en"/>
        </w:rPr>
        <w:t>), also poses a serious threat, affecting both commercial varieties (David</w:t>
      </w:r>
      <w:r w:rsidR="00A67F87" w:rsidRPr="00D85277">
        <w:rPr>
          <w:rFonts w:ascii="Arial" w:eastAsia="Times New Roman" w:hAnsi="Arial" w:cs="Arial"/>
          <w:bCs/>
          <w:sz w:val="20"/>
          <w:szCs w:val="20"/>
          <w:lang w:val="en"/>
        </w:rPr>
        <w:t xml:space="preserve"> </w:t>
      </w:r>
      <w:r w:rsidR="00A67F87" w:rsidRPr="00D85277">
        <w:rPr>
          <w:rFonts w:ascii="Arial" w:eastAsiaTheme="minorHAnsi" w:hAnsi="Arial" w:cs="Arial"/>
          <w:kern w:val="2"/>
          <w:sz w:val="20"/>
          <w:szCs w:val="20"/>
        </w:rPr>
        <w:t xml:space="preserve">&amp; </w:t>
      </w:r>
      <w:proofErr w:type="spellStart"/>
      <w:r w:rsidR="00A67F87" w:rsidRPr="00D85277">
        <w:rPr>
          <w:rFonts w:ascii="Arial" w:eastAsiaTheme="minorHAnsi" w:hAnsi="Arial" w:cs="Arial"/>
          <w:kern w:val="2"/>
          <w:sz w:val="20"/>
          <w:szCs w:val="20"/>
        </w:rPr>
        <w:t>Easwaramoorthy</w:t>
      </w:r>
      <w:proofErr w:type="spellEnd"/>
      <w:r w:rsidR="00A67F87" w:rsidRPr="00D85277">
        <w:rPr>
          <w:rFonts w:ascii="Arial" w:eastAsiaTheme="minorHAnsi" w:hAnsi="Arial" w:cs="Arial"/>
          <w:kern w:val="2"/>
          <w:sz w:val="20"/>
          <w:szCs w:val="20"/>
        </w:rPr>
        <w:t>, 1990</w:t>
      </w:r>
      <w:r w:rsidRPr="00D85277">
        <w:rPr>
          <w:rFonts w:ascii="Arial" w:eastAsia="Times New Roman" w:hAnsi="Arial" w:cs="Arial"/>
          <w:bCs/>
          <w:sz w:val="20"/>
          <w:szCs w:val="20"/>
          <w:lang w:val="en"/>
        </w:rPr>
        <w:t xml:space="preserve">) and germplasm collections (Mahesh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2018). Infestations typically begin in April and intensify over time, peaking in September–October when the crop reaches 7–8 months of age (</w:t>
      </w:r>
      <w:r w:rsidR="0085267C" w:rsidRPr="00D85277">
        <w:rPr>
          <w:rFonts w:ascii="Arial" w:eastAsia="Times New Roman" w:hAnsi="Arial" w:cs="Arial"/>
          <w:bCs/>
          <w:sz w:val="20"/>
          <w:szCs w:val="20"/>
          <w:lang w:val="en"/>
        </w:rPr>
        <w:t>Agrawal</w:t>
      </w:r>
      <w:r w:rsidRPr="00D85277">
        <w:rPr>
          <w:rFonts w:ascii="Arial" w:eastAsia="Times New Roman" w:hAnsi="Arial" w:cs="Arial"/>
          <w:bCs/>
          <w:sz w:val="20"/>
          <w:szCs w:val="20"/>
          <w:lang w:val="en"/>
        </w:rPr>
        <w:t>, 1964). This pest damages the internodes, reducing their length and thickness, which leads to substantial yield and processing losses (</w:t>
      </w:r>
      <w:commentRangeStart w:id="10"/>
      <w:r w:rsidRPr="00D85277">
        <w:rPr>
          <w:rFonts w:ascii="Arial" w:eastAsia="Times New Roman" w:hAnsi="Arial" w:cs="Arial"/>
          <w:bCs/>
          <w:sz w:val="20"/>
          <w:szCs w:val="20"/>
          <w:lang w:val="en"/>
        </w:rPr>
        <w:t xml:space="preserve">David and </w:t>
      </w:r>
      <w:proofErr w:type="spellStart"/>
      <w:r w:rsidR="008857A7" w:rsidRPr="00D85277">
        <w:rPr>
          <w:rFonts w:ascii="Arial" w:eastAsia="Times New Roman" w:hAnsi="Arial" w:cs="Arial"/>
          <w:bCs/>
          <w:sz w:val="20"/>
          <w:szCs w:val="20"/>
        </w:rPr>
        <w:t>Ananthanarayana</w:t>
      </w:r>
      <w:proofErr w:type="spellEnd"/>
      <w:r w:rsidRPr="00D85277">
        <w:rPr>
          <w:rFonts w:ascii="Arial" w:eastAsia="Times New Roman" w:hAnsi="Arial" w:cs="Arial"/>
          <w:bCs/>
          <w:sz w:val="20"/>
          <w:szCs w:val="20"/>
          <w:lang w:val="en"/>
        </w:rPr>
        <w:t>, 1963</w:t>
      </w:r>
      <w:commentRangeEnd w:id="10"/>
      <w:r w:rsidR="00B07944">
        <w:rPr>
          <w:rStyle w:val="CommentReference"/>
        </w:rPr>
        <w:commentReference w:id="10"/>
      </w:r>
      <w:r w:rsidRPr="00D85277">
        <w:rPr>
          <w:rFonts w:ascii="Arial" w:eastAsia="Times New Roman" w:hAnsi="Arial" w:cs="Arial"/>
          <w:bCs/>
          <w:sz w:val="20"/>
          <w:szCs w:val="20"/>
          <w:lang w:val="en"/>
        </w:rPr>
        <w:t xml:space="preserve">). Larvae may enter from the top of the plant, feeding on or above the meristem, or they may penetrate the meristem itself, resulting in "deadheart" symptoms. Additional indicators include axial bud </w:t>
      </w:r>
      <w:r w:rsidRPr="00D85277">
        <w:rPr>
          <w:rFonts w:ascii="Arial" w:eastAsia="Times New Roman" w:hAnsi="Arial" w:cs="Arial"/>
          <w:bCs/>
          <w:sz w:val="20"/>
          <w:szCs w:val="20"/>
          <w:lang w:val="en"/>
        </w:rPr>
        <w:lastRenderedPageBreak/>
        <w:t>germination and damage to germinated buds (</w:t>
      </w:r>
      <w:r w:rsidR="008857A7" w:rsidRPr="00D85277">
        <w:rPr>
          <w:rFonts w:ascii="Arial" w:eastAsia="Times New Roman" w:hAnsi="Arial" w:cs="Arial"/>
          <w:bCs/>
          <w:sz w:val="20"/>
          <w:szCs w:val="20"/>
        </w:rPr>
        <w:t>Srikanth &amp; Kurup, 2011</w:t>
      </w:r>
      <w:r w:rsidRPr="00D85277">
        <w:rPr>
          <w:rFonts w:ascii="Arial" w:eastAsia="Times New Roman" w:hAnsi="Arial" w:cs="Arial"/>
          <w:bCs/>
          <w:sz w:val="20"/>
          <w:szCs w:val="20"/>
          <w:lang w:val="en"/>
        </w:rPr>
        <w:t xml:space="preserve">). Yield losses are further compounded by a reduction in the number of millable canes due to early shoot borer damage, and by decreased cane weight </w:t>
      </w:r>
      <w:r w:rsidR="00ED2E63" w:rsidRPr="00D85277">
        <w:rPr>
          <w:rFonts w:ascii="Arial" w:eastAsia="Times New Roman" w:hAnsi="Arial" w:cs="Arial"/>
          <w:bCs/>
          <w:sz w:val="20"/>
          <w:szCs w:val="20"/>
          <w:lang w:val="en"/>
        </w:rPr>
        <w:t>because of</w:t>
      </w:r>
      <w:r w:rsidRPr="00D85277">
        <w:rPr>
          <w:rFonts w:ascii="Arial" w:eastAsia="Times New Roman" w:hAnsi="Arial" w:cs="Arial"/>
          <w:bCs/>
          <w:sz w:val="20"/>
          <w:szCs w:val="20"/>
          <w:lang w:val="en"/>
        </w:rPr>
        <w:t xml:space="preserve"> internode borer infestation. Juice quality and sugar recovery are also adversely affected due to the production of late tillers and secondary bud spro</w:t>
      </w:r>
      <w:bookmarkStart w:id="11" w:name="_GoBack"/>
      <w:bookmarkEnd w:id="11"/>
      <w:r w:rsidRPr="00D85277">
        <w:rPr>
          <w:rFonts w:ascii="Arial" w:eastAsia="Times New Roman" w:hAnsi="Arial" w:cs="Arial"/>
          <w:bCs/>
          <w:sz w:val="20"/>
          <w:szCs w:val="20"/>
          <w:lang w:val="en"/>
        </w:rPr>
        <w:t xml:space="preserve">uting. Given the severity of damage caused by these </w:t>
      </w:r>
      <w:r w:rsidR="00ED2E63" w:rsidRPr="00D85277">
        <w:rPr>
          <w:rFonts w:ascii="Arial" w:eastAsia="Times New Roman" w:hAnsi="Arial" w:cs="Arial"/>
          <w:bCs/>
          <w:sz w:val="20"/>
          <w:szCs w:val="20"/>
          <w:lang w:val="en"/>
        </w:rPr>
        <w:t>borers,</w:t>
      </w:r>
      <w:r w:rsidRPr="00D85277">
        <w:rPr>
          <w:rFonts w:ascii="Arial" w:eastAsia="Times New Roman" w:hAnsi="Arial" w:cs="Arial"/>
          <w:bCs/>
          <w:sz w:val="20"/>
          <w:szCs w:val="20"/>
          <w:lang w:val="en"/>
        </w:rPr>
        <w:t xml:space="preserve"> especially during the early stages of crop development, timely and effective pest management strategies are essential to maintain optimal plant stand and ensure high cane yields. In view of these challenges, the present study was undertaken to assess the yield losses caused by stem borers and to evaluate effective management strategies for controlling both early shoot borer and internode borer in sugarcane under changed climatic scenario in Andhra Pradesh.</w:t>
      </w:r>
    </w:p>
    <w:p w14:paraId="48F84F0B"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78FD31EF" w14:textId="1B79323B" w:rsidR="00F72EE4" w:rsidRPr="00D85277" w:rsidRDefault="00031499" w:rsidP="000B4699">
      <w:pPr>
        <w:pStyle w:val="Heading2"/>
        <w:keepNext w:val="0"/>
        <w:keepLines w:val="0"/>
        <w:rPr>
          <w:rFonts w:eastAsia="Times New Roman"/>
          <w:lang w:val="en"/>
        </w:rPr>
      </w:pPr>
      <w:r w:rsidRPr="00D85277">
        <w:rPr>
          <w:rFonts w:eastAsia="Times New Roman"/>
          <w:lang w:val="en"/>
        </w:rPr>
        <w:t xml:space="preserve">2. MATERIALS AND METHODS </w:t>
      </w:r>
    </w:p>
    <w:p w14:paraId="06D45979" w14:textId="77777777" w:rsidR="00031499" w:rsidRPr="00D85277" w:rsidRDefault="00031499" w:rsidP="000B4699">
      <w:pPr>
        <w:spacing w:after="0" w:line="240" w:lineRule="auto"/>
        <w:jc w:val="both"/>
        <w:rPr>
          <w:rFonts w:ascii="Arial" w:eastAsia="Times New Roman" w:hAnsi="Arial" w:cs="Arial"/>
          <w:bCs/>
          <w:sz w:val="18"/>
          <w:szCs w:val="18"/>
          <w:lang w:val="en"/>
        </w:rPr>
      </w:pPr>
    </w:p>
    <w:p w14:paraId="24718EF8" w14:textId="389E678E"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Field studies were conducted at the Regional Agricultural Research Station, Anakapalle for two consecutive seasons during 2023–24 and 2024–25 to assess the yield losses due to </w:t>
      </w:r>
      <w:r w:rsidR="007C2D53"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 xml:space="preserve">borer pests and to evaluate the effectiveness of different pest management strategies </w:t>
      </w:r>
      <w:r w:rsidRPr="00D85277">
        <w:rPr>
          <w:rFonts w:ascii="Arial" w:eastAsia="Times New Roman" w:hAnsi="Arial" w:cs="Arial"/>
          <w:bCs/>
          <w:i/>
          <w:sz w:val="20"/>
          <w:szCs w:val="20"/>
          <w:lang w:val="en"/>
        </w:rPr>
        <w:t>viz.</w:t>
      </w:r>
      <w:r w:rsidRPr="00D85277">
        <w:rPr>
          <w:rFonts w:ascii="Arial" w:eastAsia="Times New Roman" w:hAnsi="Arial" w:cs="Arial"/>
          <w:bCs/>
          <w:sz w:val="20"/>
          <w:szCs w:val="20"/>
          <w:lang w:val="en"/>
        </w:rPr>
        <w:t xml:space="preserve">, chemical control with chlorantraniliprole, non-chemical control through trash mulching, intercropping, field release of </w:t>
      </w:r>
      <w:r w:rsidRPr="00D85277">
        <w:rPr>
          <w:rFonts w:ascii="Arial" w:eastAsia="Times New Roman" w:hAnsi="Arial" w:cs="Arial"/>
          <w:bCs/>
          <w:i/>
          <w:sz w:val="20"/>
          <w:szCs w:val="20"/>
          <w:lang w:val="en"/>
        </w:rPr>
        <w:t>Trichogramma chilonis</w:t>
      </w:r>
      <w:r w:rsidRPr="00D85277">
        <w:rPr>
          <w:rFonts w:ascii="Arial" w:eastAsia="Times New Roman" w:hAnsi="Arial" w:cs="Arial"/>
          <w:bCs/>
          <w:sz w:val="20"/>
          <w:szCs w:val="20"/>
          <w:lang w:val="en"/>
        </w:rPr>
        <w:t xml:space="preserve">, detrashing and mass trapping with pheromone traps </w:t>
      </w:r>
      <w:r w:rsidRPr="00D85277">
        <w:rPr>
          <w:rFonts w:ascii="Arial" w:eastAsia="Times New Roman" w:hAnsi="Arial" w:cs="Arial"/>
          <w:bCs/>
          <w:i/>
          <w:sz w:val="20"/>
          <w:szCs w:val="20"/>
          <w:lang w:val="en"/>
        </w:rPr>
        <w:t>etc</w:t>
      </w:r>
      <w:r w:rsidRPr="00D85277">
        <w:rPr>
          <w:rFonts w:ascii="Arial" w:eastAsia="Times New Roman" w:hAnsi="Arial" w:cs="Arial"/>
          <w:bCs/>
          <w:sz w:val="20"/>
          <w:szCs w:val="20"/>
          <w:lang w:val="en"/>
        </w:rPr>
        <w:t>., in sugarcane. The experiment was conducted using a Randomized Block Design (RBD) with four treatments, each replicated four times over two consecutive years. The study included four treatments: chemical control, non-chemical control, integrated practices (IPM) involving both chemical and non-chemical methods, and an untreated control (Table 1). Sugarcane variety CoA 99082 (93 A 145) was planted and managed following recommended agronomic practices. Data were recorded on germination, early shoot borer (ESB) incidence at 30, 60, 90, and 120 days after planting (DAP), internode borer, growth parameters, juice sucrose content, number of millable canes (NMC), and cane yield per plot at harvest. Cumulative ESB incidence up to 120 DAP (% dead hearts), as well as the incidence and intensity of internode borer (INB), were calculated. The NMC and cane yield per hectare were estimated and all the data were subjected to statistical analysis.</w:t>
      </w:r>
    </w:p>
    <w:p w14:paraId="337E2B03" w14:textId="77777777" w:rsidR="000B4699" w:rsidRPr="00D85277" w:rsidRDefault="000B4699" w:rsidP="000B4699">
      <w:pPr>
        <w:spacing w:after="0" w:line="240" w:lineRule="auto"/>
        <w:jc w:val="center"/>
        <w:rPr>
          <w:rFonts w:ascii="Arial" w:eastAsia="Times New Roman" w:hAnsi="Arial" w:cs="Arial"/>
          <w:b/>
          <w:bCs/>
          <w:sz w:val="20"/>
          <w:szCs w:val="20"/>
          <w:lang w:val="en"/>
        </w:rPr>
        <w:sectPr w:rsidR="000B4699" w:rsidRPr="00D85277" w:rsidSect="000B4699">
          <w:type w:val="continuous"/>
          <w:pgSz w:w="11909" w:h="16834" w:code="9"/>
          <w:pgMar w:top="1440" w:right="1440" w:bottom="1440" w:left="1440" w:header="720" w:footer="864" w:gutter="0"/>
          <w:cols w:num="2" w:space="288"/>
          <w:titlePg/>
          <w:docGrid w:linePitch="360"/>
        </w:sectPr>
      </w:pPr>
    </w:p>
    <w:p w14:paraId="33867E5C" w14:textId="77777777" w:rsidR="00F72EE4" w:rsidRPr="00D85277" w:rsidRDefault="00F72EE4" w:rsidP="000B4699">
      <w:pPr>
        <w:spacing w:after="0" w:line="240" w:lineRule="auto"/>
        <w:jc w:val="center"/>
        <w:rPr>
          <w:rFonts w:ascii="Arial" w:eastAsia="Times New Roman" w:hAnsi="Arial" w:cs="Arial"/>
          <w:b/>
          <w:bCs/>
          <w:sz w:val="20"/>
          <w:szCs w:val="20"/>
          <w:lang w:val="en"/>
        </w:rPr>
      </w:pPr>
    </w:p>
    <w:p w14:paraId="3121831D" w14:textId="14E5368E" w:rsidR="00031499" w:rsidRPr="00D85277" w:rsidRDefault="00031499" w:rsidP="000B4699">
      <w:pPr>
        <w:spacing w:after="0" w:line="240" w:lineRule="auto"/>
        <w:jc w:val="center"/>
        <w:rPr>
          <w:rFonts w:ascii="Arial" w:eastAsia="Times New Roman" w:hAnsi="Arial" w:cs="Arial"/>
          <w:b/>
          <w:bCs/>
          <w:sz w:val="20"/>
          <w:szCs w:val="20"/>
          <w:lang w:val="en"/>
        </w:rPr>
      </w:pPr>
      <w:r w:rsidRPr="00D85277">
        <w:rPr>
          <w:rFonts w:ascii="Arial" w:eastAsia="Times New Roman" w:hAnsi="Arial" w:cs="Arial"/>
          <w:b/>
          <w:bCs/>
          <w:sz w:val="20"/>
          <w:szCs w:val="20"/>
          <w:lang w:val="en"/>
        </w:rPr>
        <w:lastRenderedPageBreak/>
        <w:t>Table 1. Details of the treatment</w:t>
      </w:r>
    </w:p>
    <w:p w14:paraId="65443B4F" w14:textId="77777777" w:rsidR="00031499" w:rsidRPr="00D85277" w:rsidRDefault="00031499" w:rsidP="000B4699">
      <w:pPr>
        <w:spacing w:after="0" w:line="240" w:lineRule="auto"/>
        <w:jc w:val="center"/>
        <w:rPr>
          <w:rFonts w:ascii="Arial" w:eastAsia="Times New Roman" w:hAnsi="Arial" w:cs="Arial"/>
          <w:b/>
          <w:bCs/>
          <w:sz w:val="20"/>
          <w:szCs w:val="20"/>
          <w:lang w:val="e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
        <w:gridCol w:w="2416"/>
        <w:gridCol w:w="5893"/>
      </w:tblGrid>
      <w:tr w:rsidR="00F72EE4" w:rsidRPr="00D85277" w14:paraId="106107E6" w14:textId="77777777" w:rsidTr="00031499">
        <w:trPr>
          <w:trHeight w:val="20"/>
          <w:jc w:val="center"/>
        </w:trPr>
        <w:tc>
          <w:tcPr>
            <w:tcW w:w="704" w:type="dxa"/>
            <w:tcBorders>
              <w:bottom w:val="single" w:sz="4" w:space="0" w:color="auto"/>
            </w:tcBorders>
          </w:tcPr>
          <w:p w14:paraId="565AAAA6" w14:textId="77777777" w:rsidR="00F72EE4" w:rsidRPr="00D85277" w:rsidRDefault="00F72EE4" w:rsidP="000B4699">
            <w:pPr>
              <w:rPr>
                <w:rFonts w:ascii="Arial" w:eastAsia="Times New Roman" w:hAnsi="Arial" w:cs="Arial"/>
                <w:b/>
                <w:bCs/>
                <w:sz w:val="20"/>
                <w:szCs w:val="20"/>
                <w:lang w:val="en"/>
              </w:rPr>
            </w:pPr>
            <w:proofErr w:type="spellStart"/>
            <w:r w:rsidRPr="00D85277">
              <w:rPr>
                <w:rFonts w:ascii="Arial" w:eastAsia="Times New Roman" w:hAnsi="Arial" w:cs="Arial"/>
                <w:b/>
                <w:bCs/>
                <w:sz w:val="20"/>
                <w:szCs w:val="20"/>
                <w:lang w:val="en"/>
              </w:rPr>
              <w:t>S.No</w:t>
            </w:r>
            <w:proofErr w:type="spellEnd"/>
          </w:p>
        </w:tc>
        <w:tc>
          <w:tcPr>
            <w:tcW w:w="2267" w:type="dxa"/>
            <w:tcBorders>
              <w:bottom w:val="single" w:sz="4" w:space="0" w:color="auto"/>
            </w:tcBorders>
          </w:tcPr>
          <w:p w14:paraId="6F518C07" w14:textId="77777777" w:rsidR="00F72EE4" w:rsidRPr="00D85277" w:rsidRDefault="00F72EE4" w:rsidP="000B4699">
            <w:pPr>
              <w:rPr>
                <w:rFonts w:ascii="Arial" w:eastAsia="Times New Roman" w:hAnsi="Arial" w:cs="Arial"/>
                <w:b/>
                <w:bCs/>
                <w:sz w:val="20"/>
                <w:szCs w:val="20"/>
                <w:lang w:val="en"/>
              </w:rPr>
            </w:pPr>
            <w:r w:rsidRPr="00D85277">
              <w:rPr>
                <w:rFonts w:ascii="Arial" w:eastAsia="Times New Roman" w:hAnsi="Arial" w:cs="Arial"/>
                <w:b/>
                <w:bCs/>
                <w:sz w:val="20"/>
                <w:szCs w:val="20"/>
                <w:lang w:val="en"/>
              </w:rPr>
              <w:t>Treatment</w:t>
            </w:r>
          </w:p>
        </w:tc>
        <w:tc>
          <w:tcPr>
            <w:tcW w:w="5529" w:type="dxa"/>
            <w:tcBorders>
              <w:bottom w:val="single" w:sz="4" w:space="0" w:color="auto"/>
            </w:tcBorders>
          </w:tcPr>
          <w:p w14:paraId="2675CDB3" w14:textId="77777777" w:rsidR="00F72EE4" w:rsidRPr="00D85277" w:rsidRDefault="00F72EE4" w:rsidP="000B4699">
            <w:pPr>
              <w:rPr>
                <w:rFonts w:ascii="Arial" w:eastAsia="Times New Roman" w:hAnsi="Arial" w:cs="Arial"/>
                <w:b/>
                <w:bCs/>
                <w:sz w:val="20"/>
                <w:szCs w:val="20"/>
                <w:lang w:val="en"/>
              </w:rPr>
            </w:pPr>
            <w:r w:rsidRPr="00D85277">
              <w:rPr>
                <w:rFonts w:ascii="Arial" w:eastAsia="Times New Roman" w:hAnsi="Arial" w:cs="Arial"/>
                <w:b/>
                <w:bCs/>
                <w:sz w:val="20"/>
                <w:szCs w:val="20"/>
                <w:lang w:val="en"/>
              </w:rPr>
              <w:t xml:space="preserve">Practices </w:t>
            </w:r>
          </w:p>
        </w:tc>
      </w:tr>
      <w:tr w:rsidR="00F72EE4" w:rsidRPr="00D85277" w14:paraId="7B4A2D58" w14:textId="77777777" w:rsidTr="00031499">
        <w:trPr>
          <w:trHeight w:val="20"/>
          <w:jc w:val="center"/>
        </w:trPr>
        <w:tc>
          <w:tcPr>
            <w:tcW w:w="704" w:type="dxa"/>
            <w:tcBorders>
              <w:top w:val="single" w:sz="4" w:space="0" w:color="auto"/>
              <w:bottom w:val="single" w:sz="4" w:space="0" w:color="auto"/>
            </w:tcBorders>
          </w:tcPr>
          <w:p w14:paraId="7578BB0C"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1</w:t>
            </w:r>
          </w:p>
        </w:tc>
        <w:tc>
          <w:tcPr>
            <w:tcW w:w="2267" w:type="dxa"/>
            <w:tcBorders>
              <w:top w:val="single" w:sz="4" w:space="0" w:color="auto"/>
              <w:bottom w:val="single" w:sz="4" w:space="0" w:color="auto"/>
            </w:tcBorders>
          </w:tcPr>
          <w:p w14:paraId="33ACB9EA"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Chemical Module</w:t>
            </w:r>
          </w:p>
          <w:p w14:paraId="046517E9" w14:textId="77777777" w:rsidR="00F72EE4" w:rsidRPr="00D85277" w:rsidRDefault="00F72EE4" w:rsidP="000B4699">
            <w:pPr>
              <w:rPr>
                <w:rFonts w:ascii="Arial" w:eastAsia="Times New Roman" w:hAnsi="Arial" w:cs="Arial"/>
                <w:bCs/>
                <w:sz w:val="20"/>
                <w:szCs w:val="20"/>
                <w:lang w:val="en"/>
              </w:rPr>
            </w:pPr>
          </w:p>
        </w:tc>
        <w:tc>
          <w:tcPr>
            <w:tcW w:w="5529" w:type="dxa"/>
            <w:tcBorders>
              <w:top w:val="single" w:sz="4" w:space="0" w:color="auto"/>
              <w:bottom w:val="single" w:sz="4" w:space="0" w:color="auto"/>
            </w:tcBorders>
          </w:tcPr>
          <w:p w14:paraId="3552E737"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Soil application of chlorantraniliprole 0.4G at 22.5 kg/ha at planting.  </w:t>
            </w:r>
          </w:p>
          <w:p w14:paraId="487CEAD8"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Foliar spray of chlorantraniliprole 18.5 SC at 0.3 ml/L between 60-90 days after planting (DAP),</w:t>
            </w:r>
          </w:p>
        </w:tc>
      </w:tr>
      <w:tr w:rsidR="00F72EE4" w:rsidRPr="00D85277" w14:paraId="5DBFD455" w14:textId="77777777" w:rsidTr="00031499">
        <w:trPr>
          <w:trHeight w:val="20"/>
          <w:jc w:val="center"/>
        </w:trPr>
        <w:tc>
          <w:tcPr>
            <w:tcW w:w="704" w:type="dxa"/>
            <w:tcBorders>
              <w:top w:val="single" w:sz="4" w:space="0" w:color="auto"/>
              <w:bottom w:val="single" w:sz="4" w:space="0" w:color="auto"/>
            </w:tcBorders>
          </w:tcPr>
          <w:p w14:paraId="67BA70BE"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2</w:t>
            </w:r>
          </w:p>
        </w:tc>
        <w:tc>
          <w:tcPr>
            <w:tcW w:w="2267" w:type="dxa"/>
            <w:tcBorders>
              <w:top w:val="single" w:sz="4" w:space="0" w:color="auto"/>
              <w:bottom w:val="single" w:sz="4" w:space="0" w:color="auto"/>
            </w:tcBorders>
          </w:tcPr>
          <w:p w14:paraId="768418E3"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Non Chemical Module</w:t>
            </w:r>
          </w:p>
        </w:tc>
        <w:tc>
          <w:tcPr>
            <w:tcW w:w="5529" w:type="dxa"/>
            <w:tcBorders>
              <w:top w:val="single" w:sz="4" w:space="0" w:color="auto"/>
              <w:bottom w:val="single" w:sz="4" w:space="0" w:color="auto"/>
            </w:tcBorders>
          </w:tcPr>
          <w:p w14:paraId="44BBC3EF" w14:textId="50B8FFE2"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Trash mulching </w:t>
            </w:r>
            <w:proofErr w:type="gramStart"/>
            <w:r w:rsidRPr="00D85277">
              <w:rPr>
                <w:rFonts w:ascii="Arial" w:eastAsia="Times New Roman" w:hAnsi="Arial" w:cs="Arial"/>
                <w:bCs/>
                <w:sz w:val="20"/>
                <w:szCs w:val="20"/>
                <w:lang w:val="en"/>
              </w:rPr>
              <w:t>@  3t</w:t>
            </w:r>
            <w:proofErr w:type="gramEnd"/>
            <w:r w:rsidRPr="00D85277">
              <w:rPr>
                <w:rFonts w:ascii="Arial" w:eastAsia="Times New Roman" w:hAnsi="Arial" w:cs="Arial"/>
                <w:bCs/>
                <w:sz w:val="20"/>
                <w:szCs w:val="20"/>
                <w:lang w:val="en"/>
              </w:rPr>
              <w:t>/ ha</w:t>
            </w:r>
            <w:r w:rsidR="003E6D74" w:rsidRPr="00D85277">
              <w:rPr>
                <w:rFonts w:ascii="Arial" w:eastAsia="Times New Roman" w:hAnsi="Arial" w:cs="Arial"/>
                <w:bCs/>
                <w:sz w:val="20"/>
                <w:szCs w:val="20"/>
                <w:lang w:val="en"/>
              </w:rPr>
              <w:t>.</w:t>
            </w:r>
          </w:p>
          <w:p w14:paraId="7258913F" w14:textId="643D5B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Frequent irrigations at 7-10 days interval</w:t>
            </w:r>
            <w:r w:rsidR="003E6D74" w:rsidRPr="00D85277">
              <w:rPr>
                <w:rFonts w:ascii="Arial" w:eastAsia="Times New Roman" w:hAnsi="Arial" w:cs="Arial"/>
                <w:bCs/>
                <w:sz w:val="20"/>
                <w:szCs w:val="20"/>
                <w:lang w:val="en"/>
              </w:rPr>
              <w:t>.</w:t>
            </w:r>
          </w:p>
          <w:p w14:paraId="4AC90D88"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Intercropping with Cow pea.</w:t>
            </w:r>
          </w:p>
          <w:p w14:paraId="1E18E6C3" w14:textId="77777777" w:rsidR="00F72EE4" w:rsidRPr="00D85277" w:rsidRDefault="00F72EE4" w:rsidP="000B4699">
            <w:pPr>
              <w:rPr>
                <w:rFonts w:ascii="Arial" w:eastAsia="Times New Roman" w:hAnsi="Arial" w:cs="Arial"/>
                <w:bCs/>
                <w:sz w:val="20"/>
                <w:szCs w:val="20"/>
                <w:lang w:val="en"/>
              </w:rPr>
            </w:pPr>
            <w:proofErr w:type="gramStart"/>
            <w:r w:rsidRPr="00D85277">
              <w:rPr>
                <w:rFonts w:ascii="Arial" w:eastAsia="Times New Roman" w:hAnsi="Arial" w:cs="Arial"/>
                <w:bCs/>
                <w:sz w:val="20"/>
                <w:szCs w:val="20"/>
                <w:lang w:val="en"/>
              </w:rPr>
              <w:t>installation</w:t>
            </w:r>
            <w:proofErr w:type="gramEnd"/>
            <w:r w:rsidRPr="00D85277">
              <w:rPr>
                <w:rFonts w:ascii="Arial" w:eastAsia="Times New Roman" w:hAnsi="Arial" w:cs="Arial"/>
                <w:bCs/>
                <w:sz w:val="20"/>
                <w:szCs w:val="20"/>
                <w:lang w:val="en"/>
              </w:rPr>
              <w:t xml:space="preserve"> of pheromone traps @ 25  traps/ha.</w:t>
            </w:r>
          </w:p>
          <w:p w14:paraId="3C597DD6"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Field release of </w:t>
            </w:r>
            <w:proofErr w:type="spellStart"/>
            <w:r w:rsidRPr="00D85277">
              <w:rPr>
                <w:rFonts w:ascii="Arial" w:eastAsia="Times New Roman" w:hAnsi="Arial" w:cs="Arial"/>
                <w:bCs/>
                <w:i/>
                <w:sz w:val="20"/>
                <w:szCs w:val="20"/>
                <w:lang w:val="en"/>
              </w:rPr>
              <w:t>Trichogramma</w:t>
            </w:r>
            <w:proofErr w:type="spellEnd"/>
            <w:r w:rsidRPr="00D85277">
              <w:rPr>
                <w:rFonts w:ascii="Arial" w:eastAsia="Times New Roman" w:hAnsi="Arial" w:cs="Arial"/>
                <w:bCs/>
                <w:i/>
                <w:sz w:val="20"/>
                <w:szCs w:val="20"/>
                <w:lang w:val="en"/>
              </w:rPr>
              <w:t xml:space="preserve"> </w:t>
            </w:r>
            <w:proofErr w:type="spellStart"/>
            <w:r w:rsidRPr="00D85277">
              <w:rPr>
                <w:rFonts w:ascii="Arial" w:eastAsia="Times New Roman" w:hAnsi="Arial" w:cs="Arial"/>
                <w:bCs/>
                <w:i/>
                <w:sz w:val="20"/>
                <w:szCs w:val="20"/>
                <w:lang w:val="en"/>
              </w:rPr>
              <w:t>chilonis</w:t>
            </w:r>
            <w:proofErr w:type="spellEnd"/>
            <w:r w:rsidRPr="00D85277">
              <w:rPr>
                <w:rFonts w:ascii="Arial" w:eastAsia="Times New Roman" w:hAnsi="Arial" w:cs="Arial"/>
                <w:bCs/>
                <w:sz w:val="20"/>
                <w:szCs w:val="20"/>
                <w:lang w:val="en"/>
              </w:rPr>
              <w:t xml:space="preserve"> (</w:t>
            </w:r>
            <w:proofErr w:type="spellStart"/>
            <w:r w:rsidRPr="00D85277">
              <w:rPr>
                <w:rFonts w:ascii="Arial" w:eastAsia="Times New Roman" w:hAnsi="Arial" w:cs="Arial"/>
                <w:bCs/>
                <w:sz w:val="20"/>
                <w:szCs w:val="20"/>
                <w:lang w:val="en"/>
              </w:rPr>
              <w:t>Trichocards</w:t>
            </w:r>
            <w:proofErr w:type="spellEnd"/>
            <w:r w:rsidRPr="00D85277">
              <w:rPr>
                <w:rFonts w:ascii="Arial" w:eastAsia="Times New Roman" w:hAnsi="Arial" w:cs="Arial"/>
                <w:bCs/>
                <w:sz w:val="20"/>
                <w:szCs w:val="20"/>
                <w:lang w:val="en"/>
              </w:rPr>
              <w:t xml:space="preserve">) at 50,000/ha </w:t>
            </w:r>
            <w:proofErr w:type="gramStart"/>
            <w:r w:rsidRPr="00D85277">
              <w:rPr>
                <w:rFonts w:ascii="Arial" w:eastAsia="Times New Roman" w:hAnsi="Arial" w:cs="Arial"/>
                <w:bCs/>
                <w:sz w:val="20"/>
                <w:szCs w:val="20"/>
                <w:lang w:val="en"/>
              </w:rPr>
              <w:t>for  six</w:t>
            </w:r>
            <w:proofErr w:type="gramEnd"/>
            <w:r w:rsidRPr="00D85277">
              <w:rPr>
                <w:rFonts w:ascii="Arial" w:eastAsia="Times New Roman" w:hAnsi="Arial" w:cs="Arial"/>
                <w:bCs/>
                <w:sz w:val="20"/>
                <w:szCs w:val="20"/>
                <w:lang w:val="en"/>
              </w:rPr>
              <w:t xml:space="preserve"> times at 7–10 day intervals from 120 DAP.</w:t>
            </w:r>
          </w:p>
          <w:p w14:paraId="503D6105"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Detrashing at 150 &amp; 180 DAP.</w:t>
            </w:r>
          </w:p>
        </w:tc>
      </w:tr>
      <w:tr w:rsidR="00F72EE4" w:rsidRPr="00D85277" w14:paraId="3C3CDDEC" w14:textId="77777777" w:rsidTr="00031499">
        <w:trPr>
          <w:trHeight w:val="20"/>
          <w:jc w:val="center"/>
        </w:trPr>
        <w:tc>
          <w:tcPr>
            <w:tcW w:w="704" w:type="dxa"/>
            <w:tcBorders>
              <w:top w:val="single" w:sz="4" w:space="0" w:color="auto"/>
              <w:bottom w:val="single" w:sz="4" w:space="0" w:color="auto"/>
            </w:tcBorders>
          </w:tcPr>
          <w:p w14:paraId="2341A0B7"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3</w:t>
            </w:r>
          </w:p>
        </w:tc>
        <w:tc>
          <w:tcPr>
            <w:tcW w:w="2267" w:type="dxa"/>
            <w:tcBorders>
              <w:top w:val="single" w:sz="4" w:space="0" w:color="auto"/>
              <w:bottom w:val="single" w:sz="4" w:space="0" w:color="auto"/>
            </w:tcBorders>
          </w:tcPr>
          <w:p w14:paraId="27BF4C2C"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IPM module (chemical + Non chemical)</w:t>
            </w:r>
          </w:p>
        </w:tc>
        <w:tc>
          <w:tcPr>
            <w:tcW w:w="5529" w:type="dxa"/>
            <w:tcBorders>
              <w:top w:val="single" w:sz="4" w:space="0" w:color="auto"/>
              <w:bottom w:val="single" w:sz="4" w:space="0" w:color="auto"/>
            </w:tcBorders>
          </w:tcPr>
          <w:p w14:paraId="70D9F698" w14:textId="0769DA1E"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Soil application of chlorantraniliprole 0.4G at 22.5 kg/ha at planting</w:t>
            </w:r>
            <w:r w:rsidR="003E6D74" w:rsidRPr="00D85277">
              <w:rPr>
                <w:rFonts w:ascii="Arial" w:eastAsia="Times New Roman" w:hAnsi="Arial" w:cs="Arial"/>
                <w:bCs/>
                <w:sz w:val="20"/>
                <w:szCs w:val="20"/>
                <w:lang w:val="en"/>
              </w:rPr>
              <w:t>.</w:t>
            </w:r>
            <w:r w:rsidRPr="00D85277">
              <w:rPr>
                <w:rFonts w:ascii="Arial" w:eastAsia="Times New Roman" w:hAnsi="Arial" w:cs="Arial"/>
                <w:bCs/>
                <w:sz w:val="20"/>
                <w:szCs w:val="20"/>
                <w:lang w:val="en"/>
              </w:rPr>
              <w:t xml:space="preserve"> </w:t>
            </w:r>
          </w:p>
          <w:p w14:paraId="74D6116A" w14:textId="6A4413D0"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Trash mulching @ 3t/ ha</w:t>
            </w:r>
            <w:r w:rsidR="003E6D74" w:rsidRPr="00D85277">
              <w:rPr>
                <w:rFonts w:ascii="Arial" w:eastAsia="Times New Roman" w:hAnsi="Arial" w:cs="Arial"/>
                <w:bCs/>
                <w:sz w:val="20"/>
                <w:szCs w:val="20"/>
                <w:lang w:val="en"/>
              </w:rPr>
              <w:t>.</w:t>
            </w:r>
          </w:p>
          <w:p w14:paraId="5366F46F" w14:textId="1B926B86"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Intercropping with Cow pea</w:t>
            </w:r>
            <w:r w:rsidR="003E6D74" w:rsidRPr="00D85277">
              <w:rPr>
                <w:rFonts w:ascii="Arial" w:eastAsia="Times New Roman" w:hAnsi="Arial" w:cs="Arial"/>
                <w:bCs/>
                <w:sz w:val="20"/>
                <w:szCs w:val="20"/>
                <w:lang w:val="en"/>
              </w:rPr>
              <w:t>.</w:t>
            </w:r>
            <w:r w:rsidRPr="00D85277">
              <w:rPr>
                <w:rFonts w:ascii="Arial" w:eastAsia="Times New Roman" w:hAnsi="Arial" w:cs="Arial"/>
                <w:bCs/>
                <w:sz w:val="20"/>
                <w:szCs w:val="20"/>
                <w:lang w:val="en"/>
              </w:rPr>
              <w:t xml:space="preserve"> </w:t>
            </w:r>
          </w:p>
          <w:p w14:paraId="2FBC39F1"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Installation of pheromone traps @ </w:t>
            </w:r>
            <w:proofErr w:type="gramStart"/>
            <w:r w:rsidRPr="00D85277">
              <w:rPr>
                <w:rFonts w:ascii="Arial" w:eastAsia="Times New Roman" w:hAnsi="Arial" w:cs="Arial"/>
                <w:bCs/>
                <w:sz w:val="20"/>
                <w:szCs w:val="20"/>
                <w:lang w:val="en"/>
              </w:rPr>
              <w:t>25  traps</w:t>
            </w:r>
            <w:proofErr w:type="gramEnd"/>
            <w:r w:rsidRPr="00D85277">
              <w:rPr>
                <w:rFonts w:ascii="Arial" w:eastAsia="Times New Roman" w:hAnsi="Arial" w:cs="Arial"/>
                <w:bCs/>
                <w:sz w:val="20"/>
                <w:szCs w:val="20"/>
                <w:lang w:val="en"/>
              </w:rPr>
              <w:t>/ha.</w:t>
            </w:r>
          </w:p>
          <w:p w14:paraId="63079071"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Field release of </w:t>
            </w:r>
            <w:proofErr w:type="spellStart"/>
            <w:r w:rsidRPr="00D85277">
              <w:rPr>
                <w:rFonts w:ascii="Arial" w:eastAsia="Times New Roman" w:hAnsi="Arial" w:cs="Arial"/>
                <w:bCs/>
                <w:i/>
                <w:sz w:val="20"/>
                <w:szCs w:val="20"/>
                <w:lang w:val="en"/>
              </w:rPr>
              <w:t>Trichogramma</w:t>
            </w:r>
            <w:proofErr w:type="spellEnd"/>
            <w:r w:rsidRPr="00D85277">
              <w:rPr>
                <w:rFonts w:ascii="Arial" w:eastAsia="Times New Roman" w:hAnsi="Arial" w:cs="Arial"/>
                <w:bCs/>
                <w:i/>
                <w:sz w:val="20"/>
                <w:szCs w:val="20"/>
                <w:lang w:val="en"/>
              </w:rPr>
              <w:t xml:space="preserve"> </w:t>
            </w:r>
            <w:proofErr w:type="spellStart"/>
            <w:r w:rsidRPr="00D85277">
              <w:rPr>
                <w:rFonts w:ascii="Arial" w:eastAsia="Times New Roman" w:hAnsi="Arial" w:cs="Arial"/>
                <w:bCs/>
                <w:i/>
                <w:sz w:val="20"/>
                <w:szCs w:val="20"/>
                <w:lang w:val="en"/>
              </w:rPr>
              <w:t>chilonis</w:t>
            </w:r>
            <w:proofErr w:type="spellEnd"/>
            <w:r w:rsidRPr="00D85277">
              <w:rPr>
                <w:rFonts w:ascii="Arial" w:eastAsia="Times New Roman" w:hAnsi="Arial" w:cs="Arial"/>
                <w:bCs/>
                <w:sz w:val="20"/>
                <w:szCs w:val="20"/>
                <w:lang w:val="en"/>
              </w:rPr>
              <w:t xml:space="preserve"> (</w:t>
            </w:r>
            <w:proofErr w:type="spellStart"/>
            <w:r w:rsidRPr="00D85277">
              <w:rPr>
                <w:rFonts w:ascii="Arial" w:eastAsia="Times New Roman" w:hAnsi="Arial" w:cs="Arial"/>
                <w:bCs/>
                <w:sz w:val="20"/>
                <w:szCs w:val="20"/>
                <w:lang w:val="en"/>
              </w:rPr>
              <w:t>Trichocards</w:t>
            </w:r>
            <w:proofErr w:type="spellEnd"/>
            <w:r w:rsidRPr="00D85277">
              <w:rPr>
                <w:rFonts w:ascii="Arial" w:eastAsia="Times New Roman" w:hAnsi="Arial" w:cs="Arial"/>
                <w:bCs/>
                <w:sz w:val="20"/>
                <w:szCs w:val="20"/>
                <w:lang w:val="en"/>
              </w:rPr>
              <w:t xml:space="preserve">) at 50,000/ha for  six times at 7–10 day intervals from 120 DAP </w:t>
            </w:r>
          </w:p>
          <w:p w14:paraId="343D1A3D"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Foliar spray of chlorantraniliprole 18.5 SC at 0.3 ml/L between 60-90 days after planting (DAP) and </w:t>
            </w:r>
          </w:p>
          <w:p w14:paraId="2724722D"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Detrashing at 150 &amp; 180 DAP.</w:t>
            </w:r>
          </w:p>
        </w:tc>
      </w:tr>
      <w:tr w:rsidR="00F72EE4" w:rsidRPr="00D85277" w14:paraId="2FED394B" w14:textId="77777777" w:rsidTr="00031499">
        <w:trPr>
          <w:trHeight w:val="20"/>
          <w:jc w:val="center"/>
        </w:trPr>
        <w:tc>
          <w:tcPr>
            <w:tcW w:w="704" w:type="dxa"/>
            <w:tcBorders>
              <w:top w:val="single" w:sz="4" w:space="0" w:color="auto"/>
              <w:bottom w:val="single" w:sz="4" w:space="0" w:color="auto"/>
            </w:tcBorders>
          </w:tcPr>
          <w:p w14:paraId="061A7BB5"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4</w:t>
            </w:r>
          </w:p>
        </w:tc>
        <w:tc>
          <w:tcPr>
            <w:tcW w:w="2267" w:type="dxa"/>
            <w:tcBorders>
              <w:top w:val="single" w:sz="4" w:space="0" w:color="auto"/>
              <w:bottom w:val="single" w:sz="4" w:space="0" w:color="auto"/>
            </w:tcBorders>
          </w:tcPr>
          <w:p w14:paraId="4108817B" w14:textId="77777777"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Unprotected control</w:t>
            </w:r>
          </w:p>
        </w:tc>
        <w:tc>
          <w:tcPr>
            <w:tcW w:w="5529" w:type="dxa"/>
            <w:tcBorders>
              <w:top w:val="single" w:sz="4" w:space="0" w:color="auto"/>
              <w:bottom w:val="single" w:sz="4" w:space="0" w:color="auto"/>
            </w:tcBorders>
          </w:tcPr>
          <w:p w14:paraId="7E5C2465" w14:textId="64CECFCE" w:rsidR="00F72EE4" w:rsidRPr="00D85277" w:rsidRDefault="00F72EE4" w:rsidP="000B4699">
            <w:pPr>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 Spray of chlorpyriphos 20 EC @ 2.5 ml/L</w:t>
            </w:r>
            <w:r w:rsidR="006D711F" w:rsidRPr="00D85277">
              <w:rPr>
                <w:rFonts w:ascii="Arial" w:eastAsia="Times New Roman" w:hAnsi="Arial" w:cs="Arial"/>
                <w:bCs/>
                <w:sz w:val="20"/>
                <w:szCs w:val="20"/>
                <w:lang w:val="en"/>
              </w:rPr>
              <w:t xml:space="preserve">, </w:t>
            </w:r>
            <w:proofErr w:type="spellStart"/>
            <w:r w:rsidR="006D711F" w:rsidRPr="00D85277">
              <w:rPr>
                <w:rFonts w:ascii="Arial" w:eastAsia="Times New Roman" w:hAnsi="Arial" w:cs="Arial"/>
                <w:bCs/>
                <w:sz w:val="20"/>
                <w:szCs w:val="20"/>
                <w:lang w:val="en"/>
              </w:rPr>
              <w:t>monocrotophos</w:t>
            </w:r>
            <w:proofErr w:type="spellEnd"/>
            <w:r w:rsidR="006D711F" w:rsidRPr="00D85277">
              <w:rPr>
                <w:rFonts w:ascii="Arial" w:eastAsia="Times New Roman" w:hAnsi="Arial" w:cs="Arial"/>
                <w:bCs/>
                <w:sz w:val="20"/>
                <w:szCs w:val="20"/>
                <w:lang w:val="en"/>
              </w:rPr>
              <w:t xml:space="preserve"> @ 1.6ml/ L</w:t>
            </w:r>
            <w:r w:rsidRPr="00D85277">
              <w:rPr>
                <w:rFonts w:ascii="Arial" w:eastAsia="Times New Roman" w:hAnsi="Arial" w:cs="Arial"/>
                <w:bCs/>
                <w:sz w:val="20"/>
                <w:szCs w:val="20"/>
                <w:lang w:val="en"/>
              </w:rPr>
              <w:t xml:space="preserve"> after noticing deadhearts.</w:t>
            </w:r>
          </w:p>
        </w:tc>
      </w:tr>
    </w:tbl>
    <w:p w14:paraId="275C8282" w14:textId="77777777" w:rsidR="001D3E57" w:rsidRPr="00D85277" w:rsidRDefault="001D3E57" w:rsidP="000B4699">
      <w:pPr>
        <w:spacing w:after="0" w:line="240" w:lineRule="auto"/>
        <w:jc w:val="both"/>
        <w:rPr>
          <w:rFonts w:ascii="Arial" w:eastAsia="Times New Roman" w:hAnsi="Arial" w:cs="Arial"/>
          <w:b/>
          <w:bCs/>
          <w:lang w:val="en"/>
        </w:rPr>
        <w:sectPr w:rsidR="001D3E57" w:rsidRPr="00D85277" w:rsidSect="000B4699">
          <w:type w:val="continuous"/>
          <w:pgSz w:w="11909" w:h="16834" w:code="9"/>
          <w:pgMar w:top="1440" w:right="1440" w:bottom="1440" w:left="1440" w:header="720" w:footer="864" w:gutter="0"/>
          <w:cols w:space="720"/>
          <w:titlePg/>
          <w:docGrid w:linePitch="360"/>
        </w:sectPr>
      </w:pPr>
    </w:p>
    <w:p w14:paraId="1BC7D4F6" w14:textId="77777777" w:rsidR="00275084" w:rsidRPr="00D85277" w:rsidRDefault="00275084" w:rsidP="000B4699">
      <w:pPr>
        <w:spacing w:after="0" w:line="240" w:lineRule="auto"/>
        <w:jc w:val="both"/>
        <w:rPr>
          <w:rFonts w:ascii="Arial" w:eastAsia="Times New Roman" w:hAnsi="Arial" w:cs="Arial"/>
          <w:b/>
          <w:bCs/>
          <w:lang w:val="en"/>
        </w:rPr>
      </w:pPr>
    </w:p>
    <w:p w14:paraId="5B511021" w14:textId="77777777" w:rsidR="00275084" w:rsidRPr="00D85277" w:rsidRDefault="00275084" w:rsidP="000B4699">
      <w:pPr>
        <w:spacing w:after="0" w:line="240" w:lineRule="auto"/>
        <w:jc w:val="both"/>
        <w:rPr>
          <w:rFonts w:ascii="Arial" w:eastAsia="Times New Roman" w:hAnsi="Arial" w:cs="Arial"/>
          <w:b/>
          <w:bCs/>
          <w:lang w:val="en"/>
        </w:rPr>
      </w:pPr>
    </w:p>
    <w:p w14:paraId="4F46D40C" w14:textId="5C41972A"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2.1 </w:t>
      </w:r>
      <w:r w:rsidR="00031499" w:rsidRPr="00D85277">
        <w:rPr>
          <w:rFonts w:ascii="Arial" w:eastAsia="Times New Roman" w:hAnsi="Arial" w:cs="Arial"/>
          <w:b/>
          <w:bCs/>
          <w:lang w:val="en"/>
        </w:rPr>
        <w:t xml:space="preserve">Early Shoot Borer </w:t>
      </w:r>
    </w:p>
    <w:p w14:paraId="261EB1BF" w14:textId="77777777" w:rsidR="00031499" w:rsidRPr="00D85277" w:rsidRDefault="00031499" w:rsidP="000B4699">
      <w:pPr>
        <w:spacing w:after="0" w:line="240" w:lineRule="auto"/>
        <w:jc w:val="both"/>
        <w:rPr>
          <w:rFonts w:ascii="Arial" w:eastAsia="Times New Roman" w:hAnsi="Arial" w:cs="Arial"/>
          <w:bCs/>
          <w:sz w:val="20"/>
          <w:szCs w:val="20"/>
          <w:lang w:val="en"/>
        </w:rPr>
      </w:pPr>
    </w:p>
    <w:p w14:paraId="6B41A673" w14:textId="3E1426BB"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Data on early shoot borer infestation in shoots were collected on a whole-plot basis for each treatment. The total number of shoots and the number of damaged shoots (deadhearts) were recorded at 30, 60, 90, and 120 days after planting. These counts were used to calculate the cumulative percentage incidence of deadhearts (% DH). </w:t>
      </w:r>
    </w:p>
    <w:p w14:paraId="509B7EAA"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3DEB674B" w14:textId="15183B9B" w:rsidR="00031499" w:rsidRPr="00D85277" w:rsidRDefault="00031499" w:rsidP="000B4699">
      <w:pPr>
        <w:spacing w:after="0" w:line="240" w:lineRule="auto"/>
        <w:ind w:left="360"/>
        <w:jc w:val="both"/>
        <w:rPr>
          <w:rFonts w:ascii="Arial" w:eastAsia="Times New Roman" w:hAnsi="Arial" w:cs="Arial"/>
          <w:iCs/>
          <w:sz w:val="20"/>
          <w:szCs w:val="20"/>
          <w:lang w:val="en"/>
        </w:rPr>
      </w:pPr>
      <m:oMathPara>
        <m:oMathParaPr>
          <m:jc m:val="left"/>
        </m:oMathParaPr>
        <m:oMath>
          <m:r>
            <m:rPr>
              <m:sty m:val="p"/>
            </m:rPr>
            <w:rPr>
              <w:rFonts w:ascii="Cambria Math" w:eastAsia="Times New Roman" w:hAnsi="Cambria Math" w:cs="Arial"/>
              <w:sz w:val="20"/>
              <w:szCs w:val="20"/>
              <w:lang w:val="en"/>
            </w:rPr>
            <m:t xml:space="preserve">Incidence of ESB = </m:t>
          </m:r>
          <m:f>
            <m:fPr>
              <m:ctrlPr>
                <w:rPr>
                  <w:rFonts w:ascii="Cambria Math" w:eastAsia="Times New Roman" w:hAnsi="Cambria Math" w:cs="Arial"/>
                  <w:iCs/>
                  <w:sz w:val="20"/>
                  <w:szCs w:val="20"/>
                  <w:lang w:val="en"/>
                </w:rPr>
              </m:ctrlPr>
            </m:fPr>
            <m:num>
              <m:r>
                <m:rPr>
                  <m:sty m:val="p"/>
                </m:rPr>
                <w:rPr>
                  <w:rFonts w:ascii="Cambria Math" w:eastAsia="Times New Roman" w:hAnsi="Cambria Math" w:cs="Arial"/>
                  <w:sz w:val="20"/>
                  <w:szCs w:val="20"/>
                  <w:lang w:val="en"/>
                </w:rPr>
                <m:t>Number of infested shoots (deadhearts)</m:t>
              </m:r>
            </m:num>
            <m:den>
              <m:r>
                <m:rPr>
                  <m:sty m:val="p"/>
                </m:rPr>
                <w:rPr>
                  <w:rFonts w:ascii="Cambria Math" w:eastAsia="Times New Roman" w:hAnsi="Cambria Math" w:cs="Arial"/>
                  <w:sz w:val="20"/>
                  <w:szCs w:val="20"/>
                  <w:lang w:val="en"/>
                </w:rPr>
                <m:t>Total shoots</m:t>
              </m:r>
            </m:den>
          </m:f>
          <m:r>
            <m:rPr>
              <m:sty m:val="p"/>
            </m:rPr>
            <w:rPr>
              <w:rFonts w:ascii="Cambria Math" w:eastAsia="Times New Roman" w:hAnsi="Cambria Math" w:cs="Arial"/>
              <w:sz w:val="20"/>
              <w:szCs w:val="20"/>
              <w:lang w:val="en"/>
            </w:rPr>
            <m:t xml:space="preserve"> X 100</m:t>
          </m:r>
        </m:oMath>
      </m:oMathPara>
    </w:p>
    <w:p w14:paraId="47615FF1" w14:textId="77777777" w:rsidR="00031499" w:rsidRPr="00D85277" w:rsidRDefault="00031499" w:rsidP="000B4699">
      <w:pPr>
        <w:spacing w:after="0" w:line="240" w:lineRule="auto"/>
        <w:jc w:val="both"/>
        <w:rPr>
          <w:rFonts w:ascii="Arial" w:eastAsia="Times New Roman" w:hAnsi="Arial" w:cs="Arial"/>
          <w:bCs/>
          <w:sz w:val="20"/>
          <w:szCs w:val="20"/>
          <w:lang w:val="en"/>
        </w:rPr>
      </w:pPr>
    </w:p>
    <w:p w14:paraId="204B1FC2" w14:textId="3D59FBF7" w:rsidR="00031499"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2.2 </w:t>
      </w:r>
      <w:r w:rsidR="00031499" w:rsidRPr="00D85277">
        <w:rPr>
          <w:rFonts w:ascii="Arial" w:eastAsia="Times New Roman" w:hAnsi="Arial" w:cs="Arial"/>
          <w:b/>
          <w:bCs/>
          <w:lang w:val="en"/>
        </w:rPr>
        <w:t>Internode Borer</w:t>
      </w:r>
    </w:p>
    <w:p w14:paraId="22C738C8" w14:textId="77777777" w:rsidR="00031499" w:rsidRPr="00D85277" w:rsidRDefault="00031499" w:rsidP="000B4699">
      <w:pPr>
        <w:spacing w:after="0" w:line="240" w:lineRule="auto"/>
        <w:jc w:val="both"/>
        <w:rPr>
          <w:rFonts w:ascii="Arial" w:eastAsia="Times New Roman" w:hAnsi="Arial" w:cs="Arial"/>
          <w:b/>
          <w:bCs/>
          <w:sz w:val="20"/>
          <w:szCs w:val="20"/>
          <w:lang w:val="en"/>
        </w:rPr>
      </w:pPr>
    </w:p>
    <w:p w14:paraId="0BE77A96" w14:textId="1730E6B4"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Observations on internode borer infestation were recorded in 100 canes for each treatment at harvest. The number of canes </w:t>
      </w:r>
      <w:r w:rsidR="003655E5" w:rsidRPr="00D85277">
        <w:rPr>
          <w:rFonts w:ascii="Arial" w:eastAsia="Times New Roman" w:hAnsi="Arial" w:cs="Arial"/>
          <w:bCs/>
          <w:sz w:val="20"/>
          <w:szCs w:val="20"/>
          <w:lang w:val="en"/>
        </w:rPr>
        <w:t>infested,</w:t>
      </w:r>
      <w:r w:rsidRPr="00D85277">
        <w:rPr>
          <w:rFonts w:ascii="Arial" w:eastAsia="Times New Roman" w:hAnsi="Arial" w:cs="Arial"/>
          <w:bCs/>
          <w:sz w:val="20"/>
          <w:szCs w:val="20"/>
          <w:lang w:val="en"/>
        </w:rPr>
        <w:t xml:space="preserve"> total number of nodes and number of infested nodes in a cane were recorded. The per cent incidence and intensity were calculated.</w:t>
      </w:r>
    </w:p>
    <w:p w14:paraId="41F1CF7D" w14:textId="77777777" w:rsidR="00031499" w:rsidRPr="00D85277" w:rsidRDefault="00031499" w:rsidP="000B4699">
      <w:pPr>
        <w:spacing w:after="0" w:line="240" w:lineRule="auto"/>
        <w:jc w:val="both"/>
        <w:rPr>
          <w:rFonts w:ascii="Arial" w:eastAsia="Times New Roman" w:hAnsi="Arial" w:cs="Arial"/>
          <w:b/>
          <w:bCs/>
          <w:sz w:val="20"/>
          <w:szCs w:val="20"/>
          <w:lang w:val="en"/>
        </w:rPr>
      </w:pPr>
    </w:p>
    <w:p w14:paraId="4A567720" w14:textId="403B6FE8" w:rsidR="00F72EE4" w:rsidRPr="00D85277" w:rsidRDefault="00031499" w:rsidP="000B4699">
      <w:pPr>
        <w:spacing w:after="0" w:line="240" w:lineRule="auto"/>
        <w:ind w:left="360"/>
        <w:jc w:val="both"/>
        <w:rPr>
          <w:rFonts w:ascii="Arial" w:eastAsia="Times New Roman" w:hAnsi="Arial" w:cs="Arial"/>
          <w:bCs/>
          <w:iCs/>
          <w:sz w:val="20"/>
          <w:szCs w:val="20"/>
          <w:lang w:val="en"/>
        </w:rPr>
      </w:pPr>
      <m:oMathPara>
        <m:oMathParaPr>
          <m:jc m:val="left"/>
        </m:oMathParaPr>
        <m:oMath>
          <m:r>
            <m:rPr>
              <m:sty m:val="p"/>
            </m:rPr>
            <w:rPr>
              <w:rFonts w:ascii="Cambria Math" w:eastAsia="Times New Roman" w:hAnsi="Cambria Math" w:cs="Arial"/>
              <w:sz w:val="20"/>
              <w:szCs w:val="20"/>
              <w:lang w:val="en"/>
            </w:rPr>
            <m:t xml:space="preserve">Per cent incidence of INB  = </m:t>
          </m:r>
          <m:f>
            <m:fPr>
              <m:ctrlPr>
                <w:rPr>
                  <w:rFonts w:ascii="Cambria Math" w:eastAsia="Times New Roman" w:hAnsi="Cambria Math" w:cs="Arial"/>
                  <w:bCs/>
                  <w:iCs/>
                  <w:sz w:val="20"/>
                  <w:szCs w:val="20"/>
                  <w:lang w:val="en"/>
                </w:rPr>
              </m:ctrlPr>
            </m:fPr>
            <m:num>
              <m:r>
                <m:rPr>
                  <m:sty m:val="p"/>
                </m:rPr>
                <w:rPr>
                  <w:rFonts w:ascii="Cambria Math" w:eastAsia="Times New Roman" w:hAnsi="Cambria Math" w:cs="Arial"/>
                  <w:sz w:val="20"/>
                  <w:szCs w:val="20"/>
                  <w:lang w:val="en"/>
                </w:rPr>
                <m:t>Number of infested canes</m:t>
              </m:r>
            </m:num>
            <m:den>
              <m:r>
                <m:rPr>
                  <m:sty m:val="p"/>
                </m:rPr>
                <w:rPr>
                  <w:rFonts w:ascii="Cambria Math" w:eastAsia="Times New Roman" w:hAnsi="Cambria Math" w:cs="Arial"/>
                  <w:sz w:val="20"/>
                  <w:szCs w:val="20"/>
                  <w:lang w:val="en"/>
                </w:rPr>
                <m:t xml:space="preserve"> Total number of canes</m:t>
              </m:r>
            </m:den>
          </m:f>
          <m:r>
            <m:rPr>
              <m:sty m:val="p"/>
            </m:rPr>
            <w:rPr>
              <w:rFonts w:ascii="Cambria Math" w:eastAsia="Times New Roman" w:hAnsi="Cambria Math" w:cs="Arial"/>
              <w:sz w:val="20"/>
              <w:szCs w:val="20"/>
              <w:lang w:val="en"/>
            </w:rPr>
            <m:t xml:space="preserve"> X 100</m:t>
          </m:r>
        </m:oMath>
      </m:oMathPara>
    </w:p>
    <w:p w14:paraId="2AEB20E7" w14:textId="77777777" w:rsidR="00031499" w:rsidRPr="00D85277" w:rsidRDefault="00031499" w:rsidP="000B4699">
      <w:pPr>
        <w:spacing w:after="0" w:line="240" w:lineRule="auto"/>
        <w:jc w:val="both"/>
        <w:rPr>
          <w:rFonts w:ascii="Arial" w:eastAsia="Times New Roman" w:hAnsi="Arial" w:cs="Arial"/>
          <w:bCs/>
          <w:iCs/>
          <w:sz w:val="20"/>
          <w:szCs w:val="20"/>
          <w:lang w:val="en"/>
        </w:rPr>
      </w:pPr>
    </w:p>
    <w:p w14:paraId="3098FBCA" w14:textId="0C1C775B" w:rsidR="00031499" w:rsidRPr="00D85277" w:rsidRDefault="00031499" w:rsidP="000B4699">
      <w:pPr>
        <w:spacing w:after="0" w:line="240" w:lineRule="auto"/>
        <w:ind w:left="360"/>
        <w:jc w:val="both"/>
        <w:rPr>
          <w:rFonts w:ascii="Arial" w:eastAsia="Times New Roman" w:hAnsi="Arial" w:cs="Arial"/>
          <w:bCs/>
          <w:sz w:val="20"/>
          <w:szCs w:val="20"/>
          <w:lang w:val="en"/>
        </w:rPr>
      </w:pPr>
      <m:oMathPara>
        <m:oMathParaPr>
          <m:jc m:val="left"/>
        </m:oMathParaPr>
        <m:oMath>
          <m:r>
            <m:rPr>
              <m:sty m:val="p"/>
            </m:rPr>
            <w:rPr>
              <w:rFonts w:ascii="Cambria Math" w:eastAsia="Times New Roman" w:hAnsi="Cambria Math" w:cs="Arial"/>
              <w:sz w:val="20"/>
              <w:szCs w:val="20"/>
              <w:lang w:val="en"/>
            </w:rPr>
            <m:t xml:space="preserve">Percent of intensity  of INB= </m:t>
          </m:r>
          <m:f>
            <m:fPr>
              <m:ctrlPr>
                <w:rPr>
                  <w:rFonts w:ascii="Cambria Math" w:eastAsia="Times New Roman" w:hAnsi="Cambria Math" w:cs="Arial"/>
                  <w:bCs/>
                  <w:iCs/>
                  <w:sz w:val="20"/>
                  <w:szCs w:val="20"/>
                  <w:lang w:val="en"/>
                </w:rPr>
              </m:ctrlPr>
            </m:fPr>
            <m:num>
              <m:r>
                <m:rPr>
                  <m:sty m:val="p"/>
                </m:rPr>
                <w:rPr>
                  <w:rFonts w:ascii="Cambria Math" w:eastAsia="Times New Roman" w:hAnsi="Cambria Math" w:cs="Arial"/>
                  <w:sz w:val="20"/>
                  <w:szCs w:val="20"/>
                  <w:lang w:val="en"/>
                </w:rPr>
                <m:t>Number of bored internodes in the cane</m:t>
              </m:r>
            </m:num>
            <m:den>
              <m:r>
                <m:rPr>
                  <m:sty m:val="p"/>
                </m:rPr>
                <w:rPr>
                  <w:rFonts w:ascii="Cambria Math" w:eastAsia="Times New Roman" w:hAnsi="Cambria Math" w:cs="Arial"/>
                  <w:sz w:val="20"/>
                  <w:szCs w:val="20"/>
                  <w:lang w:val="en"/>
                </w:rPr>
                <m:t xml:space="preserve"> Total number of internodes in the cane</m:t>
              </m:r>
            </m:den>
          </m:f>
          <m:r>
            <m:rPr>
              <m:sty m:val="p"/>
            </m:rPr>
            <w:rPr>
              <w:rFonts w:ascii="Cambria Math" w:eastAsia="Times New Roman" w:hAnsi="Cambria Math" w:cs="Arial"/>
              <w:sz w:val="20"/>
              <w:szCs w:val="20"/>
              <w:lang w:val="en"/>
            </w:rPr>
            <m:t xml:space="preserve"> X 100</m:t>
          </m:r>
        </m:oMath>
      </m:oMathPara>
    </w:p>
    <w:p w14:paraId="4B4F2A7F" w14:textId="77777777"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  </w:t>
      </w:r>
    </w:p>
    <w:p w14:paraId="09043F91" w14:textId="375C977E"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2.3 </w:t>
      </w:r>
      <w:r w:rsidR="00031499" w:rsidRPr="00D85277">
        <w:rPr>
          <w:rFonts w:ascii="Arial" w:eastAsia="Times New Roman" w:hAnsi="Arial" w:cs="Arial"/>
          <w:b/>
          <w:bCs/>
          <w:lang w:val="en"/>
        </w:rPr>
        <w:t xml:space="preserve">Juice Sucrose </w:t>
      </w:r>
    </w:p>
    <w:p w14:paraId="19C2F682" w14:textId="77777777" w:rsidR="00031499" w:rsidRPr="00D85277" w:rsidRDefault="00031499" w:rsidP="000B4699">
      <w:pPr>
        <w:spacing w:after="0" w:line="240" w:lineRule="auto"/>
        <w:jc w:val="both"/>
        <w:rPr>
          <w:rFonts w:ascii="Arial" w:eastAsia="Times New Roman" w:hAnsi="Arial" w:cs="Arial"/>
          <w:bCs/>
          <w:sz w:val="20"/>
          <w:szCs w:val="20"/>
          <w:lang w:val="en"/>
        </w:rPr>
      </w:pPr>
    </w:p>
    <w:p w14:paraId="03075B92" w14:textId="7324E8A3" w:rsidR="00F72EE4" w:rsidRPr="00D85277" w:rsidRDefault="00F72EE4" w:rsidP="000B4699">
      <w:pPr>
        <w:spacing w:after="0" w:line="240" w:lineRule="auto"/>
        <w:jc w:val="both"/>
        <w:rPr>
          <w:rFonts w:ascii="Arial" w:eastAsia="Times New Roman" w:hAnsi="Arial" w:cs="Arial"/>
          <w:b/>
          <w:bCs/>
          <w:sz w:val="20"/>
          <w:szCs w:val="20"/>
          <w:lang w:val="en"/>
        </w:rPr>
      </w:pPr>
      <w:r w:rsidRPr="00D85277">
        <w:rPr>
          <w:rFonts w:ascii="Arial" w:eastAsia="Times New Roman" w:hAnsi="Arial" w:cs="Arial"/>
          <w:bCs/>
          <w:sz w:val="20"/>
          <w:szCs w:val="20"/>
          <w:lang w:val="en"/>
        </w:rPr>
        <w:t xml:space="preserve">Juice analysis was carried out in randomly selected 10 canes in each treatment and observations on per cent juice sucrose were recorded at harvest using a sugar analysis system - Sucrolyser. </w:t>
      </w:r>
    </w:p>
    <w:p w14:paraId="4C50A4DD"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4CD18E4D" w14:textId="0706FA0C" w:rsidR="00F72EE4" w:rsidRPr="00D85277" w:rsidRDefault="00F72EE4" w:rsidP="001D3E57">
      <w:pPr>
        <w:spacing w:after="0" w:line="240" w:lineRule="auto"/>
        <w:ind w:left="360" w:hanging="360"/>
        <w:jc w:val="both"/>
        <w:rPr>
          <w:rFonts w:ascii="Arial" w:eastAsia="Times New Roman" w:hAnsi="Arial" w:cs="Arial"/>
          <w:bCs/>
          <w:lang w:val="en"/>
        </w:rPr>
      </w:pPr>
      <w:r w:rsidRPr="00D85277">
        <w:rPr>
          <w:rFonts w:ascii="Arial" w:eastAsia="Times New Roman" w:hAnsi="Arial" w:cs="Arial"/>
          <w:b/>
          <w:bCs/>
          <w:lang w:val="en"/>
        </w:rPr>
        <w:t xml:space="preserve">2.4 </w:t>
      </w:r>
      <w:r w:rsidR="00031499" w:rsidRPr="00D85277">
        <w:rPr>
          <w:rFonts w:ascii="Arial" w:eastAsia="Times New Roman" w:hAnsi="Arial" w:cs="Arial"/>
          <w:b/>
          <w:bCs/>
          <w:lang w:val="en"/>
        </w:rPr>
        <w:t>Yield Attributing Characters</w:t>
      </w:r>
      <w:r w:rsidRPr="00D85277">
        <w:rPr>
          <w:rFonts w:ascii="Arial" w:eastAsia="Times New Roman" w:hAnsi="Arial" w:cs="Arial"/>
          <w:b/>
          <w:bCs/>
          <w:lang w:val="en"/>
        </w:rPr>
        <w:t xml:space="preserve">, NMC &amp; </w:t>
      </w:r>
      <w:r w:rsidR="00031499" w:rsidRPr="00D85277">
        <w:rPr>
          <w:rFonts w:ascii="Arial" w:eastAsia="Times New Roman" w:hAnsi="Arial" w:cs="Arial"/>
          <w:b/>
          <w:bCs/>
          <w:lang w:val="en"/>
        </w:rPr>
        <w:t>Cane Yield</w:t>
      </w:r>
    </w:p>
    <w:p w14:paraId="251133F0" w14:textId="77777777" w:rsidR="00031499" w:rsidRPr="00D85277" w:rsidRDefault="00031499" w:rsidP="000B4699">
      <w:pPr>
        <w:spacing w:after="0" w:line="240" w:lineRule="auto"/>
        <w:jc w:val="both"/>
        <w:rPr>
          <w:rFonts w:ascii="Arial" w:eastAsia="Times New Roman" w:hAnsi="Arial" w:cs="Arial"/>
          <w:bCs/>
          <w:sz w:val="20"/>
          <w:szCs w:val="20"/>
          <w:lang w:val="en"/>
        </w:rPr>
      </w:pPr>
    </w:p>
    <w:p w14:paraId="1E4CEC8D" w14:textId="762C85AD"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Observations on yield-attributing characters such as cane height, cane weight were recorded from 100 randomly selected plants per treatment. The number of millable canes and cane yield per plot were recorded at harvest and calculated NMC/ha (000’/ha) and tonnes per hectare (t/ha), respectively. </w:t>
      </w:r>
    </w:p>
    <w:p w14:paraId="495F9901" w14:textId="77777777" w:rsidR="00031499" w:rsidRPr="00D85277" w:rsidRDefault="00031499" w:rsidP="000B4699">
      <w:pPr>
        <w:spacing w:after="0" w:line="240" w:lineRule="auto"/>
        <w:jc w:val="both"/>
        <w:rPr>
          <w:rFonts w:ascii="Arial" w:eastAsia="Times New Roman" w:hAnsi="Arial" w:cs="Arial"/>
          <w:bCs/>
          <w:sz w:val="18"/>
          <w:szCs w:val="18"/>
          <w:lang w:val="en"/>
        </w:rPr>
      </w:pPr>
    </w:p>
    <w:p w14:paraId="081BA921" w14:textId="03F8BFAE"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2.5 </w:t>
      </w:r>
      <w:r w:rsidR="00031499" w:rsidRPr="00D85277">
        <w:rPr>
          <w:rFonts w:ascii="Arial" w:eastAsia="Times New Roman" w:hAnsi="Arial" w:cs="Arial"/>
          <w:b/>
          <w:bCs/>
          <w:lang w:val="en"/>
        </w:rPr>
        <w:t>Statistical Analysis</w:t>
      </w:r>
    </w:p>
    <w:p w14:paraId="36F3B97B" w14:textId="77777777" w:rsidR="00031499" w:rsidRPr="00D85277" w:rsidRDefault="00031499" w:rsidP="000B4699">
      <w:pPr>
        <w:spacing w:after="0" w:line="240" w:lineRule="auto"/>
        <w:jc w:val="both"/>
        <w:rPr>
          <w:rFonts w:ascii="Arial" w:eastAsia="Times New Roman" w:hAnsi="Arial" w:cs="Arial"/>
          <w:bCs/>
          <w:sz w:val="18"/>
          <w:szCs w:val="18"/>
          <w:lang w:val="en"/>
        </w:rPr>
      </w:pPr>
    </w:p>
    <w:p w14:paraId="28340A8A" w14:textId="737DAA1B"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Data on borer infestation, yield attributing parameters, juice sucrose, NMC and cane yield recorded from the different treatment modules were analyzed using OPSTAT statistical package. </w:t>
      </w:r>
    </w:p>
    <w:p w14:paraId="6F8528C5" w14:textId="77777777" w:rsidR="00F72EE4" w:rsidRDefault="00F72EE4" w:rsidP="000B4699">
      <w:pPr>
        <w:spacing w:after="0" w:line="240" w:lineRule="auto"/>
        <w:jc w:val="both"/>
        <w:rPr>
          <w:ins w:id="12" w:author="Galoo" w:date="2025-08-27T15:19:00Z"/>
          <w:rFonts w:ascii="Arial" w:eastAsia="Times New Roman" w:hAnsi="Arial" w:cs="Arial"/>
          <w:b/>
          <w:bCs/>
          <w:sz w:val="20"/>
          <w:szCs w:val="20"/>
          <w:lang w:val="en"/>
        </w:rPr>
      </w:pPr>
    </w:p>
    <w:p w14:paraId="6F142131" w14:textId="77777777" w:rsidR="004810B0" w:rsidRDefault="004810B0" w:rsidP="000B4699">
      <w:pPr>
        <w:spacing w:after="0" w:line="240" w:lineRule="auto"/>
        <w:jc w:val="both"/>
        <w:rPr>
          <w:ins w:id="13" w:author="Galoo" w:date="2025-08-27T15:19:00Z"/>
          <w:rFonts w:ascii="Arial" w:eastAsia="Times New Roman" w:hAnsi="Arial" w:cs="Arial"/>
          <w:b/>
          <w:bCs/>
          <w:sz w:val="20"/>
          <w:szCs w:val="20"/>
          <w:lang w:val="en"/>
        </w:rPr>
      </w:pPr>
    </w:p>
    <w:p w14:paraId="724A5094" w14:textId="77777777" w:rsidR="004810B0" w:rsidRPr="00D85277" w:rsidRDefault="004810B0" w:rsidP="000B4699">
      <w:pPr>
        <w:spacing w:after="0" w:line="240" w:lineRule="auto"/>
        <w:jc w:val="both"/>
        <w:rPr>
          <w:rFonts w:ascii="Arial" w:eastAsia="Times New Roman" w:hAnsi="Arial" w:cs="Arial"/>
          <w:b/>
          <w:bCs/>
          <w:sz w:val="20"/>
          <w:szCs w:val="20"/>
          <w:lang w:val="en"/>
        </w:rPr>
      </w:pPr>
    </w:p>
    <w:p w14:paraId="627A0932" w14:textId="418DE1F0" w:rsidR="00F72EE4" w:rsidRPr="00D85277" w:rsidRDefault="00031499" w:rsidP="000B4699">
      <w:pPr>
        <w:pStyle w:val="Heading2"/>
        <w:keepNext w:val="0"/>
        <w:keepLines w:val="0"/>
        <w:rPr>
          <w:rFonts w:eastAsia="Times New Roman"/>
          <w:lang w:val="en"/>
        </w:rPr>
      </w:pPr>
      <w:r w:rsidRPr="00D85277">
        <w:rPr>
          <w:rFonts w:eastAsia="Times New Roman"/>
          <w:lang w:val="en"/>
        </w:rPr>
        <w:t>3. RESULTS AND DISCUSSION</w:t>
      </w:r>
    </w:p>
    <w:p w14:paraId="7E4572DB" w14:textId="77777777" w:rsidR="00031499" w:rsidRPr="00D85277" w:rsidRDefault="00031499" w:rsidP="000B4699">
      <w:pPr>
        <w:spacing w:after="0" w:line="240" w:lineRule="auto"/>
        <w:jc w:val="both"/>
        <w:rPr>
          <w:rFonts w:ascii="Arial" w:eastAsia="Times New Roman" w:hAnsi="Arial" w:cs="Arial"/>
          <w:bCs/>
          <w:sz w:val="20"/>
          <w:szCs w:val="20"/>
          <w:lang w:val="en"/>
        </w:rPr>
      </w:pPr>
    </w:p>
    <w:p w14:paraId="7EBFB846" w14:textId="442E66DA"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Data on cumulative incidence of early shoot borer up to 120 DAP, number of millable canes (NMC), incidence and intensity of internode borer, growth parameters (cane height, cane weight), cane yield, and juice sucrose recorded during 2023-24 and 2024-25 were analysed and presented in Table</w:t>
      </w:r>
      <w:r w:rsidR="0085267C" w:rsidRPr="00D85277">
        <w:rPr>
          <w:rFonts w:ascii="Arial" w:eastAsia="Times New Roman" w:hAnsi="Arial" w:cs="Arial"/>
          <w:bCs/>
          <w:sz w:val="20"/>
          <w:szCs w:val="20"/>
          <w:lang w:val="en"/>
        </w:rPr>
        <w:t>s</w:t>
      </w:r>
      <w:r w:rsidRPr="00D85277">
        <w:rPr>
          <w:rFonts w:ascii="Arial" w:eastAsia="Times New Roman" w:hAnsi="Arial" w:cs="Arial"/>
          <w:bCs/>
          <w:sz w:val="20"/>
          <w:szCs w:val="20"/>
          <w:lang w:val="en"/>
        </w:rPr>
        <w:t xml:space="preserve"> 2,3 &amp; 4.</w:t>
      </w:r>
    </w:p>
    <w:p w14:paraId="1C0D51F7" w14:textId="77777777" w:rsidR="00F72EE4" w:rsidRPr="00D85277" w:rsidRDefault="00F72EE4" w:rsidP="000B4699">
      <w:pPr>
        <w:spacing w:after="0" w:line="240" w:lineRule="auto"/>
        <w:jc w:val="both"/>
        <w:rPr>
          <w:rFonts w:ascii="Arial" w:eastAsia="Times New Roman" w:hAnsi="Arial" w:cs="Arial"/>
          <w:b/>
          <w:bCs/>
          <w:sz w:val="20"/>
          <w:szCs w:val="20"/>
          <w:lang w:val="en"/>
        </w:rPr>
      </w:pPr>
    </w:p>
    <w:p w14:paraId="460E2003" w14:textId="77777777" w:rsidR="00F72EE4" w:rsidRPr="00D85277" w:rsidRDefault="00F72EE4" w:rsidP="000B4699">
      <w:pPr>
        <w:spacing w:after="0" w:line="240" w:lineRule="auto"/>
        <w:jc w:val="both"/>
        <w:rPr>
          <w:rFonts w:ascii="Arial" w:eastAsia="Times New Roman" w:hAnsi="Arial" w:cs="Arial"/>
          <w:b/>
          <w:bCs/>
          <w:sz w:val="20"/>
          <w:szCs w:val="20"/>
          <w:lang w:val="en"/>
        </w:rPr>
      </w:pPr>
      <w:r w:rsidRPr="00D85277">
        <w:rPr>
          <w:rFonts w:ascii="Arial" w:eastAsia="Times New Roman" w:hAnsi="Arial" w:cs="Arial"/>
          <w:b/>
          <w:bCs/>
          <w:sz w:val="20"/>
          <w:szCs w:val="20"/>
          <w:lang w:val="en"/>
        </w:rPr>
        <w:t>2023-24</w:t>
      </w:r>
    </w:p>
    <w:p w14:paraId="26EEDE2B"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34CDF19C" w14:textId="3800B154"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3.1 </w:t>
      </w:r>
      <w:r w:rsidR="003C5872" w:rsidRPr="00D85277">
        <w:rPr>
          <w:rFonts w:ascii="Arial" w:eastAsia="Times New Roman" w:hAnsi="Arial" w:cs="Arial"/>
          <w:b/>
          <w:bCs/>
          <w:lang w:val="en"/>
        </w:rPr>
        <w:t xml:space="preserve">Early Shoot Borer </w:t>
      </w:r>
    </w:p>
    <w:p w14:paraId="464DAE5F" w14:textId="77777777" w:rsidR="001D3E57" w:rsidRPr="00D85277" w:rsidRDefault="001D3E57" w:rsidP="000B4699">
      <w:pPr>
        <w:spacing w:after="0" w:line="240" w:lineRule="auto"/>
        <w:jc w:val="both"/>
        <w:rPr>
          <w:rFonts w:ascii="Arial" w:eastAsia="Times New Roman" w:hAnsi="Arial" w:cs="Arial"/>
          <w:bCs/>
          <w:sz w:val="20"/>
          <w:szCs w:val="20"/>
          <w:lang w:val="en"/>
        </w:rPr>
      </w:pPr>
    </w:p>
    <w:p w14:paraId="5BBACD47" w14:textId="69FDBD22"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The results revealed that the IPM module (a combination of chemical and non-chemical practices) significantly reduced the cumulative incidence of early shoot borer (ESB) to 6.30% dead hearts, compared to 27.60% in the untreated control (Table 2). The IPM module included soil application of chlorantraniliprole 0.4G at 22.5 kg/ha at planting, trash mulching at 3 t/ha, frequent irrigations at 7–10 day intervals, intercropping with cowpea, foliar application of chlorantraniliprole 18.5 SC at 0.3 ml/L between 60–90 days after planting (DAP), installation of pheromone traps at 25 traps/ha, and field release of </w:t>
      </w:r>
      <w:proofErr w:type="spellStart"/>
      <w:r w:rsidRPr="00D85277">
        <w:rPr>
          <w:rFonts w:ascii="Arial" w:eastAsia="Times New Roman" w:hAnsi="Arial" w:cs="Arial"/>
          <w:bCs/>
          <w:i/>
          <w:sz w:val="20"/>
          <w:szCs w:val="20"/>
          <w:lang w:val="en"/>
        </w:rPr>
        <w:t>Trichogramma</w:t>
      </w:r>
      <w:proofErr w:type="spellEnd"/>
      <w:r w:rsidRPr="00D85277">
        <w:rPr>
          <w:rFonts w:ascii="Arial" w:eastAsia="Times New Roman" w:hAnsi="Arial" w:cs="Arial"/>
          <w:bCs/>
          <w:i/>
          <w:sz w:val="20"/>
          <w:szCs w:val="20"/>
          <w:lang w:val="en"/>
        </w:rPr>
        <w:t xml:space="preserve"> </w:t>
      </w:r>
      <w:proofErr w:type="spellStart"/>
      <w:r w:rsidRPr="00D85277">
        <w:rPr>
          <w:rFonts w:ascii="Arial" w:eastAsia="Times New Roman" w:hAnsi="Arial" w:cs="Arial"/>
          <w:bCs/>
          <w:i/>
          <w:sz w:val="20"/>
          <w:szCs w:val="20"/>
          <w:lang w:val="en"/>
        </w:rPr>
        <w:t>chilonis</w:t>
      </w:r>
      <w:proofErr w:type="spellEnd"/>
      <w:r w:rsidRPr="00D85277">
        <w:rPr>
          <w:rFonts w:ascii="Arial" w:eastAsia="Times New Roman" w:hAnsi="Arial" w:cs="Arial"/>
          <w:bCs/>
          <w:sz w:val="20"/>
          <w:szCs w:val="20"/>
          <w:lang w:val="en"/>
        </w:rPr>
        <w:t xml:space="preserve"> (</w:t>
      </w:r>
      <w:proofErr w:type="spellStart"/>
      <w:r w:rsidRPr="00D85277">
        <w:rPr>
          <w:rFonts w:ascii="Arial" w:eastAsia="Times New Roman" w:hAnsi="Arial" w:cs="Arial"/>
          <w:bCs/>
          <w:sz w:val="20"/>
          <w:szCs w:val="20"/>
          <w:lang w:val="en"/>
        </w:rPr>
        <w:t>Trichocards</w:t>
      </w:r>
      <w:proofErr w:type="spellEnd"/>
      <w:r w:rsidRPr="00D85277">
        <w:rPr>
          <w:rFonts w:ascii="Arial" w:eastAsia="Times New Roman" w:hAnsi="Arial" w:cs="Arial"/>
          <w:bCs/>
          <w:sz w:val="20"/>
          <w:szCs w:val="20"/>
          <w:lang w:val="en"/>
        </w:rPr>
        <w:t>) at 50,000/ha, applied six times at 7–10 day intervals from 120 DAP onwards. In comparison, the chemical control module alone reduced ESB incidence to 8.60%, while the non-chemical module recorded a reduction to 14.40%, both of which were significantly lower than the unprotected control (27.60%).</w:t>
      </w:r>
    </w:p>
    <w:p w14:paraId="405909F6" w14:textId="77777777" w:rsidR="003C5872" w:rsidRPr="00D85277" w:rsidRDefault="003C5872" w:rsidP="000B4699">
      <w:pPr>
        <w:spacing w:after="0" w:line="240" w:lineRule="auto"/>
        <w:jc w:val="both"/>
        <w:rPr>
          <w:rFonts w:ascii="Arial" w:eastAsia="Times New Roman" w:hAnsi="Arial" w:cs="Arial"/>
          <w:b/>
          <w:bCs/>
          <w:sz w:val="20"/>
          <w:szCs w:val="20"/>
          <w:lang w:val="en"/>
        </w:rPr>
      </w:pPr>
    </w:p>
    <w:p w14:paraId="2862144E" w14:textId="094B5EB8"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3.2 </w:t>
      </w:r>
      <w:r w:rsidR="003C5872" w:rsidRPr="00D85277">
        <w:rPr>
          <w:rFonts w:ascii="Arial" w:eastAsia="Times New Roman" w:hAnsi="Arial" w:cs="Arial"/>
          <w:b/>
          <w:bCs/>
          <w:lang w:val="en"/>
        </w:rPr>
        <w:t>Internode Borer</w:t>
      </w:r>
    </w:p>
    <w:p w14:paraId="5448E108"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55B1C34F" w14:textId="4D0675FB"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The incidence of internode borer</w:t>
      </w:r>
      <w:r w:rsidR="003655E5"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(INB)</w:t>
      </w:r>
      <w:r w:rsidR="001D3E57"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varied considerably among the treatments, ranging from 60% to 100%. The lowest incidence was observed in the IPM module (44.0%), compared to 100% in the unprotected control. The chemical and non-chemical modules recorded internode borer incidences of 80% and 60%, respectively. A similar trend was observed for the intensity of internode borer infestation. The IPM module recorded the lowest intensity (6.1%), which was significantly lower than the unprotected control (20.4%). In comparison, the chemical and non-chemical modules recorded INB intensities of 12.6% and 10.4%, respectively (Table 2).</w:t>
      </w:r>
    </w:p>
    <w:p w14:paraId="05E23544"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1F9E98C6" w14:textId="0588BAFE" w:rsidR="00F72EE4" w:rsidRPr="00D85277" w:rsidRDefault="00F72EE4" w:rsidP="001D3E57">
      <w:pPr>
        <w:spacing w:after="0" w:line="240" w:lineRule="auto"/>
        <w:ind w:left="360" w:hanging="360"/>
        <w:jc w:val="both"/>
        <w:rPr>
          <w:rFonts w:ascii="Arial" w:eastAsia="Times New Roman" w:hAnsi="Arial" w:cs="Arial"/>
          <w:b/>
          <w:bCs/>
          <w:lang w:val="en"/>
        </w:rPr>
      </w:pPr>
      <w:r w:rsidRPr="00D85277">
        <w:rPr>
          <w:rFonts w:ascii="Arial" w:eastAsia="Times New Roman" w:hAnsi="Arial" w:cs="Arial"/>
          <w:b/>
          <w:bCs/>
          <w:lang w:val="en"/>
        </w:rPr>
        <w:lastRenderedPageBreak/>
        <w:t>3.3</w:t>
      </w:r>
      <w:r w:rsidR="001D3E57" w:rsidRPr="00D85277">
        <w:rPr>
          <w:rFonts w:ascii="Arial" w:eastAsia="Times New Roman" w:hAnsi="Arial" w:cs="Arial"/>
          <w:b/>
          <w:bCs/>
          <w:lang w:val="en"/>
        </w:rPr>
        <w:tab/>
      </w:r>
      <w:r w:rsidR="003C5872" w:rsidRPr="00D85277">
        <w:rPr>
          <w:rFonts w:ascii="Arial" w:eastAsia="Times New Roman" w:hAnsi="Arial" w:cs="Arial"/>
          <w:b/>
          <w:bCs/>
          <w:lang w:val="en"/>
        </w:rPr>
        <w:t>Yield Attributing Characters</w:t>
      </w:r>
      <w:r w:rsidRPr="00D85277">
        <w:rPr>
          <w:rFonts w:ascii="Arial" w:eastAsia="Times New Roman" w:hAnsi="Arial" w:cs="Arial"/>
          <w:b/>
          <w:bCs/>
          <w:lang w:val="en"/>
        </w:rPr>
        <w:t xml:space="preserve">, </w:t>
      </w:r>
      <w:r w:rsidR="003C5872" w:rsidRPr="00D85277">
        <w:rPr>
          <w:rFonts w:ascii="Arial" w:eastAsia="Times New Roman" w:hAnsi="Arial" w:cs="Arial"/>
          <w:b/>
          <w:bCs/>
          <w:lang w:val="en"/>
        </w:rPr>
        <w:t>Juice Sucrose</w:t>
      </w:r>
      <w:r w:rsidRPr="00D85277">
        <w:rPr>
          <w:rFonts w:ascii="Arial" w:eastAsia="Times New Roman" w:hAnsi="Arial" w:cs="Arial"/>
          <w:b/>
          <w:bCs/>
          <w:lang w:val="en"/>
        </w:rPr>
        <w:t xml:space="preserve">, NMC </w:t>
      </w:r>
      <w:r w:rsidR="003C5872" w:rsidRPr="00D85277">
        <w:rPr>
          <w:rFonts w:ascii="Arial" w:eastAsia="Times New Roman" w:hAnsi="Arial" w:cs="Arial"/>
          <w:b/>
          <w:bCs/>
          <w:lang w:val="en"/>
        </w:rPr>
        <w:t xml:space="preserve">and Cane Yield </w:t>
      </w:r>
    </w:p>
    <w:p w14:paraId="03E7BCA7"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2257AD10" w14:textId="52222B66"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The data presented in Table 2 revealed that cane height was significantly reduced in the unprotected control (1.6 m) compared to the IPM module (2.4 m) and both the chemical and non-chemical modules (2.3 m; 2.3 m).  Juice sucrose content was highest in the IPM module (19.30%) and was statistically at par with the chemical (19.20%) and non-chemical modules (19.30%). In contrast, the unprotected control recorded a lower juice sucrose content (18.60%), likely due to the higher incidence of internode borer infestation.</w:t>
      </w:r>
    </w:p>
    <w:p w14:paraId="3DED19FD"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1896FD15" w14:textId="77777777"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The highest number of millable canes was recorded in the IPM module (73.33 thousand/ha), which was significantly higher than in the unprotected control (61.45 thousand/ha). The chemical module (72.92 thousand/ha) and the non-chemical module (69.50 thousand/ha) also showed significantly greater numbers of millable canes compared to the unprotected control (Table 2). The reduction in millable canes in the unprotected control was attributed to a higher incidence of early shoot borer (27.60% dead hearts). In contrast, the increased number of millable canes in the IPM module was due to a substantial reduction in early shoot borer infestation up to 120 days after planting (DAP).</w:t>
      </w:r>
    </w:p>
    <w:p w14:paraId="55FC3D00"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7377BFEE" w14:textId="016946F4"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Cane yield among the treatments ranged from 67.6 t/ha to 88.0 t/ha. The highest yield was recorded in the IPM module (88.0 t/ha), which significantly outperformed the unprotected control (67.6 t/ha), showing a 30.18% increase in yield. The chemical module was the next best treatment, with a yield of 87.5 t/ha with an increase of 29.43% over the unprotected control. The non-chemical module also recorded a promising yield of 83.4 t/ha, reflecting a 23.37% increase</w:t>
      </w:r>
      <w:r w:rsidR="004F16AB" w:rsidRPr="00D85277">
        <w:rPr>
          <w:rFonts w:ascii="Arial" w:eastAsia="Times New Roman" w:hAnsi="Arial" w:cs="Arial"/>
          <w:bCs/>
          <w:sz w:val="20"/>
          <w:szCs w:val="20"/>
          <w:lang w:val="en"/>
        </w:rPr>
        <w:t>.</w:t>
      </w:r>
      <w:r w:rsidR="00C767F5" w:rsidRPr="00D85277">
        <w:rPr>
          <w:rFonts w:ascii="Arial" w:eastAsia="Times New Roman" w:hAnsi="Arial" w:cs="Arial"/>
          <w:bCs/>
          <w:sz w:val="20"/>
          <w:szCs w:val="20"/>
          <w:lang w:val="en"/>
        </w:rPr>
        <w:t xml:space="preserve"> </w:t>
      </w:r>
      <w:r w:rsidR="004F16AB" w:rsidRPr="00D85277">
        <w:rPr>
          <w:rFonts w:ascii="Arial" w:eastAsia="Times New Roman" w:hAnsi="Arial" w:cs="Arial"/>
          <w:bCs/>
          <w:sz w:val="20"/>
          <w:szCs w:val="20"/>
          <w:lang w:val="en"/>
        </w:rPr>
        <w:t xml:space="preserve">However, </w:t>
      </w:r>
      <w:r w:rsidR="00EE37BD" w:rsidRPr="00D85277">
        <w:rPr>
          <w:rFonts w:ascii="Arial" w:eastAsia="Times New Roman" w:hAnsi="Arial" w:cs="Arial"/>
          <w:bCs/>
          <w:sz w:val="20"/>
          <w:szCs w:val="20"/>
          <w:lang w:val="en"/>
        </w:rPr>
        <w:t xml:space="preserve">the unprotected control exhibited a 23.2% yield reduction, producing only 67.60 t/ha, with lower NMC </w:t>
      </w:r>
      <w:r w:rsidR="00841A88" w:rsidRPr="00D85277">
        <w:rPr>
          <w:rFonts w:ascii="Arial" w:eastAsia="Times New Roman" w:hAnsi="Arial" w:cs="Arial"/>
          <w:bCs/>
          <w:sz w:val="20"/>
          <w:szCs w:val="20"/>
          <w:lang w:val="en"/>
        </w:rPr>
        <w:t>(61.45</w:t>
      </w:r>
      <w:r w:rsidR="00EE37BD" w:rsidRPr="00D85277">
        <w:rPr>
          <w:rFonts w:ascii="Arial" w:eastAsia="Times New Roman" w:hAnsi="Arial" w:cs="Arial"/>
          <w:bCs/>
          <w:sz w:val="20"/>
          <w:szCs w:val="20"/>
          <w:lang w:val="en"/>
        </w:rPr>
        <w:t xml:space="preserve"> thousand/ha) and inferior juice quality (18.6</w:t>
      </w:r>
      <w:r w:rsidR="00C767F5" w:rsidRPr="00D85277">
        <w:rPr>
          <w:rFonts w:ascii="Arial" w:eastAsia="Times New Roman" w:hAnsi="Arial" w:cs="Arial"/>
          <w:bCs/>
          <w:sz w:val="20"/>
          <w:szCs w:val="20"/>
          <w:lang w:val="en"/>
        </w:rPr>
        <w:t>0</w:t>
      </w:r>
      <w:r w:rsidR="00EE37BD" w:rsidRPr="00D85277">
        <w:rPr>
          <w:rFonts w:ascii="Arial" w:eastAsia="Times New Roman" w:hAnsi="Arial" w:cs="Arial"/>
          <w:bCs/>
          <w:sz w:val="20"/>
          <w:szCs w:val="20"/>
          <w:lang w:val="en"/>
        </w:rPr>
        <w:t>%) compared to IPM module</w:t>
      </w:r>
      <w:r w:rsidR="00C767F5" w:rsidRPr="00D85277">
        <w:rPr>
          <w:rFonts w:ascii="Arial" w:eastAsia="Times New Roman" w:hAnsi="Arial" w:cs="Arial"/>
          <w:bCs/>
          <w:sz w:val="20"/>
          <w:szCs w:val="20"/>
          <w:lang w:val="en"/>
        </w:rPr>
        <w:t xml:space="preserve"> </w:t>
      </w:r>
      <w:commentRangeStart w:id="14"/>
      <w:r w:rsidR="00C767F5" w:rsidRPr="00D85277">
        <w:rPr>
          <w:rFonts w:ascii="Arial" w:eastAsia="Times New Roman" w:hAnsi="Arial" w:cs="Arial"/>
          <w:bCs/>
          <w:sz w:val="20"/>
          <w:szCs w:val="20"/>
          <w:lang w:val="en"/>
        </w:rPr>
        <w:t>(Table 2)</w:t>
      </w:r>
      <w:r w:rsidR="00EE37BD" w:rsidRPr="00D85277">
        <w:rPr>
          <w:rFonts w:ascii="Arial" w:eastAsia="Times New Roman" w:hAnsi="Arial" w:cs="Arial"/>
          <w:bCs/>
          <w:sz w:val="20"/>
          <w:szCs w:val="20"/>
          <w:lang w:val="en"/>
        </w:rPr>
        <w:t>.</w:t>
      </w:r>
      <w:r w:rsidRPr="00D85277">
        <w:rPr>
          <w:rFonts w:ascii="Arial" w:eastAsia="Times New Roman" w:hAnsi="Arial" w:cs="Arial"/>
          <w:bCs/>
          <w:sz w:val="20"/>
          <w:szCs w:val="20"/>
          <w:lang w:val="en"/>
        </w:rPr>
        <w:t xml:space="preserve"> </w:t>
      </w:r>
      <w:commentRangeEnd w:id="14"/>
      <w:r w:rsidR="0009660A">
        <w:rPr>
          <w:rStyle w:val="CommentReference"/>
        </w:rPr>
        <w:commentReference w:id="14"/>
      </w:r>
    </w:p>
    <w:p w14:paraId="540AFB3B"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4454E452" w14:textId="77777777" w:rsidR="00F72EE4" w:rsidRPr="00D85277" w:rsidRDefault="00F72EE4" w:rsidP="000B4699">
      <w:pPr>
        <w:spacing w:after="0" w:line="240" w:lineRule="auto"/>
        <w:jc w:val="both"/>
        <w:rPr>
          <w:rFonts w:ascii="Arial" w:eastAsia="Times New Roman" w:hAnsi="Arial" w:cs="Arial"/>
          <w:b/>
          <w:bCs/>
          <w:sz w:val="20"/>
          <w:szCs w:val="20"/>
          <w:lang w:val="en"/>
        </w:rPr>
      </w:pPr>
      <w:r w:rsidRPr="00D85277">
        <w:rPr>
          <w:rFonts w:ascii="Arial" w:eastAsia="Times New Roman" w:hAnsi="Arial" w:cs="Arial"/>
          <w:b/>
          <w:bCs/>
          <w:sz w:val="20"/>
          <w:szCs w:val="20"/>
          <w:lang w:val="en"/>
        </w:rPr>
        <w:t>2024-25</w:t>
      </w:r>
    </w:p>
    <w:p w14:paraId="17AC9210" w14:textId="77777777" w:rsidR="003C5872" w:rsidRPr="00D85277" w:rsidRDefault="003C5872" w:rsidP="000B4699">
      <w:pPr>
        <w:spacing w:after="0" w:line="240" w:lineRule="auto"/>
        <w:jc w:val="both"/>
        <w:rPr>
          <w:rFonts w:ascii="Arial" w:eastAsia="Times New Roman" w:hAnsi="Arial" w:cs="Arial"/>
          <w:b/>
          <w:bCs/>
          <w:sz w:val="20"/>
          <w:szCs w:val="20"/>
          <w:lang w:val="en"/>
        </w:rPr>
      </w:pPr>
    </w:p>
    <w:p w14:paraId="07C7E81F" w14:textId="02651885"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3.4 </w:t>
      </w:r>
      <w:r w:rsidR="003C5872" w:rsidRPr="00D85277">
        <w:rPr>
          <w:rFonts w:ascii="Arial" w:eastAsia="Times New Roman" w:hAnsi="Arial" w:cs="Arial"/>
          <w:b/>
          <w:bCs/>
          <w:lang w:val="en"/>
        </w:rPr>
        <w:t>Early Shoot Borer</w:t>
      </w:r>
    </w:p>
    <w:p w14:paraId="1B222D95"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1B20A7EF" w14:textId="526C2DB4"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During 2024–25, the incidence of early shoot borer was significantly reduced in the IPM module, recording only 12.08% dead hearts (DH) compared to 39.04% DH in the untreated control (Table 3). The chemical control </w:t>
      </w:r>
      <w:commentRangeStart w:id="15"/>
      <w:r w:rsidRPr="00D85277">
        <w:rPr>
          <w:rFonts w:ascii="Arial" w:eastAsia="Times New Roman" w:hAnsi="Arial" w:cs="Arial"/>
          <w:bCs/>
          <w:sz w:val="20"/>
          <w:szCs w:val="20"/>
          <w:lang w:val="en"/>
        </w:rPr>
        <w:t xml:space="preserve">module </w:t>
      </w:r>
      <w:commentRangeEnd w:id="15"/>
      <w:r w:rsidR="00B83D1B">
        <w:rPr>
          <w:rStyle w:val="CommentReference"/>
        </w:rPr>
        <w:commentReference w:id="15"/>
      </w:r>
      <w:r w:rsidRPr="00D85277">
        <w:rPr>
          <w:rFonts w:ascii="Arial" w:eastAsia="Times New Roman" w:hAnsi="Arial" w:cs="Arial"/>
          <w:bCs/>
          <w:sz w:val="20"/>
          <w:szCs w:val="20"/>
          <w:lang w:val="en"/>
        </w:rPr>
        <w:t xml:space="preserve">recorded </w:t>
      </w:r>
      <w:r w:rsidRPr="00D85277">
        <w:rPr>
          <w:rFonts w:ascii="Arial" w:eastAsia="Times New Roman" w:hAnsi="Arial" w:cs="Arial"/>
          <w:bCs/>
          <w:sz w:val="20"/>
          <w:szCs w:val="20"/>
          <w:lang w:val="en"/>
        </w:rPr>
        <w:lastRenderedPageBreak/>
        <w:t>14.90% DH, while the non-chemical module showed 18.20% DH, both of which were higher than that of the IPM module.</w:t>
      </w:r>
    </w:p>
    <w:p w14:paraId="4ED737EB"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3188FFC6" w14:textId="70B6B124" w:rsidR="00F72EE4" w:rsidRPr="00D85277" w:rsidRDefault="00F72EE4" w:rsidP="000B4699">
      <w:pPr>
        <w:spacing w:after="0" w:line="240" w:lineRule="auto"/>
        <w:jc w:val="both"/>
        <w:rPr>
          <w:rFonts w:ascii="Arial" w:eastAsia="Times New Roman" w:hAnsi="Arial" w:cs="Arial"/>
          <w:b/>
          <w:bCs/>
          <w:lang w:val="en"/>
        </w:rPr>
      </w:pPr>
      <w:r w:rsidRPr="00D85277">
        <w:rPr>
          <w:rFonts w:ascii="Arial" w:eastAsia="Times New Roman" w:hAnsi="Arial" w:cs="Arial"/>
          <w:b/>
          <w:bCs/>
          <w:lang w:val="en"/>
        </w:rPr>
        <w:t xml:space="preserve">3.5 </w:t>
      </w:r>
      <w:r w:rsidR="003C5872" w:rsidRPr="00D85277">
        <w:rPr>
          <w:rFonts w:ascii="Arial" w:eastAsia="Times New Roman" w:hAnsi="Arial" w:cs="Arial"/>
          <w:b/>
          <w:bCs/>
          <w:lang w:val="en"/>
        </w:rPr>
        <w:t>Internode Borer</w:t>
      </w:r>
    </w:p>
    <w:p w14:paraId="3C6AB6BF"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6FC91AC1" w14:textId="7B6A69D3"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The incidence of internode borer varied from 61.0% to 100% across treatments. The lowest incidence was recorded in the IPM module (61.33%) compared to 72.67% in the non-chemical module, 82.33% in the chemical module, and 100% in the untreated control. Similarly, the intensity of internode borer damage ranged from 9.10% to 26.60%, with the IPM module again showing the lowest intensity (9.10%), followed by the non-chemical module (11.30%) and the chemical module (12.90%). The untreated control exhibited the highest damage intensity at 26.60%. These results clearly demonstrate that the IPM module was more effective in managing internode borer infestation than either chemical or non-chemical modules applied alone.</w:t>
      </w:r>
    </w:p>
    <w:p w14:paraId="19CB7286" w14:textId="77777777" w:rsidR="003C5872" w:rsidRPr="00D85277" w:rsidRDefault="003C5872" w:rsidP="000B4699">
      <w:pPr>
        <w:spacing w:after="0" w:line="240" w:lineRule="auto"/>
        <w:jc w:val="both"/>
        <w:rPr>
          <w:rFonts w:ascii="Arial" w:eastAsia="Times New Roman" w:hAnsi="Arial" w:cs="Arial"/>
          <w:b/>
          <w:bCs/>
          <w:sz w:val="20"/>
          <w:szCs w:val="20"/>
          <w:lang w:val="en"/>
        </w:rPr>
      </w:pPr>
    </w:p>
    <w:p w14:paraId="1114576D" w14:textId="00CBA8AF" w:rsidR="00F72EE4" w:rsidRPr="00D85277" w:rsidRDefault="00F72EE4" w:rsidP="001D3E57">
      <w:pPr>
        <w:spacing w:after="0" w:line="240" w:lineRule="auto"/>
        <w:ind w:left="360" w:hanging="360"/>
        <w:jc w:val="both"/>
        <w:rPr>
          <w:rFonts w:ascii="Arial" w:eastAsia="Times New Roman" w:hAnsi="Arial" w:cs="Arial"/>
          <w:b/>
          <w:bCs/>
          <w:lang w:val="en"/>
        </w:rPr>
      </w:pPr>
      <w:r w:rsidRPr="00D85277">
        <w:rPr>
          <w:rFonts w:ascii="Arial" w:eastAsia="Times New Roman" w:hAnsi="Arial" w:cs="Arial"/>
          <w:b/>
          <w:bCs/>
          <w:lang w:val="en"/>
        </w:rPr>
        <w:t xml:space="preserve">3.6 </w:t>
      </w:r>
      <w:r w:rsidR="003C5872" w:rsidRPr="00D85277">
        <w:rPr>
          <w:rFonts w:ascii="Arial" w:eastAsia="Times New Roman" w:hAnsi="Arial" w:cs="Arial"/>
          <w:b/>
          <w:bCs/>
          <w:lang w:val="en"/>
        </w:rPr>
        <w:t>Yield Attributing Characters</w:t>
      </w:r>
      <w:r w:rsidRPr="00D85277">
        <w:rPr>
          <w:rFonts w:ascii="Arial" w:eastAsia="Times New Roman" w:hAnsi="Arial" w:cs="Arial"/>
          <w:b/>
          <w:bCs/>
          <w:lang w:val="en"/>
        </w:rPr>
        <w:t xml:space="preserve">, NMC </w:t>
      </w:r>
      <w:r w:rsidR="003C5872" w:rsidRPr="00D85277">
        <w:rPr>
          <w:rFonts w:ascii="Arial" w:eastAsia="Times New Roman" w:hAnsi="Arial" w:cs="Arial"/>
          <w:b/>
          <w:bCs/>
          <w:lang w:val="en"/>
        </w:rPr>
        <w:t>and Cane Yield</w:t>
      </w:r>
    </w:p>
    <w:p w14:paraId="5A01671E"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546AA712" w14:textId="2CF54FC1"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Growth and quality parameters (Table 2) also reflected the superior performance of the IPM module. The maximum cane height was observed in both the IPM and non-chemical modules (2.7 m), followed by the chemical module (2.6 m) and the untreated control (2.4 m). Juice sucrose content was highest in the IPM module (17.10%), followed by the non-chemical (16.90%) and chemical (16.50%) modules, while the untreated control recorded only 15.80%. The number of millable canes was highest in the IPM module (70.67 thousand/ha), followed by the chemical (67.33 thousand/ha) and non-chemical (67.17thousand/ha) modules, compared to 60.67 thousand/ha in the untreated control.</w:t>
      </w:r>
    </w:p>
    <w:p w14:paraId="113EB1AF"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1A983967" w14:textId="77777777"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Regarding cane yield, the IPM module recorded the highest yield at 84.8 t/ha, which was 16.48% higher than the untreated control (72.8 t/ha). The chemical and non-chemical modules recorded yields of 80.8 t/ha and 80.6 t/ha, representing yield increases of 10.99% and 10.71%, respectively, over the control. The reduction in yield in the untreated control was primarily due to the high incidence of early shoot borer (39.04% DH) and severe internode borer incidence (100%) and intensity (26.60%). These pest pressures adversely impacted the number of millable canes, cane height, weight, and juice quality, resulting in a 14.15% yield reduction </w:t>
      </w:r>
      <w:r w:rsidRPr="00D85277">
        <w:rPr>
          <w:rFonts w:ascii="Arial" w:eastAsia="Times New Roman" w:hAnsi="Arial" w:cs="Arial"/>
          <w:bCs/>
          <w:sz w:val="20"/>
          <w:szCs w:val="20"/>
          <w:lang w:val="en"/>
        </w:rPr>
        <w:lastRenderedPageBreak/>
        <w:t>compared to the IPM module. Similarly, the chemical and non-chemical modules showed yield reductions of 4.72% and 4.95%, respectively, compared to the IPM approach.</w:t>
      </w:r>
    </w:p>
    <w:p w14:paraId="5CDEF26B"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7006D014" w14:textId="34D59841"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The overall results presented in Table 4 indicated that the incidence of ESB up to 120 DAP was significantly reduced under the Integrated Pest Management (IPM) module, with only 9.55% dead hearts (DH), compared to 33.32% DH in the unprotected control. The chemical module and non-chemical module also recorded reduced ESB incidence at 11.75% and 16.30% DH, respectively. Similarly, the incidence and intensity of internode borer (INB) were markedly lower in the IPM module, with 53.25% incidence and</w:t>
      </w:r>
      <w:r w:rsidR="00841A88"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7.60% intensity, compared to 100% incidence and 23.50% intensity observed in the unprotected control (Fig.</w:t>
      </w:r>
      <w:r w:rsidR="003C5872"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 xml:space="preserve">1). </w:t>
      </w:r>
    </w:p>
    <w:p w14:paraId="241CA5BE"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4C5955BD" w14:textId="3C777EFD" w:rsidR="00C767F5" w:rsidRPr="00D85277" w:rsidRDefault="00F72EE4" w:rsidP="00C767F5">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In terms of crop growth and quality parameters, the IPM module resulted in superior performance, recording a higher cane height (2.55 m), cane weight (1.2 kg), and juice sucrose content (18.20%). The number of millable canes (NMC) was significantly higher under IPM (72.0 thousand canes/ha), leading to an enhanced cane yield of 86.40 t/ha </w:t>
      </w:r>
      <w:r w:rsidR="0020209B" w:rsidRPr="00D85277">
        <w:rPr>
          <w:rFonts w:ascii="Arial" w:eastAsia="Times New Roman" w:hAnsi="Arial" w:cs="Arial"/>
          <w:bCs/>
          <w:sz w:val="20"/>
          <w:szCs w:val="20"/>
          <w:lang w:val="en"/>
        </w:rPr>
        <w:t xml:space="preserve">representing a 23.1% yield increase over the untreated control (Table 4; </w:t>
      </w:r>
      <w:r w:rsidRPr="00D85277">
        <w:rPr>
          <w:rFonts w:ascii="Arial" w:eastAsia="Times New Roman" w:hAnsi="Arial" w:cs="Arial"/>
          <w:bCs/>
          <w:sz w:val="20"/>
          <w:szCs w:val="20"/>
          <w:lang w:val="en"/>
        </w:rPr>
        <w:t>Fig.</w:t>
      </w:r>
      <w:r w:rsidR="0085267C"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 xml:space="preserve">2) and a benefit-cost ratio (BCR) of 2.73. In contrast, the unprotected control exhibited a 14.7% yield reduction, producing only 70.20 t/ha, with lower NMC (61.06 thousand/ha), inferior juice quality (17.20%), and reduced sugar recovery. </w:t>
      </w:r>
      <w:r w:rsidR="00C767F5" w:rsidRPr="00D85277">
        <w:rPr>
          <w:rFonts w:ascii="Arial" w:eastAsia="Times New Roman" w:hAnsi="Arial" w:cs="Arial"/>
          <w:bCs/>
          <w:sz w:val="20"/>
          <w:szCs w:val="20"/>
          <w:lang w:val="en"/>
        </w:rPr>
        <w:t>The improved yields observed in the IPM, chemical and non-chemical modules were primarily attributed to the effective reduction of early shoot borer and internode borer infestations</w:t>
      </w:r>
      <w:r w:rsidR="007A185C" w:rsidRPr="00D85277">
        <w:rPr>
          <w:rFonts w:ascii="Arial" w:eastAsia="Times New Roman" w:hAnsi="Arial" w:cs="Arial"/>
          <w:bCs/>
          <w:sz w:val="20"/>
          <w:szCs w:val="20"/>
          <w:lang w:val="en"/>
        </w:rPr>
        <w:t xml:space="preserve">. </w:t>
      </w:r>
      <w:r w:rsidRPr="00D85277">
        <w:rPr>
          <w:rFonts w:ascii="Arial" w:eastAsia="Times New Roman" w:hAnsi="Arial" w:cs="Arial"/>
          <w:bCs/>
          <w:sz w:val="20"/>
          <w:szCs w:val="20"/>
          <w:lang w:val="en"/>
        </w:rPr>
        <w:t xml:space="preserve">High ESB infestation was associated with delayed tillering, while severe INB damage led to decreased cane height (2.0 m), lower cane weight (1.15 kg), and increased secondary bud sprouting. </w:t>
      </w:r>
    </w:p>
    <w:p w14:paraId="798953D3" w14:textId="77777777" w:rsidR="007A185C" w:rsidRPr="00D85277" w:rsidRDefault="007A185C" w:rsidP="000B4699">
      <w:pPr>
        <w:spacing w:after="0" w:line="240" w:lineRule="auto"/>
        <w:jc w:val="both"/>
        <w:rPr>
          <w:rFonts w:ascii="Arial" w:eastAsia="Times New Roman" w:hAnsi="Arial" w:cs="Arial"/>
          <w:bCs/>
          <w:sz w:val="20"/>
          <w:szCs w:val="20"/>
          <w:lang w:val="en"/>
        </w:rPr>
      </w:pPr>
    </w:p>
    <w:p w14:paraId="50698DF8" w14:textId="68AABFB4" w:rsidR="00F72EE4" w:rsidRPr="00D85277" w:rsidRDefault="00F72EE4" w:rsidP="000B4699">
      <w:pPr>
        <w:spacing w:after="0" w:line="240" w:lineRule="auto"/>
        <w:jc w:val="both"/>
        <w:rPr>
          <w:rFonts w:ascii="Arial" w:eastAsia="Times New Roman" w:hAnsi="Arial" w:cs="Arial"/>
          <w:bCs/>
          <w:sz w:val="20"/>
          <w:szCs w:val="20"/>
          <w:lang w:val="en"/>
        </w:rPr>
      </w:pPr>
      <w:commentRangeStart w:id="16"/>
      <w:r w:rsidRPr="00D85277">
        <w:rPr>
          <w:rFonts w:ascii="Arial" w:eastAsia="Times New Roman" w:hAnsi="Arial" w:cs="Arial"/>
          <w:bCs/>
          <w:sz w:val="20"/>
          <w:szCs w:val="20"/>
          <w:lang w:val="en"/>
        </w:rPr>
        <w:t xml:space="preserve">These findings are aligned with Srikanth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(2022)</w:t>
      </w:r>
      <w:commentRangeEnd w:id="16"/>
      <w:r w:rsidR="00824CFE">
        <w:rPr>
          <w:rStyle w:val="CommentReference"/>
        </w:rPr>
        <w:commentReference w:id="16"/>
      </w:r>
      <w:r w:rsidRPr="00D85277">
        <w:rPr>
          <w:rFonts w:ascii="Arial" w:eastAsia="Times New Roman" w:hAnsi="Arial" w:cs="Arial"/>
          <w:bCs/>
          <w:sz w:val="20"/>
          <w:szCs w:val="20"/>
          <w:lang w:val="en"/>
        </w:rPr>
        <w:t xml:space="preserve"> who reported that the growth parameters such as length, diameter, surface area and volume of internodes, and weight, weight/unit area and weight/unit volume of cane segments were lower in affected canes than those in healthy canes. Internode borer attacked internodes became shorter and thinner than the lower unaffected internodes.</w:t>
      </w:r>
      <w:r w:rsidR="0088024C" w:rsidRPr="00D85277">
        <w:rPr>
          <w:rFonts w:ascii="Arial" w:eastAsia="Times New Roman" w:hAnsi="Arial" w:cs="Arial"/>
          <w:bCs/>
          <w:sz w:val="20"/>
          <w:szCs w:val="20"/>
          <w:lang w:val="en"/>
        </w:rPr>
        <w:t xml:space="preserve"> </w:t>
      </w:r>
    </w:p>
    <w:p w14:paraId="2D465B19" w14:textId="77777777" w:rsidR="003C5872" w:rsidRPr="00D85277" w:rsidRDefault="003C5872" w:rsidP="000B4699">
      <w:pPr>
        <w:spacing w:after="0" w:line="240" w:lineRule="auto"/>
        <w:jc w:val="both"/>
        <w:rPr>
          <w:rFonts w:ascii="Arial" w:eastAsia="Times New Roman" w:hAnsi="Arial" w:cs="Arial"/>
          <w:bCs/>
          <w:sz w:val="18"/>
          <w:szCs w:val="18"/>
          <w:lang w:val="en"/>
        </w:rPr>
      </w:pPr>
    </w:p>
    <w:p w14:paraId="7C7842EC" w14:textId="5533EF85"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The chemical and non-chemical modules also demonstrated significant reductions in borer infestation over the control. The chemical module recorded ESB incidence of 11.75% DH, INB </w:t>
      </w:r>
      <w:r w:rsidRPr="00D85277">
        <w:rPr>
          <w:rFonts w:ascii="Arial" w:eastAsia="Times New Roman" w:hAnsi="Arial" w:cs="Arial"/>
          <w:bCs/>
          <w:sz w:val="20"/>
          <w:szCs w:val="20"/>
          <w:lang w:val="en"/>
        </w:rPr>
        <w:lastRenderedPageBreak/>
        <w:t>incidence of 81%, and intensity of 11.95%. This resulted in improved growth parameters, including cane height (2.50 m), cane weight (1.2 kg), juice sucrose (18.05%), NMC (70.13 thousand/ha), and cane yield (84.14 t/ha), representing a 19.</w:t>
      </w:r>
      <w:r w:rsidR="0020209B" w:rsidRPr="00D85277">
        <w:rPr>
          <w:rFonts w:ascii="Arial" w:eastAsia="Times New Roman" w:hAnsi="Arial" w:cs="Arial"/>
          <w:bCs/>
          <w:sz w:val="20"/>
          <w:szCs w:val="20"/>
          <w:lang w:val="en"/>
        </w:rPr>
        <w:t>9</w:t>
      </w:r>
      <w:r w:rsidRPr="00D85277">
        <w:rPr>
          <w:rFonts w:ascii="Arial" w:eastAsia="Times New Roman" w:hAnsi="Arial" w:cs="Arial"/>
          <w:bCs/>
          <w:sz w:val="20"/>
          <w:szCs w:val="20"/>
          <w:lang w:val="en"/>
        </w:rPr>
        <w:t>% yield increase over the control. The BCR for this module was 2.69. Likewise, the non-chemical module showed ESB incidence of 16.30% DH, INB incidence of 66%, and intensity of 11.65%. The module resulted in a cane height of 2.45 m, cane weight of 1.2 kg, juice sucrose of 17.90%, NMC of 68.34 thousand/ha, and cane yield of 81.90 t/ha with a 16.</w:t>
      </w:r>
      <w:r w:rsidR="003D2BA0" w:rsidRPr="00D85277">
        <w:rPr>
          <w:rFonts w:ascii="Arial" w:eastAsia="Times New Roman" w:hAnsi="Arial" w:cs="Arial"/>
          <w:bCs/>
          <w:sz w:val="20"/>
          <w:szCs w:val="20"/>
          <w:lang w:val="en"/>
        </w:rPr>
        <w:t>7</w:t>
      </w:r>
      <w:r w:rsidRPr="00D85277">
        <w:rPr>
          <w:rFonts w:ascii="Arial" w:eastAsia="Times New Roman" w:hAnsi="Arial" w:cs="Arial"/>
          <w:bCs/>
          <w:sz w:val="20"/>
          <w:szCs w:val="20"/>
          <w:lang w:val="en"/>
        </w:rPr>
        <w:t>% increase over the unprotected control. The corresponding BCR was 2.62 (Table 4).</w:t>
      </w:r>
    </w:p>
    <w:p w14:paraId="4520695A"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2CAC6427" w14:textId="77777777"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The present findings are in line with earlier studies that emphasize the effectiveness of integrated pest management (IPM) strategies in controlling sugarcane borers who demonstrated that combining chemical, cultural, biological, and pheromone-based methods offer an effective approach for managing borer pests in sugarcane (Srikanth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2012; Sheeba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2012; </w:t>
      </w:r>
      <w:proofErr w:type="spellStart"/>
      <w:r w:rsidRPr="00D85277">
        <w:rPr>
          <w:rFonts w:ascii="Arial" w:eastAsia="Times New Roman" w:hAnsi="Arial" w:cs="Arial"/>
          <w:bCs/>
          <w:sz w:val="20"/>
          <w:szCs w:val="20"/>
          <w:lang w:val="en"/>
        </w:rPr>
        <w:t>Ruhela</w:t>
      </w:r>
      <w:proofErr w:type="spellEnd"/>
      <w:r w:rsidRPr="00D85277">
        <w:rPr>
          <w:rFonts w:ascii="Arial" w:eastAsia="Times New Roman" w:hAnsi="Arial" w:cs="Arial"/>
          <w:bCs/>
          <w:sz w:val="20"/>
          <w:szCs w:val="20"/>
          <w:lang w:val="en"/>
        </w:rPr>
        <w:t xml:space="preserve"> &amp; </w:t>
      </w:r>
      <w:proofErr w:type="spellStart"/>
      <w:r w:rsidRPr="00D85277">
        <w:rPr>
          <w:rFonts w:ascii="Arial" w:eastAsia="Times New Roman" w:hAnsi="Arial" w:cs="Arial"/>
          <w:bCs/>
          <w:sz w:val="20"/>
          <w:szCs w:val="20"/>
          <w:lang w:val="en"/>
        </w:rPr>
        <w:t>Ruhela</w:t>
      </w:r>
      <w:proofErr w:type="spellEnd"/>
      <w:r w:rsidRPr="00D85277">
        <w:rPr>
          <w:rFonts w:ascii="Arial" w:eastAsia="Times New Roman" w:hAnsi="Arial" w:cs="Arial"/>
          <w:bCs/>
          <w:sz w:val="20"/>
          <w:szCs w:val="20"/>
          <w:lang w:val="en"/>
        </w:rPr>
        <w:t xml:space="preserve"> 2024; Sheeba &amp; Raja Babu 2025). </w:t>
      </w:r>
    </w:p>
    <w:p w14:paraId="67570979"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6C8AEEED" w14:textId="77777777"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The efficacy of </w:t>
      </w:r>
      <w:r w:rsidRPr="00D85277">
        <w:rPr>
          <w:rFonts w:ascii="Arial" w:eastAsia="Times New Roman" w:hAnsi="Arial" w:cs="Arial"/>
          <w:bCs/>
          <w:i/>
          <w:sz w:val="20"/>
          <w:szCs w:val="20"/>
          <w:lang w:val="en"/>
        </w:rPr>
        <w:t>Trichogramma chilonis</w:t>
      </w:r>
      <w:r w:rsidRPr="00D85277">
        <w:rPr>
          <w:rFonts w:ascii="Arial" w:eastAsia="Times New Roman" w:hAnsi="Arial" w:cs="Arial"/>
          <w:bCs/>
          <w:sz w:val="20"/>
          <w:szCs w:val="20"/>
          <w:lang w:val="en"/>
        </w:rPr>
        <w:t xml:space="preserve"> observed in the current study corroborates the results of Rao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(2006) and Visalakshi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(2016), who reported that trash mulching at 3 t/ha along with four releases of </w:t>
      </w:r>
      <w:r w:rsidRPr="00D85277">
        <w:rPr>
          <w:rFonts w:ascii="Arial" w:eastAsia="Times New Roman" w:hAnsi="Arial" w:cs="Arial"/>
          <w:bCs/>
          <w:i/>
          <w:sz w:val="20"/>
          <w:szCs w:val="20"/>
          <w:lang w:val="en"/>
        </w:rPr>
        <w:t>T. chilonis</w:t>
      </w:r>
      <w:r w:rsidRPr="00D85277">
        <w:rPr>
          <w:rFonts w:ascii="Arial" w:eastAsia="Times New Roman" w:hAnsi="Arial" w:cs="Arial"/>
          <w:bCs/>
          <w:sz w:val="20"/>
          <w:szCs w:val="20"/>
          <w:lang w:val="en"/>
        </w:rPr>
        <w:t xml:space="preserve"> at 50,000/ha from 30 days after planting at 7–10 day intervals effectively suppressed borer populations. Similarly, Bhavani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(2016b) also highlighted the benefit of integrating </w:t>
      </w:r>
      <w:r w:rsidRPr="00D85277">
        <w:rPr>
          <w:rFonts w:ascii="Arial" w:eastAsia="Times New Roman" w:hAnsi="Arial" w:cs="Arial"/>
          <w:bCs/>
          <w:i/>
          <w:sz w:val="20"/>
          <w:szCs w:val="20"/>
          <w:lang w:val="en"/>
        </w:rPr>
        <w:t>T. chilonis</w:t>
      </w:r>
      <w:r w:rsidRPr="00D85277">
        <w:rPr>
          <w:rFonts w:ascii="Arial" w:eastAsia="Times New Roman" w:hAnsi="Arial" w:cs="Arial"/>
          <w:bCs/>
          <w:sz w:val="20"/>
          <w:szCs w:val="20"/>
          <w:lang w:val="en"/>
        </w:rPr>
        <w:t xml:space="preserve"> releases with mass trapping using pheromone traps (25 traps/ha) in successfully reducing both early shoot borer (ESB) and internode borer (INB) infestations. </w:t>
      </w:r>
      <w:proofErr w:type="spellStart"/>
      <w:r w:rsidRPr="00D85277">
        <w:rPr>
          <w:rFonts w:ascii="Arial" w:eastAsia="Times New Roman" w:hAnsi="Arial" w:cs="Arial"/>
          <w:bCs/>
          <w:sz w:val="20"/>
          <w:szCs w:val="20"/>
          <w:lang w:val="en"/>
        </w:rPr>
        <w:t>Sithanantham</w:t>
      </w:r>
      <w:proofErr w:type="spellEnd"/>
      <w:r w:rsidRPr="00D85277">
        <w:rPr>
          <w:rFonts w:ascii="Arial" w:eastAsia="Times New Roman" w:hAnsi="Arial" w:cs="Arial"/>
          <w:bCs/>
          <w:sz w:val="20"/>
          <w:szCs w:val="20"/>
          <w:lang w:val="en"/>
        </w:rPr>
        <w:t xml:space="preserve">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(2020) validated the use of delta sticky traps for borer management in sugarcane.</w:t>
      </w:r>
    </w:p>
    <w:p w14:paraId="2F892BA8"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23077EBC" w14:textId="556BFA41" w:rsidR="001D3E57" w:rsidRPr="00D85277" w:rsidRDefault="00F72EE4" w:rsidP="000B4699">
      <w:pPr>
        <w:spacing w:after="0" w:line="240" w:lineRule="auto"/>
        <w:jc w:val="both"/>
        <w:rPr>
          <w:rFonts w:ascii="Arial" w:eastAsia="Times New Roman" w:hAnsi="Arial" w:cs="Arial"/>
          <w:bCs/>
          <w:sz w:val="20"/>
          <w:szCs w:val="20"/>
          <w:lang w:val="en"/>
        </w:rPr>
        <w:sectPr w:rsidR="001D3E57" w:rsidRPr="00D85277" w:rsidSect="001D3E57">
          <w:type w:val="continuous"/>
          <w:pgSz w:w="11909" w:h="16834" w:code="9"/>
          <w:pgMar w:top="1440" w:right="1440" w:bottom="1440" w:left="1440" w:header="720" w:footer="864" w:gutter="0"/>
          <w:cols w:num="2" w:space="288"/>
          <w:docGrid w:linePitch="360"/>
        </w:sectPr>
      </w:pPr>
      <w:r w:rsidRPr="00D85277">
        <w:rPr>
          <w:rFonts w:ascii="Arial" w:eastAsia="Times New Roman" w:hAnsi="Arial" w:cs="Arial"/>
          <w:bCs/>
          <w:sz w:val="20"/>
          <w:szCs w:val="20"/>
          <w:lang w:val="en"/>
        </w:rPr>
        <w:t xml:space="preserve">The present results with chlorantraniliprole are consistent with the findings of several researchers (Nilesh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2015; Kumar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2017; Sunil Kumar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2018; Assis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2019; Bhavani, 2025</w:t>
      </w:r>
      <w:r w:rsidR="00703F98" w:rsidRPr="00D85277">
        <w:rPr>
          <w:rFonts w:ascii="Arial" w:eastAsia="Times New Roman" w:hAnsi="Arial" w:cs="Arial"/>
          <w:bCs/>
          <w:sz w:val="20"/>
          <w:szCs w:val="20"/>
          <w:lang w:val="en"/>
        </w:rPr>
        <w:t>a</w:t>
      </w:r>
      <w:r w:rsidRPr="00D85277">
        <w:rPr>
          <w:rFonts w:ascii="Arial" w:eastAsia="Times New Roman" w:hAnsi="Arial" w:cs="Arial"/>
          <w:bCs/>
          <w:sz w:val="20"/>
          <w:szCs w:val="20"/>
          <w:lang w:val="en"/>
        </w:rPr>
        <w:t xml:space="preserve">), who reported that both chlorantraniliprole 0.4G and 18.5 SC formulations are highly effective in managing ESB. These results are further supported by Choudhary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(2018) and Bhavani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(2016a), who found chlorantraniliprole application at planting and again at 60 days after planting (DAP) to significantly reduce shoot borer incidence. Comparable efficacy of </w:t>
      </w:r>
    </w:p>
    <w:p w14:paraId="42C0D513" w14:textId="77777777" w:rsidR="00E26BDD" w:rsidRPr="00D85277" w:rsidRDefault="00E26BDD" w:rsidP="000B4699">
      <w:pPr>
        <w:spacing w:after="0" w:line="240" w:lineRule="auto"/>
        <w:jc w:val="center"/>
        <w:rPr>
          <w:rFonts w:ascii="Arial" w:eastAsia="Times New Roman" w:hAnsi="Arial" w:cs="Arial"/>
          <w:b/>
          <w:bCs/>
          <w:sz w:val="20"/>
          <w:szCs w:val="20"/>
          <w:lang w:val="en"/>
        </w:rPr>
      </w:pPr>
      <w:proofErr w:type="gramStart"/>
      <w:r w:rsidRPr="00D85277">
        <w:rPr>
          <w:rFonts w:ascii="Arial" w:eastAsia="Times New Roman" w:hAnsi="Arial" w:cs="Arial"/>
          <w:b/>
          <w:bCs/>
          <w:sz w:val="20"/>
          <w:szCs w:val="20"/>
          <w:lang w:val="en"/>
        </w:rPr>
        <w:lastRenderedPageBreak/>
        <w:t>Table 2.</w:t>
      </w:r>
      <w:proofErr w:type="gramEnd"/>
      <w:r w:rsidRPr="00D85277">
        <w:rPr>
          <w:rFonts w:ascii="Arial" w:eastAsia="Times New Roman" w:hAnsi="Arial" w:cs="Arial"/>
          <w:b/>
          <w:bCs/>
          <w:sz w:val="20"/>
          <w:szCs w:val="20"/>
          <w:lang w:val="en"/>
        </w:rPr>
        <w:t xml:space="preserve"> Impact of different management strategies against borers and assessment of cane yield losses in sugarcane during 2023-24</w:t>
      </w:r>
    </w:p>
    <w:p w14:paraId="7ABB220D" w14:textId="77777777" w:rsidR="00E26BDD" w:rsidRPr="00D85277" w:rsidRDefault="00E26BDD" w:rsidP="000B4699">
      <w:pPr>
        <w:spacing w:after="0" w:line="240" w:lineRule="auto"/>
        <w:jc w:val="center"/>
        <w:rPr>
          <w:rFonts w:ascii="Arial" w:eastAsia="Times New Roman" w:hAnsi="Arial" w:cs="Arial"/>
          <w:bCs/>
          <w:sz w:val="20"/>
          <w:szCs w:val="20"/>
          <w:lang w:val="e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7"/>
        <w:gridCol w:w="1220"/>
        <w:gridCol w:w="1104"/>
        <w:gridCol w:w="986"/>
        <w:gridCol w:w="1087"/>
        <w:gridCol w:w="1004"/>
        <w:gridCol w:w="1104"/>
        <w:gridCol w:w="1104"/>
        <w:gridCol w:w="787"/>
        <w:gridCol w:w="1167"/>
        <w:gridCol w:w="987"/>
      </w:tblGrid>
      <w:tr w:rsidR="00E26BDD" w:rsidRPr="00D85277" w14:paraId="44D0D095" w14:textId="77777777" w:rsidTr="00EE37BD">
        <w:trPr>
          <w:trHeight w:val="20"/>
          <w:jc w:val="center"/>
        </w:trPr>
        <w:tc>
          <w:tcPr>
            <w:tcW w:w="3337" w:type="dxa"/>
            <w:vMerge w:val="restart"/>
          </w:tcPr>
          <w:p w14:paraId="781638FE"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Treatment</w:t>
            </w:r>
          </w:p>
        </w:tc>
        <w:tc>
          <w:tcPr>
            <w:tcW w:w="1220" w:type="dxa"/>
            <w:vMerge w:val="restart"/>
          </w:tcPr>
          <w:p w14:paraId="07955440"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Early shoot borer (%DH)</w:t>
            </w:r>
          </w:p>
        </w:tc>
        <w:tc>
          <w:tcPr>
            <w:tcW w:w="2090" w:type="dxa"/>
            <w:gridSpan w:val="2"/>
          </w:tcPr>
          <w:p w14:paraId="06CDC4FD"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Internode borer</w:t>
            </w:r>
          </w:p>
        </w:tc>
        <w:tc>
          <w:tcPr>
            <w:tcW w:w="1087" w:type="dxa"/>
            <w:vMerge w:val="restart"/>
          </w:tcPr>
          <w:p w14:paraId="1F0AD80F"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Cane length (m)</w:t>
            </w:r>
          </w:p>
        </w:tc>
        <w:tc>
          <w:tcPr>
            <w:tcW w:w="1004" w:type="dxa"/>
            <w:vMerge w:val="restart"/>
          </w:tcPr>
          <w:p w14:paraId="7E0F6920"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Cane weight </w:t>
            </w:r>
          </w:p>
          <w:p w14:paraId="3040DAE0"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(kg)</w:t>
            </w:r>
          </w:p>
        </w:tc>
        <w:tc>
          <w:tcPr>
            <w:tcW w:w="1104" w:type="dxa"/>
            <w:vMerge w:val="restart"/>
          </w:tcPr>
          <w:p w14:paraId="43198CBB"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Juice sucrose (%)</w:t>
            </w:r>
          </w:p>
        </w:tc>
        <w:tc>
          <w:tcPr>
            <w:tcW w:w="1104" w:type="dxa"/>
            <w:vMerge w:val="restart"/>
          </w:tcPr>
          <w:p w14:paraId="4638B51B"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NMC</w:t>
            </w:r>
          </w:p>
          <w:p w14:paraId="0888981E"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(000’/ha)</w:t>
            </w:r>
          </w:p>
        </w:tc>
        <w:tc>
          <w:tcPr>
            <w:tcW w:w="787" w:type="dxa"/>
            <w:vMerge w:val="restart"/>
          </w:tcPr>
          <w:p w14:paraId="7B405910"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Cane yield (t/ha)</w:t>
            </w:r>
          </w:p>
        </w:tc>
        <w:tc>
          <w:tcPr>
            <w:tcW w:w="1167" w:type="dxa"/>
            <w:vMerge w:val="restart"/>
          </w:tcPr>
          <w:p w14:paraId="6EA5B46B"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Increase over untreated control (%)</w:t>
            </w:r>
          </w:p>
        </w:tc>
        <w:tc>
          <w:tcPr>
            <w:tcW w:w="987" w:type="dxa"/>
            <w:vMerge w:val="restart"/>
          </w:tcPr>
          <w:p w14:paraId="66076594" w14:textId="77777777" w:rsidR="00E26BDD" w:rsidRPr="00D85277" w:rsidRDefault="00E26BDD" w:rsidP="00946291">
            <w:pPr>
              <w:spacing w:before="20"/>
              <w:ind w:right="-80"/>
              <w:rPr>
                <w:rFonts w:ascii="Arial" w:eastAsia="Times New Roman" w:hAnsi="Arial" w:cs="Arial"/>
                <w:b/>
                <w:bCs/>
                <w:sz w:val="18"/>
                <w:szCs w:val="18"/>
                <w:lang w:val="en"/>
              </w:rPr>
            </w:pPr>
            <w:r w:rsidRPr="00D85277">
              <w:rPr>
                <w:rFonts w:ascii="Arial" w:eastAsia="Times New Roman" w:hAnsi="Arial" w:cs="Arial"/>
                <w:b/>
                <w:bCs/>
                <w:sz w:val="18"/>
                <w:szCs w:val="18"/>
                <w:lang w:val="en"/>
              </w:rPr>
              <w:t>Decrease over T3 (%)</w:t>
            </w:r>
          </w:p>
        </w:tc>
      </w:tr>
      <w:tr w:rsidR="00E26BDD" w:rsidRPr="00D85277" w14:paraId="62900518" w14:textId="77777777" w:rsidTr="00EE37BD">
        <w:trPr>
          <w:trHeight w:val="20"/>
          <w:jc w:val="center"/>
        </w:trPr>
        <w:tc>
          <w:tcPr>
            <w:tcW w:w="3337" w:type="dxa"/>
            <w:vMerge/>
            <w:tcBorders>
              <w:bottom w:val="single" w:sz="4" w:space="0" w:color="auto"/>
            </w:tcBorders>
          </w:tcPr>
          <w:p w14:paraId="19DEBA99" w14:textId="77777777" w:rsidR="00E26BDD" w:rsidRPr="00D85277" w:rsidRDefault="00E26BDD" w:rsidP="001D3E57">
            <w:pPr>
              <w:spacing w:before="20"/>
              <w:rPr>
                <w:rFonts w:ascii="Arial" w:eastAsia="Times New Roman" w:hAnsi="Arial" w:cs="Arial"/>
                <w:b/>
                <w:bCs/>
                <w:sz w:val="18"/>
                <w:szCs w:val="18"/>
                <w:lang w:val="en"/>
              </w:rPr>
            </w:pPr>
          </w:p>
        </w:tc>
        <w:tc>
          <w:tcPr>
            <w:tcW w:w="1220" w:type="dxa"/>
            <w:vMerge/>
            <w:tcBorders>
              <w:bottom w:val="single" w:sz="4" w:space="0" w:color="auto"/>
            </w:tcBorders>
          </w:tcPr>
          <w:p w14:paraId="10A94A97" w14:textId="77777777" w:rsidR="00E26BDD" w:rsidRPr="00D85277" w:rsidRDefault="00E26BDD" w:rsidP="001D3E57">
            <w:pPr>
              <w:spacing w:before="20"/>
              <w:rPr>
                <w:rFonts w:ascii="Arial" w:eastAsia="Times New Roman" w:hAnsi="Arial" w:cs="Arial"/>
                <w:b/>
                <w:bCs/>
                <w:sz w:val="18"/>
                <w:szCs w:val="18"/>
                <w:lang w:val="en"/>
              </w:rPr>
            </w:pPr>
          </w:p>
        </w:tc>
        <w:tc>
          <w:tcPr>
            <w:tcW w:w="1104" w:type="dxa"/>
            <w:tcBorders>
              <w:bottom w:val="single" w:sz="4" w:space="0" w:color="auto"/>
            </w:tcBorders>
          </w:tcPr>
          <w:p w14:paraId="499F2F83"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Incidence (%)</w:t>
            </w:r>
          </w:p>
        </w:tc>
        <w:tc>
          <w:tcPr>
            <w:tcW w:w="986" w:type="dxa"/>
            <w:tcBorders>
              <w:bottom w:val="single" w:sz="4" w:space="0" w:color="auto"/>
            </w:tcBorders>
          </w:tcPr>
          <w:p w14:paraId="7AEE9851"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Intensity (%)</w:t>
            </w:r>
          </w:p>
        </w:tc>
        <w:tc>
          <w:tcPr>
            <w:tcW w:w="1087" w:type="dxa"/>
            <w:vMerge/>
            <w:tcBorders>
              <w:bottom w:val="single" w:sz="4" w:space="0" w:color="auto"/>
            </w:tcBorders>
          </w:tcPr>
          <w:p w14:paraId="2E565290" w14:textId="77777777" w:rsidR="00E26BDD" w:rsidRPr="00D85277" w:rsidRDefault="00E26BDD" w:rsidP="001D3E57">
            <w:pPr>
              <w:spacing w:before="20"/>
              <w:rPr>
                <w:rFonts w:ascii="Arial" w:eastAsia="Times New Roman" w:hAnsi="Arial" w:cs="Arial"/>
                <w:b/>
                <w:bCs/>
                <w:sz w:val="18"/>
                <w:szCs w:val="18"/>
                <w:lang w:val="en"/>
              </w:rPr>
            </w:pPr>
          </w:p>
        </w:tc>
        <w:tc>
          <w:tcPr>
            <w:tcW w:w="1004" w:type="dxa"/>
            <w:vMerge/>
            <w:tcBorders>
              <w:bottom w:val="single" w:sz="4" w:space="0" w:color="auto"/>
            </w:tcBorders>
          </w:tcPr>
          <w:p w14:paraId="40AA30F5" w14:textId="77777777" w:rsidR="00E26BDD" w:rsidRPr="00D85277" w:rsidRDefault="00E26BDD" w:rsidP="001D3E57">
            <w:pPr>
              <w:spacing w:before="20"/>
              <w:rPr>
                <w:rFonts w:ascii="Arial" w:eastAsia="Times New Roman" w:hAnsi="Arial" w:cs="Arial"/>
                <w:b/>
                <w:bCs/>
                <w:sz w:val="18"/>
                <w:szCs w:val="18"/>
                <w:lang w:val="en"/>
              </w:rPr>
            </w:pPr>
          </w:p>
        </w:tc>
        <w:tc>
          <w:tcPr>
            <w:tcW w:w="1104" w:type="dxa"/>
            <w:vMerge/>
            <w:tcBorders>
              <w:bottom w:val="single" w:sz="4" w:space="0" w:color="auto"/>
            </w:tcBorders>
          </w:tcPr>
          <w:p w14:paraId="5C250E41" w14:textId="77777777" w:rsidR="00E26BDD" w:rsidRPr="00D85277" w:rsidRDefault="00E26BDD" w:rsidP="001D3E57">
            <w:pPr>
              <w:spacing w:before="20"/>
              <w:rPr>
                <w:rFonts w:ascii="Arial" w:eastAsia="Times New Roman" w:hAnsi="Arial" w:cs="Arial"/>
                <w:b/>
                <w:bCs/>
                <w:sz w:val="18"/>
                <w:szCs w:val="18"/>
                <w:lang w:val="en"/>
              </w:rPr>
            </w:pPr>
          </w:p>
        </w:tc>
        <w:tc>
          <w:tcPr>
            <w:tcW w:w="1104" w:type="dxa"/>
            <w:vMerge/>
            <w:tcBorders>
              <w:bottom w:val="single" w:sz="4" w:space="0" w:color="auto"/>
            </w:tcBorders>
          </w:tcPr>
          <w:p w14:paraId="14A0B8FF" w14:textId="77777777" w:rsidR="00E26BDD" w:rsidRPr="00D85277" w:rsidRDefault="00E26BDD" w:rsidP="001D3E57">
            <w:pPr>
              <w:spacing w:before="20"/>
              <w:rPr>
                <w:rFonts w:ascii="Arial" w:eastAsia="Times New Roman" w:hAnsi="Arial" w:cs="Arial"/>
                <w:b/>
                <w:bCs/>
                <w:sz w:val="18"/>
                <w:szCs w:val="18"/>
                <w:lang w:val="en"/>
              </w:rPr>
            </w:pPr>
          </w:p>
        </w:tc>
        <w:tc>
          <w:tcPr>
            <w:tcW w:w="787" w:type="dxa"/>
            <w:vMerge/>
            <w:tcBorders>
              <w:bottom w:val="single" w:sz="4" w:space="0" w:color="auto"/>
            </w:tcBorders>
          </w:tcPr>
          <w:p w14:paraId="74E5B8E5" w14:textId="77777777" w:rsidR="00E26BDD" w:rsidRPr="00D85277" w:rsidRDefault="00E26BDD" w:rsidP="001D3E57">
            <w:pPr>
              <w:spacing w:before="20"/>
              <w:rPr>
                <w:rFonts w:ascii="Arial" w:eastAsia="Times New Roman" w:hAnsi="Arial" w:cs="Arial"/>
                <w:b/>
                <w:bCs/>
                <w:sz w:val="18"/>
                <w:szCs w:val="18"/>
                <w:lang w:val="en"/>
              </w:rPr>
            </w:pPr>
          </w:p>
        </w:tc>
        <w:tc>
          <w:tcPr>
            <w:tcW w:w="1167" w:type="dxa"/>
            <w:vMerge/>
            <w:tcBorders>
              <w:bottom w:val="single" w:sz="4" w:space="0" w:color="auto"/>
            </w:tcBorders>
          </w:tcPr>
          <w:p w14:paraId="2BF3141E" w14:textId="77777777" w:rsidR="00E26BDD" w:rsidRPr="00D85277" w:rsidRDefault="00E26BDD" w:rsidP="001D3E57">
            <w:pPr>
              <w:spacing w:before="20"/>
              <w:rPr>
                <w:rFonts w:ascii="Arial" w:eastAsia="Times New Roman" w:hAnsi="Arial" w:cs="Arial"/>
                <w:b/>
                <w:bCs/>
                <w:sz w:val="18"/>
                <w:szCs w:val="18"/>
                <w:lang w:val="en"/>
              </w:rPr>
            </w:pPr>
          </w:p>
        </w:tc>
        <w:tc>
          <w:tcPr>
            <w:tcW w:w="987" w:type="dxa"/>
            <w:vMerge/>
            <w:tcBorders>
              <w:bottom w:val="single" w:sz="4" w:space="0" w:color="auto"/>
            </w:tcBorders>
          </w:tcPr>
          <w:p w14:paraId="27577E2B" w14:textId="77777777" w:rsidR="00E26BDD" w:rsidRPr="00D85277" w:rsidRDefault="00E26BDD" w:rsidP="001D3E57">
            <w:pPr>
              <w:spacing w:before="20"/>
              <w:rPr>
                <w:rFonts w:ascii="Arial" w:eastAsia="Times New Roman" w:hAnsi="Arial" w:cs="Arial"/>
                <w:b/>
                <w:bCs/>
                <w:sz w:val="18"/>
                <w:szCs w:val="18"/>
                <w:lang w:val="en"/>
              </w:rPr>
            </w:pPr>
          </w:p>
        </w:tc>
      </w:tr>
      <w:tr w:rsidR="00E26BDD" w:rsidRPr="00D85277" w14:paraId="1E8F7847" w14:textId="77777777" w:rsidTr="00EE37BD">
        <w:trPr>
          <w:trHeight w:val="20"/>
          <w:jc w:val="center"/>
        </w:trPr>
        <w:tc>
          <w:tcPr>
            <w:tcW w:w="3337" w:type="dxa"/>
            <w:tcBorders>
              <w:top w:val="single" w:sz="4" w:space="0" w:color="auto"/>
              <w:bottom w:val="single" w:sz="4" w:space="0" w:color="auto"/>
            </w:tcBorders>
          </w:tcPr>
          <w:p w14:paraId="4A2062E1"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T1- Chemical Module: </w:t>
            </w:r>
          </w:p>
          <w:p w14:paraId="577E209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Soil application of chlorantraniliprole 0.4G at 22.5 kg/ha at planting.  </w:t>
            </w:r>
          </w:p>
          <w:p w14:paraId="1CB41173" w14:textId="26DDA669"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Foliar spray of chlorantraniliprole 18.5 SC at 0.3 ml/L between 60-90 DAP</w:t>
            </w:r>
          </w:p>
        </w:tc>
        <w:tc>
          <w:tcPr>
            <w:tcW w:w="1220" w:type="dxa"/>
            <w:tcBorders>
              <w:top w:val="single" w:sz="4" w:space="0" w:color="auto"/>
              <w:bottom w:val="single" w:sz="4" w:space="0" w:color="auto"/>
            </w:tcBorders>
          </w:tcPr>
          <w:p w14:paraId="430E3A26"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8.60</w:t>
            </w:r>
            <w:r w:rsidRPr="00D85277">
              <w:rPr>
                <w:rFonts w:ascii="Arial" w:eastAsia="Times New Roman" w:hAnsi="Arial" w:cs="Arial"/>
                <w:bCs/>
                <w:sz w:val="18"/>
                <w:szCs w:val="18"/>
                <w:vertAlign w:val="superscript"/>
                <w:lang w:val="en"/>
              </w:rPr>
              <w:t>b</w:t>
            </w:r>
          </w:p>
          <w:p w14:paraId="13D9A7B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(17.05)</w:t>
            </w:r>
          </w:p>
        </w:tc>
        <w:tc>
          <w:tcPr>
            <w:tcW w:w="1104" w:type="dxa"/>
            <w:tcBorders>
              <w:top w:val="single" w:sz="4" w:space="0" w:color="auto"/>
              <w:bottom w:val="single" w:sz="4" w:space="0" w:color="auto"/>
            </w:tcBorders>
          </w:tcPr>
          <w:p w14:paraId="2002C34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82.00</w:t>
            </w:r>
            <w:r w:rsidRPr="00D85277">
              <w:rPr>
                <w:rFonts w:ascii="Arial" w:eastAsia="Times New Roman" w:hAnsi="Arial" w:cs="Arial"/>
                <w:bCs/>
                <w:sz w:val="18"/>
                <w:szCs w:val="18"/>
                <w:vertAlign w:val="superscript"/>
                <w:lang w:val="en"/>
              </w:rPr>
              <w:t>c</w:t>
            </w:r>
          </w:p>
          <w:p w14:paraId="250A91C7"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(68.46)</w:t>
            </w:r>
          </w:p>
        </w:tc>
        <w:tc>
          <w:tcPr>
            <w:tcW w:w="986" w:type="dxa"/>
            <w:tcBorders>
              <w:top w:val="single" w:sz="4" w:space="0" w:color="auto"/>
              <w:bottom w:val="single" w:sz="4" w:space="0" w:color="auto"/>
            </w:tcBorders>
          </w:tcPr>
          <w:p w14:paraId="218732F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12.60</w:t>
            </w:r>
            <w:r w:rsidRPr="00D85277">
              <w:rPr>
                <w:rFonts w:ascii="Arial" w:eastAsia="Times New Roman" w:hAnsi="Arial" w:cs="Arial"/>
                <w:bCs/>
                <w:sz w:val="18"/>
                <w:szCs w:val="18"/>
                <w:vertAlign w:val="superscript"/>
                <w:lang w:val="en"/>
              </w:rPr>
              <w:t>c</w:t>
            </w:r>
          </w:p>
          <w:p w14:paraId="5ABC20D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(20.77)</w:t>
            </w:r>
          </w:p>
        </w:tc>
        <w:tc>
          <w:tcPr>
            <w:tcW w:w="1087" w:type="dxa"/>
            <w:tcBorders>
              <w:top w:val="single" w:sz="4" w:space="0" w:color="auto"/>
              <w:bottom w:val="single" w:sz="4" w:space="0" w:color="auto"/>
            </w:tcBorders>
          </w:tcPr>
          <w:p w14:paraId="7E451838"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2.30</w:t>
            </w:r>
            <w:r w:rsidRPr="00D85277">
              <w:rPr>
                <w:rFonts w:ascii="Arial" w:eastAsia="Times New Roman" w:hAnsi="Arial" w:cs="Arial"/>
                <w:bCs/>
                <w:sz w:val="18"/>
                <w:szCs w:val="18"/>
                <w:vertAlign w:val="superscript"/>
                <w:lang w:val="en"/>
              </w:rPr>
              <w:t>b</w:t>
            </w:r>
          </w:p>
          <w:p w14:paraId="3BBF120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(1.82)</w:t>
            </w:r>
          </w:p>
        </w:tc>
        <w:tc>
          <w:tcPr>
            <w:tcW w:w="1004" w:type="dxa"/>
            <w:tcBorders>
              <w:top w:val="single" w:sz="4" w:space="0" w:color="auto"/>
              <w:bottom w:val="single" w:sz="4" w:space="0" w:color="auto"/>
            </w:tcBorders>
          </w:tcPr>
          <w:p w14:paraId="2C248AB7"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1.20</w:t>
            </w:r>
          </w:p>
          <w:p w14:paraId="10EA49FA" w14:textId="77777777" w:rsidR="00E26BDD" w:rsidRPr="00D85277" w:rsidRDefault="00E26BDD" w:rsidP="001D3E57">
            <w:pPr>
              <w:spacing w:before="20"/>
              <w:rPr>
                <w:rFonts w:ascii="Arial" w:eastAsia="Times New Roman" w:hAnsi="Arial" w:cs="Arial"/>
                <w:bCs/>
                <w:sz w:val="18"/>
                <w:szCs w:val="18"/>
                <w:lang w:val="en"/>
              </w:rPr>
            </w:pPr>
          </w:p>
        </w:tc>
        <w:tc>
          <w:tcPr>
            <w:tcW w:w="1104" w:type="dxa"/>
            <w:tcBorders>
              <w:top w:val="single" w:sz="4" w:space="0" w:color="auto"/>
              <w:bottom w:val="single" w:sz="4" w:space="0" w:color="auto"/>
            </w:tcBorders>
          </w:tcPr>
          <w:p w14:paraId="0724B7D7"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19.20</w:t>
            </w:r>
            <w:r w:rsidRPr="00D85277">
              <w:rPr>
                <w:rFonts w:ascii="Arial" w:eastAsia="Times New Roman" w:hAnsi="Arial" w:cs="Arial"/>
                <w:bCs/>
                <w:sz w:val="18"/>
                <w:szCs w:val="18"/>
                <w:vertAlign w:val="superscript"/>
                <w:lang w:val="en"/>
              </w:rPr>
              <w:t>b</w:t>
            </w:r>
          </w:p>
          <w:p w14:paraId="26AD798A"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(25.98)</w:t>
            </w:r>
          </w:p>
        </w:tc>
        <w:tc>
          <w:tcPr>
            <w:tcW w:w="1104" w:type="dxa"/>
            <w:tcBorders>
              <w:top w:val="single" w:sz="4" w:space="0" w:color="auto"/>
              <w:bottom w:val="single" w:sz="4" w:space="0" w:color="auto"/>
            </w:tcBorders>
          </w:tcPr>
          <w:p w14:paraId="681C7314"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72.92</w:t>
            </w:r>
            <w:r w:rsidRPr="00D85277">
              <w:rPr>
                <w:rFonts w:ascii="Arial" w:eastAsia="Times New Roman" w:hAnsi="Arial" w:cs="Arial"/>
                <w:bCs/>
                <w:sz w:val="18"/>
                <w:szCs w:val="18"/>
                <w:vertAlign w:val="superscript"/>
                <w:lang w:val="en"/>
              </w:rPr>
              <w:t>b</w:t>
            </w:r>
          </w:p>
        </w:tc>
        <w:tc>
          <w:tcPr>
            <w:tcW w:w="787" w:type="dxa"/>
            <w:tcBorders>
              <w:top w:val="single" w:sz="4" w:space="0" w:color="auto"/>
              <w:bottom w:val="single" w:sz="4" w:space="0" w:color="auto"/>
            </w:tcBorders>
          </w:tcPr>
          <w:p w14:paraId="2677BF34"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87.50</w:t>
            </w:r>
            <w:r w:rsidRPr="00D85277">
              <w:rPr>
                <w:rFonts w:ascii="Arial" w:eastAsia="Times New Roman" w:hAnsi="Arial" w:cs="Arial"/>
                <w:bCs/>
                <w:sz w:val="18"/>
                <w:szCs w:val="18"/>
                <w:vertAlign w:val="superscript"/>
                <w:lang w:val="en"/>
              </w:rPr>
              <w:t>a</w:t>
            </w:r>
          </w:p>
        </w:tc>
        <w:tc>
          <w:tcPr>
            <w:tcW w:w="1167" w:type="dxa"/>
            <w:tcBorders>
              <w:top w:val="single" w:sz="4" w:space="0" w:color="auto"/>
              <w:bottom w:val="single" w:sz="4" w:space="0" w:color="auto"/>
            </w:tcBorders>
          </w:tcPr>
          <w:p w14:paraId="5AEEE7C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29.43</w:t>
            </w:r>
          </w:p>
        </w:tc>
        <w:tc>
          <w:tcPr>
            <w:tcW w:w="987" w:type="dxa"/>
            <w:tcBorders>
              <w:top w:val="single" w:sz="4" w:space="0" w:color="auto"/>
              <w:bottom w:val="single" w:sz="4" w:space="0" w:color="auto"/>
            </w:tcBorders>
          </w:tcPr>
          <w:p w14:paraId="1A3FD9B3" w14:textId="59446506" w:rsidR="00E26BDD" w:rsidRPr="00D85277" w:rsidRDefault="00946291"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0.57</w:t>
            </w:r>
          </w:p>
        </w:tc>
      </w:tr>
      <w:tr w:rsidR="00E26BDD" w:rsidRPr="00D85277" w14:paraId="2AE08043" w14:textId="77777777" w:rsidTr="00EE37BD">
        <w:trPr>
          <w:trHeight w:val="20"/>
          <w:jc w:val="center"/>
        </w:trPr>
        <w:tc>
          <w:tcPr>
            <w:tcW w:w="3337" w:type="dxa"/>
            <w:tcBorders>
              <w:top w:val="single" w:sz="4" w:space="0" w:color="auto"/>
              <w:bottom w:val="single" w:sz="4" w:space="0" w:color="auto"/>
            </w:tcBorders>
          </w:tcPr>
          <w:p w14:paraId="010603E1"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T2-Non chemical module:</w:t>
            </w:r>
          </w:p>
          <w:p w14:paraId="5ECF782C" w14:textId="27DC011F"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Trash mulching @ 3t/ ha</w:t>
            </w:r>
            <w:r w:rsidR="00E67F2D" w:rsidRPr="00D85277">
              <w:rPr>
                <w:rFonts w:ascii="Arial" w:eastAsia="Times New Roman" w:hAnsi="Arial" w:cs="Arial"/>
                <w:bCs/>
                <w:sz w:val="18"/>
                <w:szCs w:val="18"/>
                <w:lang w:val="en"/>
              </w:rPr>
              <w:t>.</w:t>
            </w:r>
          </w:p>
          <w:p w14:paraId="58421AFB" w14:textId="735870D0"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Frequent irrigations at 7-10 days interval</w:t>
            </w:r>
            <w:r w:rsidR="002C4533" w:rsidRPr="00D85277">
              <w:rPr>
                <w:rFonts w:ascii="Arial" w:eastAsia="Times New Roman" w:hAnsi="Arial" w:cs="Arial"/>
                <w:bCs/>
                <w:sz w:val="18"/>
                <w:szCs w:val="18"/>
                <w:lang w:val="en"/>
              </w:rPr>
              <w:t>.</w:t>
            </w:r>
          </w:p>
          <w:p w14:paraId="7B12032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Intercropping with Cow pea.</w:t>
            </w:r>
          </w:p>
          <w:p w14:paraId="7D108FB7" w14:textId="244BA218" w:rsidR="00E26BDD" w:rsidRPr="00D85277" w:rsidRDefault="00E67F2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I</w:t>
            </w:r>
            <w:r w:rsidR="00E26BDD" w:rsidRPr="00D85277">
              <w:rPr>
                <w:rFonts w:ascii="Arial" w:eastAsia="Times New Roman" w:hAnsi="Arial" w:cs="Arial"/>
                <w:bCs/>
                <w:sz w:val="18"/>
                <w:szCs w:val="18"/>
                <w:lang w:val="en"/>
              </w:rPr>
              <w:t xml:space="preserve">nstallation of pheromone </w:t>
            </w:r>
            <w:r w:rsidRPr="00D85277">
              <w:rPr>
                <w:rFonts w:ascii="Arial" w:eastAsia="Times New Roman" w:hAnsi="Arial" w:cs="Arial"/>
                <w:bCs/>
                <w:sz w:val="18"/>
                <w:szCs w:val="18"/>
                <w:lang w:val="en"/>
              </w:rPr>
              <w:t>traps @</w:t>
            </w:r>
            <w:r w:rsidR="00E26BDD" w:rsidRPr="00D85277">
              <w:rPr>
                <w:rFonts w:ascii="Arial" w:eastAsia="Times New Roman" w:hAnsi="Arial" w:cs="Arial"/>
                <w:bCs/>
                <w:sz w:val="18"/>
                <w:szCs w:val="18"/>
                <w:lang w:val="en"/>
              </w:rPr>
              <w:t xml:space="preserve"> </w:t>
            </w: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25 /ha.</w:t>
            </w:r>
          </w:p>
          <w:p w14:paraId="1291AF6E" w14:textId="4399D7CA" w:rsidR="00E26BDD" w:rsidRPr="00D85277" w:rsidRDefault="00E26BDD" w:rsidP="004F16AB">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Field release of </w:t>
            </w:r>
            <w:proofErr w:type="spellStart"/>
            <w:r w:rsidRPr="00D85277">
              <w:rPr>
                <w:rFonts w:ascii="Arial" w:eastAsia="Times New Roman" w:hAnsi="Arial" w:cs="Arial"/>
                <w:bCs/>
                <w:i/>
                <w:sz w:val="18"/>
                <w:szCs w:val="18"/>
                <w:lang w:val="en"/>
              </w:rPr>
              <w:t>Trichogramma</w:t>
            </w:r>
            <w:proofErr w:type="spellEnd"/>
            <w:r w:rsidRPr="00D85277">
              <w:rPr>
                <w:rFonts w:ascii="Arial" w:eastAsia="Times New Roman" w:hAnsi="Arial" w:cs="Arial"/>
                <w:bCs/>
                <w:i/>
                <w:sz w:val="18"/>
                <w:szCs w:val="18"/>
                <w:lang w:val="en"/>
              </w:rPr>
              <w:t xml:space="preserve"> </w:t>
            </w:r>
            <w:proofErr w:type="spellStart"/>
            <w:r w:rsidRPr="00D85277">
              <w:rPr>
                <w:rFonts w:ascii="Arial" w:eastAsia="Times New Roman" w:hAnsi="Arial" w:cs="Arial"/>
                <w:bCs/>
                <w:i/>
                <w:sz w:val="18"/>
                <w:szCs w:val="18"/>
                <w:lang w:val="en"/>
              </w:rPr>
              <w:t>chilonis</w:t>
            </w:r>
            <w:proofErr w:type="spellEnd"/>
            <w:r w:rsidRPr="00D85277">
              <w:rPr>
                <w:rFonts w:ascii="Arial" w:eastAsia="Times New Roman" w:hAnsi="Arial" w:cs="Arial"/>
                <w:bCs/>
                <w:sz w:val="18"/>
                <w:szCs w:val="18"/>
                <w:lang w:val="en"/>
              </w:rPr>
              <w:t xml:space="preserve"> (</w:t>
            </w:r>
            <w:proofErr w:type="spellStart"/>
            <w:r w:rsidRPr="00D85277">
              <w:rPr>
                <w:rFonts w:ascii="Arial" w:eastAsia="Times New Roman" w:hAnsi="Arial" w:cs="Arial"/>
                <w:bCs/>
                <w:sz w:val="18"/>
                <w:szCs w:val="18"/>
                <w:lang w:val="en"/>
              </w:rPr>
              <w:t>Trichocards</w:t>
            </w:r>
            <w:proofErr w:type="spellEnd"/>
            <w:r w:rsidRPr="00D85277">
              <w:rPr>
                <w:rFonts w:ascii="Arial" w:eastAsia="Times New Roman" w:hAnsi="Arial" w:cs="Arial"/>
                <w:bCs/>
                <w:sz w:val="18"/>
                <w:szCs w:val="18"/>
                <w:lang w:val="en"/>
              </w:rPr>
              <w:t xml:space="preserve">) at 50,000/ha </w:t>
            </w:r>
            <w:proofErr w:type="gramStart"/>
            <w:r w:rsidRPr="00D85277">
              <w:rPr>
                <w:rFonts w:ascii="Arial" w:eastAsia="Times New Roman" w:hAnsi="Arial" w:cs="Arial"/>
                <w:bCs/>
                <w:sz w:val="18"/>
                <w:szCs w:val="18"/>
                <w:lang w:val="en"/>
              </w:rPr>
              <w:t>for  six</w:t>
            </w:r>
            <w:proofErr w:type="gramEnd"/>
            <w:r w:rsidRPr="00D85277">
              <w:rPr>
                <w:rFonts w:ascii="Arial" w:eastAsia="Times New Roman" w:hAnsi="Arial" w:cs="Arial"/>
                <w:bCs/>
                <w:sz w:val="18"/>
                <w:szCs w:val="18"/>
                <w:lang w:val="en"/>
              </w:rPr>
              <w:t xml:space="preserve"> times at 7–</w:t>
            </w:r>
            <w:r w:rsidR="00E67F2D" w:rsidRPr="00D85277">
              <w:rPr>
                <w:rFonts w:ascii="Arial" w:eastAsia="Times New Roman" w:hAnsi="Arial" w:cs="Arial"/>
                <w:bCs/>
                <w:sz w:val="18"/>
                <w:szCs w:val="18"/>
                <w:lang w:val="en"/>
              </w:rPr>
              <w:t>10 day</w:t>
            </w:r>
            <w:r w:rsidRPr="00D85277">
              <w:rPr>
                <w:rFonts w:ascii="Arial" w:eastAsia="Times New Roman" w:hAnsi="Arial" w:cs="Arial"/>
                <w:bCs/>
                <w:sz w:val="18"/>
                <w:szCs w:val="18"/>
                <w:lang w:val="en"/>
              </w:rPr>
              <w:t xml:space="preserve"> intervals from 120 DAP</w:t>
            </w:r>
            <w:r w:rsidR="004F16AB" w:rsidRPr="00D85277">
              <w:rPr>
                <w:rFonts w:ascii="Arial" w:eastAsia="Times New Roman" w:hAnsi="Arial" w:cs="Arial"/>
                <w:bCs/>
                <w:sz w:val="18"/>
                <w:szCs w:val="18"/>
                <w:lang w:val="en"/>
              </w:rPr>
              <w:t xml:space="preserve"> &amp; </w:t>
            </w:r>
            <w:r w:rsidRPr="00D85277">
              <w:rPr>
                <w:rFonts w:ascii="Arial" w:eastAsia="Times New Roman" w:hAnsi="Arial" w:cs="Arial"/>
                <w:bCs/>
                <w:sz w:val="18"/>
                <w:szCs w:val="18"/>
                <w:lang w:val="en"/>
              </w:rPr>
              <w:t>Detrashing at 150 &amp; 180 DAP.</w:t>
            </w:r>
          </w:p>
        </w:tc>
        <w:tc>
          <w:tcPr>
            <w:tcW w:w="1220" w:type="dxa"/>
            <w:tcBorders>
              <w:top w:val="single" w:sz="4" w:space="0" w:color="auto"/>
              <w:bottom w:val="single" w:sz="4" w:space="0" w:color="auto"/>
            </w:tcBorders>
          </w:tcPr>
          <w:p w14:paraId="7A03DC35"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14.40</w:t>
            </w:r>
            <w:r w:rsidRPr="00D85277">
              <w:rPr>
                <w:rFonts w:ascii="Arial" w:eastAsia="Times New Roman" w:hAnsi="Arial" w:cs="Arial"/>
                <w:bCs/>
                <w:sz w:val="18"/>
                <w:szCs w:val="18"/>
                <w:vertAlign w:val="superscript"/>
                <w:lang w:val="en"/>
              </w:rPr>
              <w:t>c</w:t>
            </w:r>
          </w:p>
          <w:p w14:paraId="0123E7E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(22.29)</w:t>
            </w:r>
          </w:p>
        </w:tc>
        <w:tc>
          <w:tcPr>
            <w:tcW w:w="1104" w:type="dxa"/>
            <w:tcBorders>
              <w:top w:val="single" w:sz="4" w:space="0" w:color="auto"/>
              <w:bottom w:val="single" w:sz="4" w:space="0" w:color="auto"/>
            </w:tcBorders>
          </w:tcPr>
          <w:p w14:paraId="5983315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60.00</w:t>
            </w:r>
            <w:r w:rsidRPr="00D85277">
              <w:rPr>
                <w:rFonts w:ascii="Arial" w:eastAsia="Times New Roman" w:hAnsi="Arial" w:cs="Arial"/>
                <w:bCs/>
                <w:sz w:val="18"/>
                <w:szCs w:val="18"/>
                <w:vertAlign w:val="superscript"/>
                <w:lang w:val="en"/>
              </w:rPr>
              <w:t>b</w:t>
            </w:r>
          </w:p>
          <w:p w14:paraId="19090D4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(53.14)</w:t>
            </w:r>
          </w:p>
        </w:tc>
        <w:tc>
          <w:tcPr>
            <w:tcW w:w="986" w:type="dxa"/>
            <w:tcBorders>
              <w:top w:val="single" w:sz="4" w:space="0" w:color="auto"/>
              <w:bottom w:val="single" w:sz="4" w:space="0" w:color="auto"/>
            </w:tcBorders>
          </w:tcPr>
          <w:p w14:paraId="0B4F625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10.40</w:t>
            </w:r>
            <w:r w:rsidRPr="00D85277">
              <w:rPr>
                <w:rFonts w:ascii="Arial" w:eastAsia="Times New Roman" w:hAnsi="Arial" w:cs="Arial"/>
                <w:bCs/>
                <w:sz w:val="18"/>
                <w:szCs w:val="18"/>
                <w:vertAlign w:val="superscript"/>
                <w:lang w:val="en"/>
              </w:rPr>
              <w:t>b</w:t>
            </w:r>
          </w:p>
          <w:p w14:paraId="7F7B8B1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(18.80)</w:t>
            </w:r>
          </w:p>
        </w:tc>
        <w:tc>
          <w:tcPr>
            <w:tcW w:w="1087" w:type="dxa"/>
            <w:tcBorders>
              <w:top w:val="single" w:sz="4" w:space="0" w:color="auto"/>
              <w:bottom w:val="single" w:sz="4" w:space="0" w:color="auto"/>
            </w:tcBorders>
          </w:tcPr>
          <w:p w14:paraId="41953253"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2.30</w:t>
            </w:r>
            <w:r w:rsidRPr="00D85277">
              <w:rPr>
                <w:rFonts w:ascii="Arial" w:eastAsia="Times New Roman" w:hAnsi="Arial" w:cs="Arial"/>
                <w:bCs/>
                <w:sz w:val="18"/>
                <w:szCs w:val="18"/>
                <w:vertAlign w:val="superscript"/>
                <w:lang w:val="en"/>
              </w:rPr>
              <w:t>b</w:t>
            </w:r>
          </w:p>
          <w:p w14:paraId="13B882F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(1.82)</w:t>
            </w:r>
          </w:p>
          <w:p w14:paraId="28858F15" w14:textId="77777777" w:rsidR="00E26BDD" w:rsidRPr="00D85277" w:rsidRDefault="00E26BDD" w:rsidP="001D3E57">
            <w:pPr>
              <w:spacing w:before="20"/>
              <w:rPr>
                <w:rFonts w:ascii="Arial" w:eastAsia="Times New Roman" w:hAnsi="Arial" w:cs="Arial"/>
                <w:bCs/>
                <w:sz w:val="18"/>
                <w:szCs w:val="18"/>
                <w:lang w:val="en"/>
              </w:rPr>
            </w:pPr>
          </w:p>
        </w:tc>
        <w:tc>
          <w:tcPr>
            <w:tcW w:w="1004" w:type="dxa"/>
            <w:tcBorders>
              <w:top w:val="single" w:sz="4" w:space="0" w:color="auto"/>
              <w:bottom w:val="single" w:sz="4" w:space="0" w:color="auto"/>
            </w:tcBorders>
          </w:tcPr>
          <w:p w14:paraId="26CEDF7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1.20</w:t>
            </w:r>
          </w:p>
          <w:p w14:paraId="695E981D" w14:textId="77777777" w:rsidR="00E26BDD" w:rsidRPr="00D85277" w:rsidRDefault="00E26BDD" w:rsidP="001D3E57">
            <w:pPr>
              <w:spacing w:before="20"/>
              <w:rPr>
                <w:rFonts w:ascii="Arial" w:eastAsia="Times New Roman" w:hAnsi="Arial" w:cs="Arial"/>
                <w:bCs/>
                <w:sz w:val="18"/>
                <w:szCs w:val="18"/>
                <w:lang w:val="en"/>
              </w:rPr>
            </w:pPr>
          </w:p>
        </w:tc>
        <w:tc>
          <w:tcPr>
            <w:tcW w:w="1104" w:type="dxa"/>
            <w:tcBorders>
              <w:top w:val="single" w:sz="4" w:space="0" w:color="auto"/>
              <w:bottom w:val="single" w:sz="4" w:space="0" w:color="auto"/>
            </w:tcBorders>
          </w:tcPr>
          <w:p w14:paraId="6CFE74D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19.30</w:t>
            </w:r>
            <w:r w:rsidRPr="00D85277">
              <w:rPr>
                <w:rFonts w:ascii="Arial" w:eastAsia="Times New Roman" w:hAnsi="Arial" w:cs="Arial"/>
                <w:bCs/>
                <w:sz w:val="18"/>
                <w:szCs w:val="18"/>
                <w:vertAlign w:val="superscript"/>
                <w:lang w:val="en"/>
              </w:rPr>
              <w:t>a</w:t>
            </w:r>
          </w:p>
          <w:p w14:paraId="78D6247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(26.05)</w:t>
            </w:r>
          </w:p>
        </w:tc>
        <w:tc>
          <w:tcPr>
            <w:tcW w:w="1104" w:type="dxa"/>
            <w:tcBorders>
              <w:top w:val="single" w:sz="4" w:space="0" w:color="auto"/>
              <w:bottom w:val="single" w:sz="4" w:space="0" w:color="auto"/>
            </w:tcBorders>
          </w:tcPr>
          <w:p w14:paraId="4A40DB17"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69.50</w:t>
            </w:r>
            <w:r w:rsidRPr="00D85277">
              <w:rPr>
                <w:rFonts w:ascii="Arial" w:eastAsia="Times New Roman" w:hAnsi="Arial" w:cs="Arial"/>
                <w:bCs/>
                <w:sz w:val="18"/>
                <w:szCs w:val="18"/>
                <w:vertAlign w:val="superscript"/>
                <w:lang w:val="en"/>
              </w:rPr>
              <w:t>c</w:t>
            </w:r>
          </w:p>
        </w:tc>
        <w:tc>
          <w:tcPr>
            <w:tcW w:w="787" w:type="dxa"/>
            <w:tcBorders>
              <w:top w:val="single" w:sz="4" w:space="0" w:color="auto"/>
              <w:bottom w:val="single" w:sz="4" w:space="0" w:color="auto"/>
            </w:tcBorders>
          </w:tcPr>
          <w:p w14:paraId="3521EBAE"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83.40</w:t>
            </w:r>
            <w:r w:rsidRPr="00D85277">
              <w:rPr>
                <w:rFonts w:ascii="Arial" w:eastAsia="Times New Roman" w:hAnsi="Arial" w:cs="Arial"/>
                <w:bCs/>
                <w:sz w:val="18"/>
                <w:szCs w:val="18"/>
                <w:vertAlign w:val="superscript"/>
                <w:lang w:val="en"/>
              </w:rPr>
              <w:t>b</w:t>
            </w:r>
          </w:p>
        </w:tc>
        <w:tc>
          <w:tcPr>
            <w:tcW w:w="1167" w:type="dxa"/>
            <w:tcBorders>
              <w:top w:val="single" w:sz="4" w:space="0" w:color="auto"/>
              <w:bottom w:val="single" w:sz="4" w:space="0" w:color="auto"/>
            </w:tcBorders>
          </w:tcPr>
          <w:p w14:paraId="715B426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23.37</w:t>
            </w:r>
          </w:p>
        </w:tc>
        <w:tc>
          <w:tcPr>
            <w:tcW w:w="987" w:type="dxa"/>
            <w:tcBorders>
              <w:top w:val="single" w:sz="4" w:space="0" w:color="auto"/>
              <w:bottom w:val="single" w:sz="4" w:space="0" w:color="auto"/>
            </w:tcBorders>
          </w:tcPr>
          <w:p w14:paraId="550E9114" w14:textId="6C997E6A" w:rsidR="00E26BDD" w:rsidRPr="00D85277" w:rsidRDefault="00946291"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5.23</w:t>
            </w:r>
          </w:p>
        </w:tc>
      </w:tr>
      <w:tr w:rsidR="00E26BDD" w:rsidRPr="00D85277" w14:paraId="0D15B6CF" w14:textId="77777777" w:rsidTr="00EE37BD">
        <w:trPr>
          <w:trHeight w:val="20"/>
          <w:jc w:val="center"/>
        </w:trPr>
        <w:tc>
          <w:tcPr>
            <w:tcW w:w="3337" w:type="dxa"/>
            <w:tcBorders>
              <w:top w:val="single" w:sz="4" w:space="0" w:color="auto"/>
              <w:bottom w:val="single" w:sz="4" w:space="0" w:color="auto"/>
            </w:tcBorders>
          </w:tcPr>
          <w:p w14:paraId="01A55592" w14:textId="77777777" w:rsidR="00E26BDD" w:rsidRPr="00D85277" w:rsidRDefault="00E26BDD" w:rsidP="001D3E57">
            <w:pPr>
              <w:spacing w:before="20"/>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T3- IPM module: </w:t>
            </w:r>
          </w:p>
          <w:p w14:paraId="3ED0839A"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T1+T2</w:t>
            </w:r>
          </w:p>
        </w:tc>
        <w:tc>
          <w:tcPr>
            <w:tcW w:w="1220" w:type="dxa"/>
            <w:tcBorders>
              <w:top w:val="single" w:sz="4" w:space="0" w:color="auto"/>
              <w:bottom w:val="single" w:sz="4" w:space="0" w:color="auto"/>
            </w:tcBorders>
          </w:tcPr>
          <w:p w14:paraId="6055825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6.30</w:t>
            </w:r>
            <w:r w:rsidRPr="00D85277">
              <w:rPr>
                <w:rFonts w:ascii="Arial" w:eastAsia="Times New Roman" w:hAnsi="Arial" w:cs="Arial"/>
                <w:bCs/>
                <w:sz w:val="18"/>
                <w:szCs w:val="18"/>
                <w:vertAlign w:val="superscript"/>
                <w:lang w:val="en"/>
              </w:rPr>
              <w:t>a</w:t>
            </w:r>
          </w:p>
          <w:p w14:paraId="4B75146C"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(14.50)</w:t>
            </w:r>
          </w:p>
        </w:tc>
        <w:tc>
          <w:tcPr>
            <w:tcW w:w="1104" w:type="dxa"/>
            <w:tcBorders>
              <w:top w:val="single" w:sz="4" w:space="0" w:color="auto"/>
              <w:bottom w:val="single" w:sz="4" w:space="0" w:color="auto"/>
            </w:tcBorders>
          </w:tcPr>
          <w:p w14:paraId="659D598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44.00</w:t>
            </w:r>
            <w:r w:rsidRPr="00D85277">
              <w:rPr>
                <w:rFonts w:ascii="Arial" w:eastAsia="Times New Roman" w:hAnsi="Arial" w:cs="Arial"/>
                <w:bCs/>
                <w:sz w:val="18"/>
                <w:szCs w:val="18"/>
                <w:vertAlign w:val="superscript"/>
                <w:lang w:val="en"/>
              </w:rPr>
              <w:t>a</w:t>
            </w:r>
          </w:p>
          <w:p w14:paraId="607FCE1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(41.48)</w:t>
            </w:r>
          </w:p>
        </w:tc>
        <w:tc>
          <w:tcPr>
            <w:tcW w:w="986" w:type="dxa"/>
            <w:tcBorders>
              <w:top w:val="single" w:sz="4" w:space="0" w:color="auto"/>
              <w:bottom w:val="single" w:sz="4" w:space="0" w:color="auto"/>
            </w:tcBorders>
          </w:tcPr>
          <w:p w14:paraId="2212C1A5"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6.10</w:t>
            </w:r>
            <w:r w:rsidRPr="00D85277">
              <w:rPr>
                <w:rFonts w:ascii="Arial" w:eastAsia="Times New Roman" w:hAnsi="Arial" w:cs="Arial"/>
                <w:bCs/>
                <w:sz w:val="18"/>
                <w:szCs w:val="18"/>
                <w:vertAlign w:val="superscript"/>
                <w:lang w:val="en"/>
              </w:rPr>
              <w:t>a</w:t>
            </w:r>
          </w:p>
          <w:p w14:paraId="449B96A1"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(14.29)</w:t>
            </w:r>
          </w:p>
        </w:tc>
        <w:tc>
          <w:tcPr>
            <w:tcW w:w="1087" w:type="dxa"/>
            <w:tcBorders>
              <w:top w:val="single" w:sz="4" w:space="0" w:color="auto"/>
              <w:bottom w:val="single" w:sz="4" w:space="0" w:color="auto"/>
            </w:tcBorders>
          </w:tcPr>
          <w:p w14:paraId="1FEE8777"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2.40</w:t>
            </w:r>
            <w:r w:rsidRPr="00D85277">
              <w:rPr>
                <w:rFonts w:ascii="Arial" w:eastAsia="Times New Roman" w:hAnsi="Arial" w:cs="Arial"/>
                <w:bCs/>
                <w:sz w:val="18"/>
                <w:szCs w:val="18"/>
                <w:vertAlign w:val="superscript"/>
                <w:lang w:val="en"/>
              </w:rPr>
              <w:t>a</w:t>
            </w:r>
          </w:p>
          <w:p w14:paraId="1CCFA611"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(1.84)</w:t>
            </w:r>
          </w:p>
        </w:tc>
        <w:tc>
          <w:tcPr>
            <w:tcW w:w="1004" w:type="dxa"/>
            <w:tcBorders>
              <w:top w:val="single" w:sz="4" w:space="0" w:color="auto"/>
              <w:bottom w:val="single" w:sz="4" w:space="0" w:color="auto"/>
            </w:tcBorders>
          </w:tcPr>
          <w:p w14:paraId="652298B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1.20</w:t>
            </w:r>
          </w:p>
          <w:p w14:paraId="7B4A7E32" w14:textId="77777777" w:rsidR="00E26BDD" w:rsidRPr="00D85277" w:rsidRDefault="00E26BDD" w:rsidP="001D3E57">
            <w:pPr>
              <w:spacing w:before="20"/>
              <w:rPr>
                <w:rFonts w:ascii="Arial" w:eastAsia="Times New Roman" w:hAnsi="Arial" w:cs="Arial"/>
                <w:bCs/>
                <w:sz w:val="18"/>
                <w:szCs w:val="18"/>
                <w:lang w:val="en"/>
              </w:rPr>
            </w:pPr>
          </w:p>
        </w:tc>
        <w:tc>
          <w:tcPr>
            <w:tcW w:w="1104" w:type="dxa"/>
            <w:tcBorders>
              <w:top w:val="single" w:sz="4" w:space="0" w:color="auto"/>
              <w:bottom w:val="single" w:sz="4" w:space="0" w:color="auto"/>
            </w:tcBorders>
          </w:tcPr>
          <w:p w14:paraId="73D847C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19.30</w:t>
            </w:r>
            <w:r w:rsidRPr="00D85277">
              <w:rPr>
                <w:rFonts w:ascii="Arial" w:eastAsia="Times New Roman" w:hAnsi="Arial" w:cs="Arial"/>
                <w:bCs/>
                <w:sz w:val="18"/>
                <w:szCs w:val="18"/>
                <w:vertAlign w:val="superscript"/>
                <w:lang w:val="en"/>
              </w:rPr>
              <w:t>a</w:t>
            </w:r>
          </w:p>
          <w:p w14:paraId="4B47D5F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(26.05)</w:t>
            </w:r>
          </w:p>
        </w:tc>
        <w:tc>
          <w:tcPr>
            <w:tcW w:w="1104" w:type="dxa"/>
            <w:tcBorders>
              <w:top w:val="single" w:sz="4" w:space="0" w:color="auto"/>
              <w:bottom w:val="single" w:sz="4" w:space="0" w:color="auto"/>
            </w:tcBorders>
          </w:tcPr>
          <w:p w14:paraId="1DE7879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73.33</w:t>
            </w:r>
            <w:r w:rsidRPr="00D85277">
              <w:rPr>
                <w:rFonts w:ascii="Arial" w:eastAsia="Times New Roman" w:hAnsi="Arial" w:cs="Arial"/>
                <w:bCs/>
                <w:sz w:val="18"/>
                <w:szCs w:val="18"/>
                <w:vertAlign w:val="superscript"/>
                <w:lang w:val="en"/>
              </w:rPr>
              <w:t>a</w:t>
            </w:r>
          </w:p>
        </w:tc>
        <w:tc>
          <w:tcPr>
            <w:tcW w:w="787" w:type="dxa"/>
            <w:tcBorders>
              <w:top w:val="single" w:sz="4" w:space="0" w:color="auto"/>
              <w:bottom w:val="single" w:sz="4" w:space="0" w:color="auto"/>
            </w:tcBorders>
          </w:tcPr>
          <w:p w14:paraId="5649B486"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88.00</w:t>
            </w:r>
            <w:r w:rsidRPr="00D85277">
              <w:rPr>
                <w:rFonts w:ascii="Arial" w:eastAsia="Times New Roman" w:hAnsi="Arial" w:cs="Arial"/>
                <w:bCs/>
                <w:sz w:val="18"/>
                <w:szCs w:val="18"/>
                <w:vertAlign w:val="superscript"/>
                <w:lang w:val="en"/>
              </w:rPr>
              <w:t>a</w:t>
            </w:r>
          </w:p>
        </w:tc>
        <w:tc>
          <w:tcPr>
            <w:tcW w:w="1167" w:type="dxa"/>
            <w:tcBorders>
              <w:top w:val="single" w:sz="4" w:space="0" w:color="auto"/>
              <w:bottom w:val="single" w:sz="4" w:space="0" w:color="auto"/>
            </w:tcBorders>
          </w:tcPr>
          <w:p w14:paraId="649F5E81"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30.18</w:t>
            </w:r>
          </w:p>
        </w:tc>
        <w:tc>
          <w:tcPr>
            <w:tcW w:w="987" w:type="dxa"/>
            <w:tcBorders>
              <w:top w:val="single" w:sz="4" w:space="0" w:color="auto"/>
              <w:bottom w:val="single" w:sz="4" w:space="0" w:color="auto"/>
            </w:tcBorders>
          </w:tcPr>
          <w:p w14:paraId="50F9754C"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w:t>
            </w:r>
          </w:p>
        </w:tc>
      </w:tr>
      <w:tr w:rsidR="00E26BDD" w:rsidRPr="00D85277" w14:paraId="44FF7FBC" w14:textId="77777777" w:rsidTr="00EE37BD">
        <w:trPr>
          <w:trHeight w:val="20"/>
          <w:jc w:val="center"/>
        </w:trPr>
        <w:tc>
          <w:tcPr>
            <w:tcW w:w="3337" w:type="dxa"/>
            <w:tcBorders>
              <w:top w:val="single" w:sz="4" w:space="0" w:color="auto"/>
              <w:bottom w:val="single" w:sz="4" w:space="0" w:color="auto"/>
            </w:tcBorders>
          </w:tcPr>
          <w:p w14:paraId="1512E0A5" w14:textId="77777777" w:rsidR="00E26BDD" w:rsidRPr="00D85277" w:rsidRDefault="00E26BDD" w:rsidP="001D3E57">
            <w:pPr>
              <w:spacing w:before="20"/>
              <w:rPr>
                <w:rFonts w:ascii="Arial" w:eastAsia="Times New Roman" w:hAnsi="Arial" w:cs="Arial"/>
                <w:b/>
                <w:sz w:val="18"/>
                <w:szCs w:val="18"/>
                <w:lang w:val="en"/>
              </w:rPr>
            </w:pPr>
            <w:r w:rsidRPr="00D85277">
              <w:rPr>
                <w:rFonts w:ascii="Arial" w:eastAsia="Times New Roman" w:hAnsi="Arial" w:cs="Arial"/>
                <w:b/>
                <w:sz w:val="18"/>
                <w:szCs w:val="18"/>
                <w:lang w:val="en"/>
              </w:rPr>
              <w:t>T4-Unprotected control</w:t>
            </w:r>
          </w:p>
        </w:tc>
        <w:tc>
          <w:tcPr>
            <w:tcW w:w="1220" w:type="dxa"/>
            <w:tcBorders>
              <w:top w:val="single" w:sz="4" w:space="0" w:color="auto"/>
              <w:bottom w:val="single" w:sz="4" w:space="0" w:color="auto"/>
            </w:tcBorders>
          </w:tcPr>
          <w:p w14:paraId="1040CB53"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27.60</w:t>
            </w:r>
            <w:r w:rsidRPr="00D85277">
              <w:rPr>
                <w:rFonts w:ascii="Arial" w:eastAsia="Times New Roman" w:hAnsi="Arial" w:cs="Arial"/>
                <w:bCs/>
                <w:sz w:val="18"/>
                <w:szCs w:val="18"/>
                <w:vertAlign w:val="superscript"/>
                <w:lang w:val="en"/>
              </w:rPr>
              <w:t>d</w:t>
            </w:r>
          </w:p>
          <w:p w14:paraId="20C4D72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(31.67)</w:t>
            </w:r>
          </w:p>
        </w:tc>
        <w:tc>
          <w:tcPr>
            <w:tcW w:w="1104" w:type="dxa"/>
            <w:tcBorders>
              <w:top w:val="single" w:sz="4" w:space="0" w:color="auto"/>
              <w:bottom w:val="single" w:sz="4" w:space="0" w:color="auto"/>
            </w:tcBorders>
          </w:tcPr>
          <w:p w14:paraId="3A7F3FF3"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100.00</w:t>
            </w:r>
            <w:r w:rsidRPr="00D85277">
              <w:rPr>
                <w:rFonts w:ascii="Arial" w:eastAsia="Times New Roman" w:hAnsi="Arial" w:cs="Arial"/>
                <w:bCs/>
                <w:sz w:val="18"/>
                <w:szCs w:val="18"/>
                <w:vertAlign w:val="superscript"/>
                <w:lang w:val="en"/>
              </w:rPr>
              <w:t>d</w:t>
            </w:r>
          </w:p>
          <w:p w14:paraId="3EC51103"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(90.00)</w:t>
            </w:r>
          </w:p>
        </w:tc>
        <w:tc>
          <w:tcPr>
            <w:tcW w:w="986" w:type="dxa"/>
            <w:tcBorders>
              <w:top w:val="single" w:sz="4" w:space="0" w:color="auto"/>
              <w:bottom w:val="single" w:sz="4" w:space="0" w:color="auto"/>
            </w:tcBorders>
          </w:tcPr>
          <w:p w14:paraId="292A81B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20.40</w:t>
            </w:r>
            <w:r w:rsidRPr="00D85277">
              <w:rPr>
                <w:rFonts w:ascii="Arial" w:eastAsia="Times New Roman" w:hAnsi="Arial" w:cs="Arial"/>
                <w:bCs/>
                <w:sz w:val="18"/>
                <w:szCs w:val="18"/>
                <w:vertAlign w:val="superscript"/>
                <w:lang w:val="en"/>
              </w:rPr>
              <w:t>d</w:t>
            </w:r>
          </w:p>
          <w:p w14:paraId="5EBF63AE"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(26.83)</w:t>
            </w:r>
          </w:p>
        </w:tc>
        <w:tc>
          <w:tcPr>
            <w:tcW w:w="1087" w:type="dxa"/>
            <w:tcBorders>
              <w:top w:val="single" w:sz="4" w:space="0" w:color="auto"/>
              <w:bottom w:val="single" w:sz="4" w:space="0" w:color="auto"/>
            </w:tcBorders>
          </w:tcPr>
          <w:p w14:paraId="6F60035E"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1.60</w:t>
            </w:r>
            <w:r w:rsidRPr="00D85277">
              <w:rPr>
                <w:rFonts w:ascii="Arial" w:eastAsia="Times New Roman" w:hAnsi="Arial" w:cs="Arial"/>
                <w:bCs/>
                <w:sz w:val="18"/>
                <w:szCs w:val="18"/>
                <w:vertAlign w:val="superscript"/>
                <w:lang w:val="en"/>
              </w:rPr>
              <w:t>c</w:t>
            </w:r>
          </w:p>
          <w:p w14:paraId="516E2256"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(1.60)</w:t>
            </w:r>
          </w:p>
        </w:tc>
        <w:tc>
          <w:tcPr>
            <w:tcW w:w="1004" w:type="dxa"/>
            <w:tcBorders>
              <w:top w:val="single" w:sz="4" w:space="0" w:color="auto"/>
              <w:bottom w:val="single" w:sz="4" w:space="0" w:color="auto"/>
            </w:tcBorders>
          </w:tcPr>
          <w:p w14:paraId="09281A6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1.10</w:t>
            </w:r>
          </w:p>
          <w:p w14:paraId="6288CC9C" w14:textId="77777777" w:rsidR="00E26BDD" w:rsidRPr="00D85277" w:rsidRDefault="00E26BDD" w:rsidP="001D3E57">
            <w:pPr>
              <w:spacing w:before="20"/>
              <w:rPr>
                <w:rFonts w:ascii="Arial" w:eastAsia="Times New Roman" w:hAnsi="Arial" w:cs="Arial"/>
                <w:bCs/>
                <w:sz w:val="18"/>
                <w:szCs w:val="18"/>
                <w:lang w:val="en"/>
              </w:rPr>
            </w:pPr>
          </w:p>
        </w:tc>
        <w:tc>
          <w:tcPr>
            <w:tcW w:w="1104" w:type="dxa"/>
            <w:tcBorders>
              <w:top w:val="single" w:sz="4" w:space="0" w:color="auto"/>
              <w:bottom w:val="single" w:sz="4" w:space="0" w:color="auto"/>
            </w:tcBorders>
          </w:tcPr>
          <w:p w14:paraId="351E608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18.60</w:t>
            </w:r>
            <w:r w:rsidRPr="00D85277">
              <w:rPr>
                <w:rFonts w:ascii="Arial" w:eastAsia="Times New Roman" w:hAnsi="Arial" w:cs="Arial"/>
                <w:bCs/>
                <w:sz w:val="18"/>
                <w:szCs w:val="18"/>
                <w:vertAlign w:val="superscript"/>
                <w:lang w:val="en"/>
              </w:rPr>
              <w:t>c</w:t>
            </w:r>
          </w:p>
          <w:p w14:paraId="696ADFEE"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(25.54)</w:t>
            </w:r>
          </w:p>
        </w:tc>
        <w:tc>
          <w:tcPr>
            <w:tcW w:w="1104" w:type="dxa"/>
            <w:tcBorders>
              <w:top w:val="single" w:sz="4" w:space="0" w:color="auto"/>
              <w:bottom w:val="single" w:sz="4" w:space="0" w:color="auto"/>
            </w:tcBorders>
          </w:tcPr>
          <w:p w14:paraId="441D9E14"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61.45</w:t>
            </w:r>
            <w:r w:rsidRPr="00D85277">
              <w:rPr>
                <w:rFonts w:ascii="Arial" w:eastAsia="Times New Roman" w:hAnsi="Arial" w:cs="Arial"/>
                <w:bCs/>
                <w:sz w:val="18"/>
                <w:szCs w:val="18"/>
                <w:vertAlign w:val="superscript"/>
                <w:lang w:val="en"/>
              </w:rPr>
              <w:t>d</w:t>
            </w:r>
          </w:p>
        </w:tc>
        <w:tc>
          <w:tcPr>
            <w:tcW w:w="787" w:type="dxa"/>
            <w:tcBorders>
              <w:top w:val="single" w:sz="4" w:space="0" w:color="auto"/>
              <w:bottom w:val="single" w:sz="4" w:space="0" w:color="auto"/>
            </w:tcBorders>
          </w:tcPr>
          <w:p w14:paraId="3F463F54"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67.60</w:t>
            </w:r>
            <w:r w:rsidRPr="00D85277">
              <w:rPr>
                <w:rFonts w:ascii="Arial" w:eastAsia="Times New Roman" w:hAnsi="Arial" w:cs="Arial"/>
                <w:bCs/>
                <w:sz w:val="18"/>
                <w:szCs w:val="18"/>
                <w:vertAlign w:val="superscript"/>
                <w:lang w:val="en"/>
              </w:rPr>
              <w:t>d</w:t>
            </w:r>
          </w:p>
        </w:tc>
        <w:tc>
          <w:tcPr>
            <w:tcW w:w="1167" w:type="dxa"/>
            <w:tcBorders>
              <w:top w:val="single" w:sz="4" w:space="0" w:color="auto"/>
              <w:bottom w:val="single" w:sz="4" w:space="0" w:color="auto"/>
            </w:tcBorders>
          </w:tcPr>
          <w:p w14:paraId="04F8601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w:t>
            </w:r>
          </w:p>
        </w:tc>
        <w:tc>
          <w:tcPr>
            <w:tcW w:w="987" w:type="dxa"/>
            <w:tcBorders>
              <w:top w:val="single" w:sz="4" w:space="0" w:color="auto"/>
              <w:bottom w:val="single" w:sz="4" w:space="0" w:color="auto"/>
            </w:tcBorders>
          </w:tcPr>
          <w:p w14:paraId="478B45BF" w14:textId="316DC75E"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w:t>
            </w:r>
            <w:r w:rsidR="00E60624" w:rsidRPr="00D85277">
              <w:rPr>
                <w:rFonts w:ascii="Arial" w:eastAsia="Times New Roman" w:hAnsi="Arial" w:cs="Arial"/>
                <w:bCs/>
                <w:sz w:val="18"/>
                <w:szCs w:val="18"/>
                <w:lang w:val="en"/>
              </w:rPr>
              <w:t xml:space="preserve"> </w:t>
            </w:r>
            <w:r w:rsidRPr="00D85277">
              <w:rPr>
                <w:rFonts w:ascii="Arial" w:eastAsia="Times New Roman" w:hAnsi="Arial" w:cs="Arial"/>
                <w:bCs/>
                <w:sz w:val="18"/>
                <w:szCs w:val="18"/>
                <w:lang w:val="en"/>
              </w:rPr>
              <w:t>23.18</w:t>
            </w:r>
          </w:p>
        </w:tc>
      </w:tr>
      <w:tr w:rsidR="00E26BDD" w:rsidRPr="00D85277" w14:paraId="3FE8D2AF" w14:textId="77777777" w:rsidTr="00EE37BD">
        <w:trPr>
          <w:trHeight w:val="20"/>
          <w:jc w:val="center"/>
        </w:trPr>
        <w:tc>
          <w:tcPr>
            <w:tcW w:w="3337" w:type="dxa"/>
            <w:tcBorders>
              <w:top w:val="single" w:sz="4" w:space="0" w:color="auto"/>
              <w:bottom w:val="nil"/>
            </w:tcBorders>
          </w:tcPr>
          <w:p w14:paraId="18D436DA" w14:textId="07F67ED9" w:rsidR="00E26BDD" w:rsidRPr="00D85277" w:rsidRDefault="000C74D2" w:rsidP="001D3E57">
            <w:pPr>
              <w:spacing w:before="20"/>
              <w:rPr>
                <w:rFonts w:ascii="Arial" w:eastAsia="Times New Roman" w:hAnsi="Arial" w:cs="Arial"/>
                <w:bCs/>
                <w:sz w:val="18"/>
                <w:szCs w:val="18"/>
                <w:lang w:val="en"/>
              </w:rPr>
            </w:pPr>
            <w:proofErr w:type="spellStart"/>
            <w:r w:rsidRPr="00D85277">
              <w:rPr>
                <w:rFonts w:ascii="Arial" w:eastAsia="Times New Roman" w:hAnsi="Arial" w:cs="Arial"/>
                <w:bCs/>
                <w:sz w:val="18"/>
                <w:szCs w:val="18"/>
                <w:lang w:val="en"/>
              </w:rPr>
              <w:t>S.Em</w:t>
            </w:r>
            <w:proofErr w:type="spellEnd"/>
            <w:r w:rsidRPr="00D85277">
              <w:rPr>
                <w:rFonts w:ascii="Arial" w:eastAsia="Times New Roman" w:hAnsi="Arial" w:cs="Arial"/>
                <w:bCs/>
                <w:sz w:val="18"/>
                <w:szCs w:val="18"/>
                <w:lang w:val="en"/>
              </w:rPr>
              <w:t xml:space="preserve"> (±)</w:t>
            </w:r>
          </w:p>
        </w:tc>
        <w:tc>
          <w:tcPr>
            <w:tcW w:w="1220" w:type="dxa"/>
            <w:tcBorders>
              <w:top w:val="single" w:sz="4" w:space="0" w:color="auto"/>
              <w:bottom w:val="nil"/>
            </w:tcBorders>
          </w:tcPr>
          <w:p w14:paraId="2048FDB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0.46</w:t>
            </w:r>
          </w:p>
        </w:tc>
        <w:tc>
          <w:tcPr>
            <w:tcW w:w="1104" w:type="dxa"/>
            <w:tcBorders>
              <w:top w:val="single" w:sz="4" w:space="0" w:color="auto"/>
              <w:bottom w:val="nil"/>
            </w:tcBorders>
          </w:tcPr>
          <w:p w14:paraId="2B3A625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4.51</w:t>
            </w:r>
          </w:p>
        </w:tc>
        <w:tc>
          <w:tcPr>
            <w:tcW w:w="986" w:type="dxa"/>
            <w:tcBorders>
              <w:top w:val="single" w:sz="4" w:space="0" w:color="auto"/>
              <w:bottom w:val="nil"/>
            </w:tcBorders>
          </w:tcPr>
          <w:p w14:paraId="79DBB663"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0.32</w:t>
            </w:r>
          </w:p>
        </w:tc>
        <w:tc>
          <w:tcPr>
            <w:tcW w:w="1087" w:type="dxa"/>
            <w:tcBorders>
              <w:top w:val="single" w:sz="4" w:space="0" w:color="auto"/>
              <w:bottom w:val="nil"/>
            </w:tcBorders>
          </w:tcPr>
          <w:p w14:paraId="7CF0EDC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0.02</w:t>
            </w:r>
          </w:p>
        </w:tc>
        <w:tc>
          <w:tcPr>
            <w:tcW w:w="1004" w:type="dxa"/>
            <w:tcBorders>
              <w:top w:val="single" w:sz="4" w:space="0" w:color="auto"/>
              <w:bottom w:val="nil"/>
            </w:tcBorders>
          </w:tcPr>
          <w:p w14:paraId="41DF9270"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NS</w:t>
            </w:r>
          </w:p>
        </w:tc>
        <w:tc>
          <w:tcPr>
            <w:tcW w:w="1104" w:type="dxa"/>
            <w:tcBorders>
              <w:top w:val="single" w:sz="4" w:space="0" w:color="auto"/>
              <w:bottom w:val="nil"/>
            </w:tcBorders>
          </w:tcPr>
          <w:p w14:paraId="390198B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0.04</w:t>
            </w:r>
          </w:p>
        </w:tc>
        <w:tc>
          <w:tcPr>
            <w:tcW w:w="1104" w:type="dxa"/>
            <w:tcBorders>
              <w:top w:val="single" w:sz="4" w:space="0" w:color="auto"/>
              <w:bottom w:val="nil"/>
            </w:tcBorders>
          </w:tcPr>
          <w:p w14:paraId="0D4DAADC"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0.37</w:t>
            </w:r>
          </w:p>
        </w:tc>
        <w:tc>
          <w:tcPr>
            <w:tcW w:w="787" w:type="dxa"/>
            <w:tcBorders>
              <w:top w:val="single" w:sz="4" w:space="0" w:color="auto"/>
              <w:bottom w:val="nil"/>
            </w:tcBorders>
          </w:tcPr>
          <w:p w14:paraId="77A07AB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0.59</w:t>
            </w:r>
          </w:p>
        </w:tc>
        <w:tc>
          <w:tcPr>
            <w:tcW w:w="1167" w:type="dxa"/>
            <w:tcBorders>
              <w:top w:val="single" w:sz="4" w:space="0" w:color="auto"/>
              <w:bottom w:val="nil"/>
            </w:tcBorders>
          </w:tcPr>
          <w:p w14:paraId="62915CB4" w14:textId="77777777" w:rsidR="00E26BDD" w:rsidRPr="00D85277" w:rsidRDefault="00E26BDD" w:rsidP="001D3E57">
            <w:pPr>
              <w:spacing w:before="20"/>
              <w:rPr>
                <w:rFonts w:ascii="Arial" w:eastAsia="Times New Roman" w:hAnsi="Arial" w:cs="Arial"/>
                <w:bCs/>
                <w:sz w:val="18"/>
                <w:szCs w:val="18"/>
                <w:lang w:val="en"/>
              </w:rPr>
            </w:pPr>
          </w:p>
        </w:tc>
        <w:tc>
          <w:tcPr>
            <w:tcW w:w="987" w:type="dxa"/>
            <w:tcBorders>
              <w:top w:val="single" w:sz="4" w:space="0" w:color="auto"/>
              <w:bottom w:val="nil"/>
            </w:tcBorders>
          </w:tcPr>
          <w:p w14:paraId="7D9E607F" w14:textId="77777777" w:rsidR="00E26BDD" w:rsidRPr="00D85277" w:rsidRDefault="00E26BDD" w:rsidP="001D3E57">
            <w:pPr>
              <w:spacing w:before="20"/>
              <w:rPr>
                <w:rFonts w:ascii="Arial" w:eastAsia="Times New Roman" w:hAnsi="Arial" w:cs="Arial"/>
                <w:bCs/>
                <w:sz w:val="18"/>
                <w:szCs w:val="18"/>
                <w:lang w:val="en"/>
              </w:rPr>
            </w:pPr>
          </w:p>
        </w:tc>
      </w:tr>
      <w:tr w:rsidR="00E26BDD" w:rsidRPr="00D85277" w14:paraId="2A5AB10E" w14:textId="77777777" w:rsidTr="00EE37BD">
        <w:trPr>
          <w:trHeight w:val="20"/>
          <w:jc w:val="center"/>
        </w:trPr>
        <w:tc>
          <w:tcPr>
            <w:tcW w:w="3337" w:type="dxa"/>
            <w:tcBorders>
              <w:top w:val="nil"/>
            </w:tcBorders>
          </w:tcPr>
          <w:p w14:paraId="61E768C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CD (P=0.05)</w:t>
            </w:r>
          </w:p>
        </w:tc>
        <w:tc>
          <w:tcPr>
            <w:tcW w:w="1220" w:type="dxa"/>
            <w:tcBorders>
              <w:top w:val="nil"/>
            </w:tcBorders>
          </w:tcPr>
          <w:p w14:paraId="05AC6987"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1.49</w:t>
            </w:r>
          </w:p>
        </w:tc>
        <w:tc>
          <w:tcPr>
            <w:tcW w:w="1104" w:type="dxa"/>
            <w:tcBorders>
              <w:top w:val="nil"/>
            </w:tcBorders>
          </w:tcPr>
          <w:p w14:paraId="4259067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14.64</w:t>
            </w:r>
          </w:p>
        </w:tc>
        <w:tc>
          <w:tcPr>
            <w:tcW w:w="986" w:type="dxa"/>
            <w:tcBorders>
              <w:top w:val="nil"/>
            </w:tcBorders>
          </w:tcPr>
          <w:p w14:paraId="6C5A7D7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1.04</w:t>
            </w:r>
          </w:p>
        </w:tc>
        <w:tc>
          <w:tcPr>
            <w:tcW w:w="1087" w:type="dxa"/>
            <w:tcBorders>
              <w:top w:val="nil"/>
            </w:tcBorders>
          </w:tcPr>
          <w:p w14:paraId="668D185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0.06</w:t>
            </w:r>
          </w:p>
        </w:tc>
        <w:tc>
          <w:tcPr>
            <w:tcW w:w="1004" w:type="dxa"/>
            <w:tcBorders>
              <w:top w:val="nil"/>
            </w:tcBorders>
          </w:tcPr>
          <w:p w14:paraId="4DEB01FE" w14:textId="77777777" w:rsidR="00E26BDD" w:rsidRPr="00D85277" w:rsidRDefault="00E26BDD" w:rsidP="001D3E57">
            <w:pPr>
              <w:spacing w:before="20"/>
              <w:rPr>
                <w:rFonts w:ascii="Arial" w:eastAsia="Times New Roman" w:hAnsi="Arial" w:cs="Arial"/>
                <w:bCs/>
                <w:sz w:val="18"/>
                <w:szCs w:val="18"/>
                <w:lang w:val="en"/>
              </w:rPr>
            </w:pPr>
          </w:p>
        </w:tc>
        <w:tc>
          <w:tcPr>
            <w:tcW w:w="1104" w:type="dxa"/>
            <w:tcBorders>
              <w:top w:val="nil"/>
            </w:tcBorders>
          </w:tcPr>
          <w:p w14:paraId="4BB83EF2"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0.14</w:t>
            </w:r>
          </w:p>
        </w:tc>
        <w:tc>
          <w:tcPr>
            <w:tcW w:w="1104" w:type="dxa"/>
            <w:tcBorders>
              <w:top w:val="nil"/>
            </w:tcBorders>
          </w:tcPr>
          <w:p w14:paraId="7653A34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1.21</w:t>
            </w:r>
          </w:p>
        </w:tc>
        <w:tc>
          <w:tcPr>
            <w:tcW w:w="787" w:type="dxa"/>
            <w:tcBorders>
              <w:top w:val="nil"/>
            </w:tcBorders>
          </w:tcPr>
          <w:p w14:paraId="01ACB591"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1.93</w:t>
            </w:r>
          </w:p>
        </w:tc>
        <w:tc>
          <w:tcPr>
            <w:tcW w:w="1167" w:type="dxa"/>
            <w:tcBorders>
              <w:top w:val="nil"/>
            </w:tcBorders>
          </w:tcPr>
          <w:p w14:paraId="59BE2110" w14:textId="77777777" w:rsidR="00E26BDD" w:rsidRPr="00D85277" w:rsidRDefault="00E26BDD" w:rsidP="001D3E57">
            <w:pPr>
              <w:spacing w:before="20"/>
              <w:rPr>
                <w:rFonts w:ascii="Arial" w:eastAsia="Times New Roman" w:hAnsi="Arial" w:cs="Arial"/>
                <w:bCs/>
                <w:sz w:val="18"/>
                <w:szCs w:val="18"/>
                <w:lang w:val="en"/>
              </w:rPr>
            </w:pPr>
          </w:p>
        </w:tc>
        <w:tc>
          <w:tcPr>
            <w:tcW w:w="987" w:type="dxa"/>
            <w:tcBorders>
              <w:top w:val="nil"/>
            </w:tcBorders>
          </w:tcPr>
          <w:p w14:paraId="6E075527" w14:textId="77777777" w:rsidR="00E26BDD" w:rsidRPr="00D85277" w:rsidRDefault="00E26BDD" w:rsidP="001D3E57">
            <w:pPr>
              <w:spacing w:before="20"/>
              <w:rPr>
                <w:rFonts w:ascii="Arial" w:eastAsia="Times New Roman" w:hAnsi="Arial" w:cs="Arial"/>
                <w:bCs/>
                <w:sz w:val="18"/>
                <w:szCs w:val="18"/>
                <w:lang w:val="en"/>
              </w:rPr>
            </w:pPr>
          </w:p>
        </w:tc>
      </w:tr>
      <w:tr w:rsidR="00E26BDD" w:rsidRPr="00D85277" w14:paraId="25DB73A4" w14:textId="77777777" w:rsidTr="00EE37BD">
        <w:trPr>
          <w:trHeight w:val="20"/>
          <w:jc w:val="center"/>
        </w:trPr>
        <w:tc>
          <w:tcPr>
            <w:tcW w:w="3337" w:type="dxa"/>
          </w:tcPr>
          <w:p w14:paraId="7447318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CV (%)</w:t>
            </w:r>
          </w:p>
        </w:tc>
        <w:tc>
          <w:tcPr>
            <w:tcW w:w="1220" w:type="dxa"/>
          </w:tcPr>
          <w:p w14:paraId="6A44519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4.30</w:t>
            </w:r>
          </w:p>
        </w:tc>
        <w:tc>
          <w:tcPr>
            <w:tcW w:w="1104" w:type="dxa"/>
          </w:tcPr>
          <w:p w14:paraId="59FB4C1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14.26</w:t>
            </w:r>
          </w:p>
        </w:tc>
        <w:tc>
          <w:tcPr>
            <w:tcW w:w="986" w:type="dxa"/>
          </w:tcPr>
          <w:p w14:paraId="18A33C0B"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3.19</w:t>
            </w:r>
          </w:p>
        </w:tc>
        <w:tc>
          <w:tcPr>
            <w:tcW w:w="1087" w:type="dxa"/>
          </w:tcPr>
          <w:p w14:paraId="4943271F"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1.94</w:t>
            </w:r>
          </w:p>
        </w:tc>
        <w:tc>
          <w:tcPr>
            <w:tcW w:w="1004" w:type="dxa"/>
          </w:tcPr>
          <w:p w14:paraId="3040A1C9" w14:textId="77777777" w:rsidR="00E26BDD" w:rsidRPr="00D85277" w:rsidRDefault="00E26BDD" w:rsidP="001D3E57">
            <w:pPr>
              <w:spacing w:before="20"/>
              <w:rPr>
                <w:rFonts w:ascii="Arial" w:eastAsia="Times New Roman" w:hAnsi="Arial" w:cs="Arial"/>
                <w:bCs/>
                <w:sz w:val="18"/>
                <w:szCs w:val="18"/>
                <w:lang w:val="en"/>
              </w:rPr>
            </w:pPr>
          </w:p>
        </w:tc>
        <w:tc>
          <w:tcPr>
            <w:tcW w:w="1104" w:type="dxa"/>
          </w:tcPr>
          <w:p w14:paraId="3A8B6779"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0.32</w:t>
            </w:r>
          </w:p>
        </w:tc>
        <w:tc>
          <w:tcPr>
            <w:tcW w:w="1104" w:type="dxa"/>
          </w:tcPr>
          <w:p w14:paraId="110D636D"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1.08</w:t>
            </w:r>
          </w:p>
        </w:tc>
        <w:tc>
          <w:tcPr>
            <w:tcW w:w="787" w:type="dxa"/>
          </w:tcPr>
          <w:p w14:paraId="49AC179A" w14:textId="77777777" w:rsidR="00E26BDD" w:rsidRPr="00D85277" w:rsidRDefault="00E26BDD" w:rsidP="001D3E57">
            <w:pPr>
              <w:spacing w:before="20"/>
              <w:rPr>
                <w:rFonts w:ascii="Arial" w:eastAsia="Times New Roman" w:hAnsi="Arial" w:cs="Arial"/>
                <w:bCs/>
                <w:sz w:val="18"/>
                <w:szCs w:val="18"/>
                <w:lang w:val="en"/>
              </w:rPr>
            </w:pPr>
            <w:r w:rsidRPr="00D85277">
              <w:rPr>
                <w:rFonts w:ascii="Arial" w:eastAsia="Times New Roman" w:hAnsi="Arial" w:cs="Arial"/>
                <w:bCs/>
                <w:sz w:val="18"/>
                <w:szCs w:val="18"/>
                <w:lang w:val="en"/>
              </w:rPr>
              <w:t>1.46</w:t>
            </w:r>
          </w:p>
        </w:tc>
        <w:tc>
          <w:tcPr>
            <w:tcW w:w="1167" w:type="dxa"/>
          </w:tcPr>
          <w:p w14:paraId="6A1241F7" w14:textId="77777777" w:rsidR="00E26BDD" w:rsidRPr="00D85277" w:rsidRDefault="00E26BDD" w:rsidP="001D3E57">
            <w:pPr>
              <w:spacing w:before="20"/>
              <w:rPr>
                <w:rFonts w:ascii="Arial" w:eastAsia="Times New Roman" w:hAnsi="Arial" w:cs="Arial"/>
                <w:bCs/>
                <w:sz w:val="18"/>
                <w:szCs w:val="18"/>
                <w:lang w:val="en"/>
              </w:rPr>
            </w:pPr>
          </w:p>
        </w:tc>
        <w:tc>
          <w:tcPr>
            <w:tcW w:w="987" w:type="dxa"/>
          </w:tcPr>
          <w:p w14:paraId="59798475" w14:textId="77777777" w:rsidR="00E26BDD" w:rsidRPr="00D85277" w:rsidRDefault="00E26BDD" w:rsidP="001D3E57">
            <w:pPr>
              <w:spacing w:before="20"/>
              <w:rPr>
                <w:rFonts w:ascii="Arial" w:eastAsia="Times New Roman" w:hAnsi="Arial" w:cs="Arial"/>
                <w:bCs/>
                <w:sz w:val="18"/>
                <w:szCs w:val="18"/>
                <w:lang w:val="en"/>
              </w:rPr>
            </w:pPr>
          </w:p>
        </w:tc>
      </w:tr>
    </w:tbl>
    <w:p w14:paraId="0EFE0B38" w14:textId="5DABEE26" w:rsidR="00E26BDD" w:rsidRPr="00D85277" w:rsidRDefault="00E67F2D" w:rsidP="000B4699">
      <w:pPr>
        <w:spacing w:after="0" w:line="240" w:lineRule="auto"/>
        <w:jc w:val="center"/>
        <w:rPr>
          <w:rFonts w:ascii="Arial" w:eastAsia="Times New Roman" w:hAnsi="Arial" w:cs="Arial"/>
          <w:bCs/>
          <w:i/>
          <w:iCs/>
          <w:sz w:val="16"/>
          <w:szCs w:val="16"/>
          <w:lang w:val="en"/>
        </w:rPr>
      </w:pPr>
      <w:r w:rsidRPr="00D85277">
        <w:rPr>
          <w:rFonts w:ascii="Arial" w:eastAsia="Times New Roman" w:hAnsi="Arial" w:cs="Arial"/>
          <w:bCs/>
          <w:i/>
          <w:iCs/>
          <w:sz w:val="16"/>
          <w:szCs w:val="16"/>
          <w:lang w:val="en"/>
        </w:rPr>
        <w:t xml:space="preserve">DAP: Days after planting; </w:t>
      </w:r>
      <w:r w:rsidR="00E26BDD" w:rsidRPr="00D85277">
        <w:rPr>
          <w:rFonts w:ascii="Arial" w:eastAsia="Times New Roman" w:hAnsi="Arial" w:cs="Arial"/>
          <w:bCs/>
          <w:i/>
          <w:iCs/>
          <w:sz w:val="16"/>
          <w:szCs w:val="16"/>
          <w:lang w:val="en"/>
        </w:rPr>
        <w:t xml:space="preserve">Deadhearts; Figures in </w:t>
      </w:r>
      <w:r w:rsidR="0096436E" w:rsidRPr="00D85277">
        <w:rPr>
          <w:rFonts w:ascii="Arial" w:eastAsia="Times New Roman" w:hAnsi="Arial" w:cs="Arial"/>
          <w:bCs/>
          <w:i/>
          <w:iCs/>
          <w:sz w:val="16"/>
          <w:szCs w:val="16"/>
          <w:lang w:val="en"/>
        </w:rPr>
        <w:t>parentheses</w:t>
      </w:r>
      <w:r w:rsidR="00E26BDD" w:rsidRPr="00D85277">
        <w:rPr>
          <w:rFonts w:ascii="Arial" w:eastAsia="Times New Roman" w:hAnsi="Arial" w:cs="Arial"/>
          <w:bCs/>
          <w:i/>
          <w:iCs/>
          <w:sz w:val="16"/>
          <w:szCs w:val="16"/>
          <w:lang w:val="en"/>
        </w:rPr>
        <w:t xml:space="preserve"> are transformed values; NMC: number of millable canes; Same letter over parentheses means the results do not differ </w:t>
      </w:r>
      <w:r w:rsidR="00C14467" w:rsidRPr="00D85277">
        <w:rPr>
          <w:rFonts w:ascii="Arial" w:eastAsia="Times New Roman" w:hAnsi="Arial" w:cs="Arial"/>
          <w:bCs/>
          <w:i/>
          <w:iCs/>
          <w:sz w:val="16"/>
          <w:szCs w:val="16"/>
          <w:lang w:val="en"/>
        </w:rPr>
        <w:t>significantly.</w:t>
      </w:r>
    </w:p>
    <w:p w14:paraId="43012A9A" w14:textId="77777777" w:rsidR="00E26BDD" w:rsidRPr="00D85277" w:rsidRDefault="00E26BDD" w:rsidP="000B4699">
      <w:pPr>
        <w:spacing w:after="0" w:line="240" w:lineRule="auto"/>
        <w:jc w:val="both"/>
        <w:rPr>
          <w:rFonts w:ascii="Arial" w:eastAsia="Times New Roman" w:hAnsi="Arial" w:cs="Arial"/>
          <w:bCs/>
          <w:sz w:val="20"/>
          <w:szCs w:val="20"/>
          <w:lang w:val="en"/>
        </w:rPr>
      </w:pPr>
    </w:p>
    <w:p w14:paraId="797381AC" w14:textId="77777777" w:rsidR="001D3E57" w:rsidRPr="00D85277" w:rsidRDefault="001D3E57">
      <w:pPr>
        <w:rPr>
          <w:rFonts w:ascii="Arial" w:eastAsia="Times New Roman" w:hAnsi="Arial" w:cs="Arial"/>
          <w:b/>
          <w:bCs/>
          <w:sz w:val="20"/>
          <w:szCs w:val="20"/>
          <w:lang w:val="en"/>
        </w:rPr>
      </w:pPr>
      <w:r w:rsidRPr="00D85277">
        <w:rPr>
          <w:rFonts w:ascii="Arial" w:eastAsia="Times New Roman" w:hAnsi="Arial" w:cs="Arial"/>
          <w:b/>
          <w:bCs/>
          <w:sz w:val="20"/>
          <w:szCs w:val="20"/>
          <w:lang w:val="en"/>
        </w:rPr>
        <w:br w:type="page"/>
      </w:r>
    </w:p>
    <w:p w14:paraId="1ECC25D2" w14:textId="63456D00" w:rsidR="00E26BDD" w:rsidRPr="00D85277" w:rsidRDefault="00E26BDD" w:rsidP="000B4699">
      <w:pPr>
        <w:spacing w:after="0" w:line="240" w:lineRule="auto"/>
        <w:jc w:val="center"/>
        <w:rPr>
          <w:rFonts w:ascii="Arial" w:eastAsia="Times New Roman" w:hAnsi="Arial" w:cs="Arial"/>
          <w:b/>
          <w:bCs/>
          <w:sz w:val="20"/>
          <w:szCs w:val="20"/>
          <w:lang w:val="en"/>
        </w:rPr>
      </w:pPr>
      <w:r w:rsidRPr="00D85277">
        <w:rPr>
          <w:rFonts w:ascii="Arial" w:eastAsia="Times New Roman" w:hAnsi="Arial" w:cs="Arial"/>
          <w:b/>
          <w:bCs/>
          <w:sz w:val="20"/>
          <w:szCs w:val="20"/>
          <w:lang w:val="en"/>
        </w:rPr>
        <w:lastRenderedPageBreak/>
        <w:t>Table 3. Impact of different management strategies against borers and assessment of cane yield losses in sugarcane during 2024-25</w:t>
      </w:r>
    </w:p>
    <w:p w14:paraId="1A1CC165" w14:textId="77777777" w:rsidR="00E26BDD" w:rsidRPr="00D85277" w:rsidRDefault="00E26BDD" w:rsidP="000B4699">
      <w:pPr>
        <w:spacing w:after="0" w:line="240" w:lineRule="auto"/>
        <w:jc w:val="center"/>
        <w:rPr>
          <w:rFonts w:ascii="Arial" w:eastAsia="Times New Roman" w:hAnsi="Arial" w:cs="Arial"/>
          <w:bCs/>
          <w:sz w:val="20"/>
          <w:szCs w:val="20"/>
          <w:lang w:val="en"/>
        </w:rPr>
      </w:pPr>
    </w:p>
    <w:tbl>
      <w:tblPr>
        <w:tblStyle w:val="TableGrid"/>
        <w:tblW w:w="4897"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4"/>
        <w:gridCol w:w="1221"/>
        <w:gridCol w:w="1103"/>
        <w:gridCol w:w="1104"/>
        <w:gridCol w:w="986"/>
        <w:gridCol w:w="869"/>
        <w:gridCol w:w="986"/>
        <w:gridCol w:w="1104"/>
        <w:gridCol w:w="825"/>
        <w:gridCol w:w="1260"/>
        <w:gridCol w:w="866"/>
      </w:tblGrid>
      <w:tr w:rsidR="00E26BDD" w:rsidRPr="00D85277" w14:paraId="5439562A" w14:textId="77777777" w:rsidTr="001D3E57">
        <w:trPr>
          <w:trHeight w:val="20"/>
          <w:jc w:val="center"/>
        </w:trPr>
        <w:tc>
          <w:tcPr>
            <w:tcW w:w="3554" w:type="dxa"/>
            <w:vMerge w:val="restart"/>
          </w:tcPr>
          <w:p w14:paraId="0D848790"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Treatment</w:t>
            </w:r>
          </w:p>
        </w:tc>
        <w:tc>
          <w:tcPr>
            <w:tcW w:w="1221" w:type="dxa"/>
            <w:vMerge w:val="restart"/>
          </w:tcPr>
          <w:p w14:paraId="30514CB8"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Early shoot borer (%DH)</w:t>
            </w:r>
          </w:p>
        </w:tc>
        <w:tc>
          <w:tcPr>
            <w:tcW w:w="2207" w:type="dxa"/>
            <w:gridSpan w:val="2"/>
          </w:tcPr>
          <w:p w14:paraId="39F90B88"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Internode borer</w:t>
            </w:r>
          </w:p>
        </w:tc>
        <w:tc>
          <w:tcPr>
            <w:tcW w:w="986" w:type="dxa"/>
            <w:vMerge w:val="restart"/>
          </w:tcPr>
          <w:p w14:paraId="223C2E55"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Cane length (m)</w:t>
            </w:r>
          </w:p>
        </w:tc>
        <w:tc>
          <w:tcPr>
            <w:tcW w:w="869" w:type="dxa"/>
            <w:vMerge w:val="restart"/>
          </w:tcPr>
          <w:p w14:paraId="79CA491E"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Cane weight (kg)</w:t>
            </w:r>
          </w:p>
        </w:tc>
        <w:tc>
          <w:tcPr>
            <w:tcW w:w="986" w:type="dxa"/>
            <w:vMerge w:val="restart"/>
          </w:tcPr>
          <w:p w14:paraId="606406B9"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Juice sucrose (%)</w:t>
            </w:r>
          </w:p>
        </w:tc>
        <w:tc>
          <w:tcPr>
            <w:tcW w:w="1104" w:type="dxa"/>
            <w:vMerge w:val="restart"/>
          </w:tcPr>
          <w:p w14:paraId="7862C6BD"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NMC</w:t>
            </w:r>
          </w:p>
          <w:p w14:paraId="006F3135"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(000’/ha)</w:t>
            </w:r>
          </w:p>
        </w:tc>
        <w:tc>
          <w:tcPr>
            <w:tcW w:w="825" w:type="dxa"/>
            <w:vMerge w:val="restart"/>
          </w:tcPr>
          <w:p w14:paraId="44BF6B23"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Cane yield (t/ha)</w:t>
            </w:r>
          </w:p>
        </w:tc>
        <w:tc>
          <w:tcPr>
            <w:tcW w:w="1260" w:type="dxa"/>
            <w:vMerge w:val="restart"/>
          </w:tcPr>
          <w:p w14:paraId="406C8CC9" w14:textId="1CAD0966" w:rsidR="00E26BDD" w:rsidRPr="00D85277" w:rsidRDefault="00E26BDD" w:rsidP="001D3E57">
            <w:pPr>
              <w:rPr>
                <w:rFonts w:ascii="Arial" w:eastAsia="Times New Roman" w:hAnsi="Arial" w:cs="Arial"/>
                <w:b/>
                <w:bCs/>
                <w:sz w:val="18"/>
                <w:szCs w:val="18"/>
                <w:lang w:val="en"/>
              </w:rPr>
            </w:pPr>
            <w:r w:rsidRPr="00D85277">
              <w:rPr>
                <w:rFonts w:ascii="Arial" w:eastAsia="Times New Roman" w:hAnsi="Arial" w:cs="Arial"/>
                <w:b/>
                <w:bCs/>
                <w:sz w:val="18"/>
                <w:szCs w:val="18"/>
                <w:lang w:val="en"/>
              </w:rPr>
              <w:t>Increase over untreated control (%)</w:t>
            </w:r>
          </w:p>
        </w:tc>
        <w:tc>
          <w:tcPr>
            <w:tcW w:w="866" w:type="dxa"/>
            <w:vMerge w:val="restart"/>
          </w:tcPr>
          <w:p w14:paraId="1F61C6C6" w14:textId="77777777" w:rsidR="00E26BDD" w:rsidRPr="00D85277" w:rsidRDefault="00E26BDD" w:rsidP="00A50C7B">
            <w:pPr>
              <w:ind w:left="-123" w:right="-80"/>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Decrease over  </w:t>
            </w:r>
          </w:p>
          <w:p w14:paraId="051365E9" w14:textId="77777777" w:rsidR="00E26BDD" w:rsidRPr="00D85277" w:rsidRDefault="00E26BDD" w:rsidP="00A50C7B">
            <w:pPr>
              <w:ind w:left="-123"/>
              <w:rPr>
                <w:rFonts w:ascii="Arial" w:eastAsia="Times New Roman" w:hAnsi="Arial" w:cs="Arial"/>
                <w:b/>
                <w:bCs/>
                <w:sz w:val="18"/>
                <w:szCs w:val="18"/>
                <w:lang w:val="en"/>
              </w:rPr>
            </w:pPr>
            <w:r w:rsidRPr="00D85277">
              <w:rPr>
                <w:rFonts w:ascii="Arial" w:eastAsia="Times New Roman" w:hAnsi="Arial" w:cs="Arial"/>
                <w:b/>
                <w:bCs/>
                <w:sz w:val="18"/>
                <w:szCs w:val="18"/>
                <w:lang w:val="en"/>
              </w:rPr>
              <w:t>T3 (%)</w:t>
            </w:r>
          </w:p>
        </w:tc>
      </w:tr>
      <w:tr w:rsidR="00E26BDD" w:rsidRPr="00D85277" w14:paraId="6E26A5F4" w14:textId="77777777" w:rsidTr="001D3E57">
        <w:trPr>
          <w:trHeight w:val="20"/>
          <w:jc w:val="center"/>
        </w:trPr>
        <w:tc>
          <w:tcPr>
            <w:tcW w:w="3554" w:type="dxa"/>
            <w:vMerge/>
            <w:tcBorders>
              <w:bottom w:val="single" w:sz="4" w:space="0" w:color="auto"/>
            </w:tcBorders>
          </w:tcPr>
          <w:p w14:paraId="36AB5DC7" w14:textId="77777777" w:rsidR="00E26BDD" w:rsidRPr="00D85277" w:rsidRDefault="00E26BDD" w:rsidP="000B4699">
            <w:pPr>
              <w:rPr>
                <w:rFonts w:ascii="Arial" w:eastAsia="Times New Roman" w:hAnsi="Arial" w:cs="Arial"/>
                <w:b/>
                <w:bCs/>
                <w:sz w:val="18"/>
                <w:szCs w:val="18"/>
                <w:lang w:val="en"/>
              </w:rPr>
            </w:pPr>
          </w:p>
        </w:tc>
        <w:tc>
          <w:tcPr>
            <w:tcW w:w="1221" w:type="dxa"/>
            <w:vMerge/>
            <w:tcBorders>
              <w:bottom w:val="single" w:sz="4" w:space="0" w:color="auto"/>
            </w:tcBorders>
          </w:tcPr>
          <w:p w14:paraId="673970EF" w14:textId="77777777" w:rsidR="00E26BDD" w:rsidRPr="00D85277" w:rsidRDefault="00E26BDD" w:rsidP="000B4699">
            <w:pPr>
              <w:rPr>
                <w:rFonts w:ascii="Arial" w:eastAsia="Times New Roman" w:hAnsi="Arial" w:cs="Arial"/>
                <w:b/>
                <w:bCs/>
                <w:sz w:val="18"/>
                <w:szCs w:val="18"/>
                <w:lang w:val="en"/>
              </w:rPr>
            </w:pPr>
          </w:p>
        </w:tc>
        <w:tc>
          <w:tcPr>
            <w:tcW w:w="1103" w:type="dxa"/>
            <w:tcBorders>
              <w:bottom w:val="single" w:sz="4" w:space="0" w:color="auto"/>
            </w:tcBorders>
          </w:tcPr>
          <w:p w14:paraId="21AE7245"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Incidence (%)</w:t>
            </w:r>
          </w:p>
        </w:tc>
        <w:tc>
          <w:tcPr>
            <w:tcW w:w="1104" w:type="dxa"/>
            <w:tcBorders>
              <w:bottom w:val="single" w:sz="4" w:space="0" w:color="auto"/>
            </w:tcBorders>
          </w:tcPr>
          <w:p w14:paraId="3C6274B1"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Intensity (%)</w:t>
            </w:r>
          </w:p>
        </w:tc>
        <w:tc>
          <w:tcPr>
            <w:tcW w:w="986" w:type="dxa"/>
            <w:vMerge/>
            <w:tcBorders>
              <w:bottom w:val="single" w:sz="4" w:space="0" w:color="auto"/>
            </w:tcBorders>
          </w:tcPr>
          <w:p w14:paraId="282389E9" w14:textId="77777777" w:rsidR="00E26BDD" w:rsidRPr="00D85277" w:rsidRDefault="00E26BDD" w:rsidP="000B4699">
            <w:pPr>
              <w:rPr>
                <w:rFonts w:ascii="Arial" w:eastAsia="Times New Roman" w:hAnsi="Arial" w:cs="Arial"/>
                <w:b/>
                <w:bCs/>
                <w:sz w:val="18"/>
                <w:szCs w:val="18"/>
                <w:lang w:val="en"/>
              </w:rPr>
            </w:pPr>
          </w:p>
        </w:tc>
        <w:tc>
          <w:tcPr>
            <w:tcW w:w="869" w:type="dxa"/>
            <w:vMerge/>
            <w:tcBorders>
              <w:bottom w:val="single" w:sz="4" w:space="0" w:color="auto"/>
            </w:tcBorders>
          </w:tcPr>
          <w:p w14:paraId="766E80CA" w14:textId="77777777" w:rsidR="00E26BDD" w:rsidRPr="00D85277" w:rsidRDefault="00E26BDD" w:rsidP="000B4699">
            <w:pPr>
              <w:rPr>
                <w:rFonts w:ascii="Arial" w:eastAsia="Times New Roman" w:hAnsi="Arial" w:cs="Arial"/>
                <w:b/>
                <w:bCs/>
                <w:sz w:val="18"/>
                <w:szCs w:val="18"/>
                <w:lang w:val="en"/>
              </w:rPr>
            </w:pPr>
          </w:p>
        </w:tc>
        <w:tc>
          <w:tcPr>
            <w:tcW w:w="986" w:type="dxa"/>
            <w:vMerge/>
            <w:tcBorders>
              <w:bottom w:val="single" w:sz="4" w:space="0" w:color="auto"/>
            </w:tcBorders>
          </w:tcPr>
          <w:p w14:paraId="084FBAB9" w14:textId="77777777" w:rsidR="00E26BDD" w:rsidRPr="00D85277" w:rsidRDefault="00E26BDD" w:rsidP="000B4699">
            <w:pPr>
              <w:rPr>
                <w:rFonts w:ascii="Arial" w:eastAsia="Times New Roman" w:hAnsi="Arial" w:cs="Arial"/>
                <w:b/>
                <w:bCs/>
                <w:sz w:val="18"/>
                <w:szCs w:val="18"/>
                <w:lang w:val="en"/>
              </w:rPr>
            </w:pPr>
          </w:p>
        </w:tc>
        <w:tc>
          <w:tcPr>
            <w:tcW w:w="1104" w:type="dxa"/>
            <w:vMerge/>
            <w:tcBorders>
              <w:bottom w:val="single" w:sz="4" w:space="0" w:color="auto"/>
            </w:tcBorders>
          </w:tcPr>
          <w:p w14:paraId="75BB1010" w14:textId="77777777" w:rsidR="00E26BDD" w:rsidRPr="00D85277" w:rsidRDefault="00E26BDD" w:rsidP="000B4699">
            <w:pPr>
              <w:rPr>
                <w:rFonts w:ascii="Arial" w:eastAsia="Times New Roman" w:hAnsi="Arial" w:cs="Arial"/>
                <w:b/>
                <w:bCs/>
                <w:sz w:val="18"/>
                <w:szCs w:val="18"/>
                <w:lang w:val="en"/>
              </w:rPr>
            </w:pPr>
          </w:p>
        </w:tc>
        <w:tc>
          <w:tcPr>
            <w:tcW w:w="825" w:type="dxa"/>
            <w:vMerge/>
            <w:tcBorders>
              <w:bottom w:val="single" w:sz="4" w:space="0" w:color="auto"/>
            </w:tcBorders>
          </w:tcPr>
          <w:p w14:paraId="2464333F" w14:textId="77777777" w:rsidR="00E26BDD" w:rsidRPr="00D85277" w:rsidRDefault="00E26BDD" w:rsidP="000B4699">
            <w:pPr>
              <w:rPr>
                <w:rFonts w:ascii="Arial" w:eastAsia="Times New Roman" w:hAnsi="Arial" w:cs="Arial"/>
                <w:b/>
                <w:bCs/>
                <w:sz w:val="18"/>
                <w:szCs w:val="18"/>
                <w:lang w:val="en"/>
              </w:rPr>
            </w:pPr>
          </w:p>
        </w:tc>
        <w:tc>
          <w:tcPr>
            <w:tcW w:w="1260" w:type="dxa"/>
            <w:vMerge/>
            <w:tcBorders>
              <w:bottom w:val="single" w:sz="4" w:space="0" w:color="auto"/>
            </w:tcBorders>
          </w:tcPr>
          <w:p w14:paraId="330EAE10" w14:textId="77777777" w:rsidR="00E26BDD" w:rsidRPr="00D85277" w:rsidRDefault="00E26BDD" w:rsidP="000B4699">
            <w:pPr>
              <w:rPr>
                <w:rFonts w:ascii="Arial" w:eastAsia="Times New Roman" w:hAnsi="Arial" w:cs="Arial"/>
                <w:b/>
                <w:bCs/>
                <w:sz w:val="18"/>
                <w:szCs w:val="18"/>
                <w:lang w:val="en"/>
              </w:rPr>
            </w:pPr>
          </w:p>
        </w:tc>
        <w:tc>
          <w:tcPr>
            <w:tcW w:w="866" w:type="dxa"/>
            <w:vMerge/>
            <w:tcBorders>
              <w:bottom w:val="single" w:sz="4" w:space="0" w:color="auto"/>
            </w:tcBorders>
          </w:tcPr>
          <w:p w14:paraId="55385BCD" w14:textId="77777777" w:rsidR="00E26BDD" w:rsidRPr="00D85277" w:rsidRDefault="00E26BDD" w:rsidP="000B4699">
            <w:pPr>
              <w:rPr>
                <w:rFonts w:ascii="Arial" w:eastAsia="Times New Roman" w:hAnsi="Arial" w:cs="Arial"/>
                <w:b/>
                <w:bCs/>
                <w:sz w:val="18"/>
                <w:szCs w:val="18"/>
                <w:lang w:val="en"/>
              </w:rPr>
            </w:pPr>
          </w:p>
        </w:tc>
      </w:tr>
      <w:tr w:rsidR="00E26BDD" w:rsidRPr="00D85277" w14:paraId="1AE13996" w14:textId="77777777" w:rsidTr="001D3E57">
        <w:trPr>
          <w:trHeight w:val="20"/>
          <w:jc w:val="center"/>
        </w:trPr>
        <w:tc>
          <w:tcPr>
            <w:tcW w:w="3554" w:type="dxa"/>
            <w:tcBorders>
              <w:top w:val="single" w:sz="4" w:space="0" w:color="auto"/>
              <w:bottom w:val="single" w:sz="4" w:space="0" w:color="auto"/>
            </w:tcBorders>
          </w:tcPr>
          <w:p w14:paraId="76FEE9E8" w14:textId="4A906CE0"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T1- Chemical Module </w:t>
            </w:r>
          </w:p>
        </w:tc>
        <w:tc>
          <w:tcPr>
            <w:tcW w:w="1221" w:type="dxa"/>
            <w:tcBorders>
              <w:top w:val="single" w:sz="4" w:space="0" w:color="auto"/>
              <w:bottom w:val="single" w:sz="4" w:space="0" w:color="auto"/>
            </w:tcBorders>
          </w:tcPr>
          <w:p w14:paraId="2C604EB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14.90</w:t>
            </w:r>
            <w:r w:rsidRPr="00D85277">
              <w:rPr>
                <w:rFonts w:ascii="Arial" w:eastAsia="Times New Roman" w:hAnsi="Arial" w:cs="Arial"/>
                <w:bCs/>
                <w:sz w:val="18"/>
                <w:szCs w:val="18"/>
                <w:vertAlign w:val="superscript"/>
                <w:lang w:val="en"/>
              </w:rPr>
              <w:t>b</w:t>
            </w:r>
          </w:p>
          <w:p w14:paraId="05B95A0B"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(22.69)</w:t>
            </w:r>
          </w:p>
        </w:tc>
        <w:tc>
          <w:tcPr>
            <w:tcW w:w="1103" w:type="dxa"/>
            <w:tcBorders>
              <w:top w:val="single" w:sz="4" w:space="0" w:color="auto"/>
              <w:bottom w:val="single" w:sz="4" w:space="0" w:color="auto"/>
            </w:tcBorders>
          </w:tcPr>
          <w:p w14:paraId="32C0000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82.00</w:t>
            </w:r>
            <w:r w:rsidRPr="00D85277">
              <w:rPr>
                <w:rFonts w:ascii="Arial" w:eastAsia="Times New Roman" w:hAnsi="Arial" w:cs="Arial"/>
                <w:bCs/>
                <w:sz w:val="18"/>
                <w:szCs w:val="18"/>
                <w:vertAlign w:val="superscript"/>
                <w:lang w:val="en"/>
              </w:rPr>
              <w:t>c</w:t>
            </w:r>
          </w:p>
          <w:p w14:paraId="7B479A9A" w14:textId="04F1C7F3"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(64.97)</w:t>
            </w:r>
          </w:p>
        </w:tc>
        <w:tc>
          <w:tcPr>
            <w:tcW w:w="1104" w:type="dxa"/>
            <w:tcBorders>
              <w:top w:val="single" w:sz="4" w:space="0" w:color="auto"/>
              <w:bottom w:val="single" w:sz="4" w:space="0" w:color="auto"/>
            </w:tcBorders>
          </w:tcPr>
          <w:p w14:paraId="05030DF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12.90</w:t>
            </w:r>
            <w:r w:rsidRPr="00D85277">
              <w:rPr>
                <w:rFonts w:ascii="Arial" w:eastAsia="Times New Roman" w:hAnsi="Arial" w:cs="Arial"/>
                <w:bCs/>
                <w:sz w:val="18"/>
                <w:szCs w:val="18"/>
                <w:vertAlign w:val="superscript"/>
                <w:lang w:val="en"/>
              </w:rPr>
              <w:t>c</w:t>
            </w:r>
          </w:p>
          <w:p w14:paraId="613AA41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(21.04)</w:t>
            </w:r>
          </w:p>
        </w:tc>
        <w:tc>
          <w:tcPr>
            <w:tcW w:w="986" w:type="dxa"/>
            <w:tcBorders>
              <w:top w:val="single" w:sz="4" w:space="0" w:color="auto"/>
              <w:bottom w:val="single" w:sz="4" w:space="0" w:color="auto"/>
            </w:tcBorders>
          </w:tcPr>
          <w:p w14:paraId="21B65336"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2.70</w:t>
            </w:r>
            <w:r w:rsidRPr="00D85277">
              <w:rPr>
                <w:rFonts w:ascii="Arial" w:eastAsia="Times New Roman" w:hAnsi="Arial" w:cs="Arial"/>
                <w:bCs/>
                <w:sz w:val="18"/>
                <w:szCs w:val="18"/>
                <w:vertAlign w:val="superscript"/>
                <w:lang w:val="en"/>
              </w:rPr>
              <w:t>a</w:t>
            </w:r>
          </w:p>
        </w:tc>
        <w:tc>
          <w:tcPr>
            <w:tcW w:w="869" w:type="dxa"/>
            <w:tcBorders>
              <w:top w:val="single" w:sz="4" w:space="0" w:color="auto"/>
              <w:bottom w:val="single" w:sz="4" w:space="0" w:color="auto"/>
            </w:tcBorders>
          </w:tcPr>
          <w:p w14:paraId="6AA3095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86" w:type="dxa"/>
            <w:tcBorders>
              <w:top w:val="single" w:sz="4" w:space="0" w:color="auto"/>
              <w:bottom w:val="single" w:sz="4" w:space="0" w:color="auto"/>
            </w:tcBorders>
          </w:tcPr>
          <w:p w14:paraId="0BA96C4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16.50</w:t>
            </w:r>
            <w:r w:rsidRPr="00D85277">
              <w:rPr>
                <w:rFonts w:ascii="Arial" w:eastAsia="Times New Roman" w:hAnsi="Arial" w:cs="Arial"/>
                <w:bCs/>
                <w:sz w:val="18"/>
                <w:szCs w:val="18"/>
                <w:vertAlign w:val="superscript"/>
                <w:lang w:val="en"/>
              </w:rPr>
              <w:t>b</w:t>
            </w:r>
          </w:p>
          <w:p w14:paraId="60AFD4ED" w14:textId="073E87F0"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(23.96)</w:t>
            </w:r>
          </w:p>
        </w:tc>
        <w:tc>
          <w:tcPr>
            <w:tcW w:w="1104" w:type="dxa"/>
            <w:tcBorders>
              <w:top w:val="single" w:sz="4" w:space="0" w:color="auto"/>
              <w:bottom w:val="single" w:sz="4" w:space="0" w:color="auto"/>
            </w:tcBorders>
          </w:tcPr>
          <w:p w14:paraId="548868D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67.33</w:t>
            </w:r>
            <w:r w:rsidRPr="00D85277">
              <w:rPr>
                <w:rFonts w:ascii="Arial" w:eastAsia="Times New Roman" w:hAnsi="Arial" w:cs="Arial"/>
                <w:bCs/>
                <w:sz w:val="18"/>
                <w:szCs w:val="18"/>
                <w:vertAlign w:val="superscript"/>
                <w:lang w:val="en"/>
              </w:rPr>
              <w:t>b</w:t>
            </w:r>
          </w:p>
        </w:tc>
        <w:tc>
          <w:tcPr>
            <w:tcW w:w="825" w:type="dxa"/>
            <w:tcBorders>
              <w:top w:val="single" w:sz="4" w:space="0" w:color="auto"/>
              <w:bottom w:val="single" w:sz="4" w:space="0" w:color="auto"/>
            </w:tcBorders>
          </w:tcPr>
          <w:p w14:paraId="102A79F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80.80</w:t>
            </w:r>
            <w:r w:rsidRPr="00D85277">
              <w:rPr>
                <w:rFonts w:ascii="Arial" w:eastAsia="Times New Roman" w:hAnsi="Arial" w:cs="Arial"/>
                <w:bCs/>
                <w:sz w:val="18"/>
                <w:szCs w:val="18"/>
                <w:vertAlign w:val="superscript"/>
                <w:lang w:val="en"/>
              </w:rPr>
              <w:t>b</w:t>
            </w:r>
          </w:p>
        </w:tc>
        <w:tc>
          <w:tcPr>
            <w:tcW w:w="1260" w:type="dxa"/>
            <w:tcBorders>
              <w:top w:val="single" w:sz="4" w:space="0" w:color="auto"/>
              <w:bottom w:val="single" w:sz="4" w:space="0" w:color="auto"/>
            </w:tcBorders>
          </w:tcPr>
          <w:p w14:paraId="4895B04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10.99</w:t>
            </w:r>
          </w:p>
        </w:tc>
        <w:tc>
          <w:tcPr>
            <w:tcW w:w="866" w:type="dxa"/>
            <w:tcBorders>
              <w:top w:val="single" w:sz="4" w:space="0" w:color="auto"/>
              <w:bottom w:val="single" w:sz="4" w:space="0" w:color="auto"/>
            </w:tcBorders>
          </w:tcPr>
          <w:p w14:paraId="319777F1" w14:textId="0BE31452"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w:t>
            </w:r>
            <w:r w:rsidR="00340E80" w:rsidRPr="00D85277">
              <w:rPr>
                <w:rFonts w:ascii="Arial" w:eastAsia="Times New Roman" w:hAnsi="Arial" w:cs="Arial"/>
                <w:bCs/>
                <w:sz w:val="18"/>
                <w:szCs w:val="18"/>
                <w:lang w:val="en"/>
              </w:rPr>
              <w:t xml:space="preserve"> </w:t>
            </w:r>
            <w:r w:rsidRPr="00D85277">
              <w:rPr>
                <w:rFonts w:ascii="Arial" w:eastAsia="Times New Roman" w:hAnsi="Arial" w:cs="Arial"/>
                <w:bCs/>
                <w:sz w:val="18"/>
                <w:szCs w:val="18"/>
                <w:lang w:val="en"/>
              </w:rPr>
              <w:t>4.72</w:t>
            </w:r>
          </w:p>
        </w:tc>
      </w:tr>
      <w:tr w:rsidR="00E26BDD" w:rsidRPr="00D85277" w14:paraId="74687077" w14:textId="77777777" w:rsidTr="001D3E57">
        <w:trPr>
          <w:trHeight w:val="20"/>
          <w:jc w:val="center"/>
        </w:trPr>
        <w:tc>
          <w:tcPr>
            <w:tcW w:w="3554" w:type="dxa"/>
            <w:tcBorders>
              <w:top w:val="single" w:sz="4" w:space="0" w:color="auto"/>
              <w:bottom w:val="single" w:sz="4" w:space="0" w:color="auto"/>
            </w:tcBorders>
          </w:tcPr>
          <w:p w14:paraId="4D6AEB96" w14:textId="350EFCC4"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T2-</w:t>
            </w:r>
            <w:r w:rsidR="00395C86" w:rsidRPr="00D85277">
              <w:rPr>
                <w:rFonts w:ascii="Arial" w:eastAsia="Times New Roman" w:hAnsi="Arial" w:cs="Arial"/>
                <w:b/>
                <w:bCs/>
                <w:sz w:val="18"/>
                <w:szCs w:val="18"/>
                <w:lang w:val="en"/>
              </w:rPr>
              <w:t>Nonchemical</w:t>
            </w:r>
            <w:r w:rsidRPr="00D85277">
              <w:rPr>
                <w:rFonts w:ascii="Arial" w:eastAsia="Times New Roman" w:hAnsi="Arial" w:cs="Arial"/>
                <w:b/>
                <w:bCs/>
                <w:sz w:val="18"/>
                <w:szCs w:val="18"/>
                <w:lang w:val="en"/>
              </w:rPr>
              <w:t xml:space="preserve"> module</w:t>
            </w:r>
          </w:p>
          <w:p w14:paraId="19DCA6E5" w14:textId="77777777" w:rsidR="00E26BDD" w:rsidRPr="00D85277" w:rsidRDefault="00E26BDD" w:rsidP="000B4699">
            <w:pPr>
              <w:rPr>
                <w:rFonts w:ascii="Arial" w:eastAsia="Times New Roman" w:hAnsi="Arial" w:cs="Arial"/>
                <w:bCs/>
                <w:sz w:val="18"/>
                <w:szCs w:val="18"/>
                <w:lang w:val="en"/>
              </w:rPr>
            </w:pPr>
          </w:p>
        </w:tc>
        <w:tc>
          <w:tcPr>
            <w:tcW w:w="1221" w:type="dxa"/>
            <w:tcBorders>
              <w:top w:val="single" w:sz="4" w:space="0" w:color="auto"/>
              <w:bottom w:val="single" w:sz="4" w:space="0" w:color="auto"/>
            </w:tcBorders>
          </w:tcPr>
          <w:p w14:paraId="40FB6B0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18.20</w:t>
            </w:r>
            <w:r w:rsidRPr="00D85277">
              <w:rPr>
                <w:rFonts w:ascii="Arial" w:eastAsia="Times New Roman" w:hAnsi="Arial" w:cs="Arial"/>
                <w:bCs/>
                <w:sz w:val="18"/>
                <w:szCs w:val="18"/>
                <w:vertAlign w:val="superscript"/>
                <w:lang w:val="en"/>
              </w:rPr>
              <w:t>c</w:t>
            </w:r>
          </w:p>
          <w:p w14:paraId="084571C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(25.22)</w:t>
            </w:r>
          </w:p>
        </w:tc>
        <w:tc>
          <w:tcPr>
            <w:tcW w:w="1103" w:type="dxa"/>
            <w:tcBorders>
              <w:top w:val="single" w:sz="4" w:space="0" w:color="auto"/>
              <w:bottom w:val="single" w:sz="4" w:space="0" w:color="auto"/>
            </w:tcBorders>
          </w:tcPr>
          <w:p w14:paraId="6B2A229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72.00</w:t>
            </w:r>
            <w:r w:rsidRPr="00D85277">
              <w:rPr>
                <w:rFonts w:ascii="Arial" w:eastAsia="Times New Roman" w:hAnsi="Arial" w:cs="Arial"/>
                <w:bCs/>
                <w:sz w:val="18"/>
                <w:szCs w:val="18"/>
                <w:vertAlign w:val="superscript"/>
                <w:lang w:val="en"/>
              </w:rPr>
              <w:t>b</w:t>
            </w:r>
          </w:p>
          <w:p w14:paraId="4A7E42D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(58.08)</w:t>
            </w:r>
          </w:p>
        </w:tc>
        <w:tc>
          <w:tcPr>
            <w:tcW w:w="1104" w:type="dxa"/>
            <w:tcBorders>
              <w:top w:val="single" w:sz="4" w:space="0" w:color="auto"/>
              <w:bottom w:val="single" w:sz="4" w:space="0" w:color="auto"/>
            </w:tcBorders>
          </w:tcPr>
          <w:p w14:paraId="68D7044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11.30</w:t>
            </w:r>
            <w:r w:rsidRPr="00D85277">
              <w:rPr>
                <w:rFonts w:ascii="Arial" w:eastAsia="Times New Roman" w:hAnsi="Arial" w:cs="Arial"/>
                <w:bCs/>
                <w:sz w:val="18"/>
                <w:szCs w:val="18"/>
                <w:vertAlign w:val="superscript"/>
                <w:lang w:val="en"/>
              </w:rPr>
              <w:t>b</w:t>
            </w:r>
          </w:p>
          <w:p w14:paraId="1BCCE1C8"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(19.62)</w:t>
            </w:r>
          </w:p>
        </w:tc>
        <w:tc>
          <w:tcPr>
            <w:tcW w:w="986" w:type="dxa"/>
            <w:tcBorders>
              <w:top w:val="single" w:sz="4" w:space="0" w:color="auto"/>
              <w:bottom w:val="single" w:sz="4" w:space="0" w:color="auto"/>
            </w:tcBorders>
          </w:tcPr>
          <w:p w14:paraId="1DFE670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2.60</w:t>
            </w:r>
            <w:r w:rsidRPr="00D85277">
              <w:rPr>
                <w:rFonts w:ascii="Arial" w:eastAsia="Times New Roman" w:hAnsi="Arial" w:cs="Arial"/>
                <w:bCs/>
                <w:sz w:val="18"/>
                <w:szCs w:val="18"/>
                <w:vertAlign w:val="superscript"/>
                <w:lang w:val="en"/>
              </w:rPr>
              <w:t>a</w:t>
            </w:r>
          </w:p>
        </w:tc>
        <w:tc>
          <w:tcPr>
            <w:tcW w:w="869" w:type="dxa"/>
            <w:tcBorders>
              <w:top w:val="single" w:sz="4" w:space="0" w:color="auto"/>
              <w:bottom w:val="single" w:sz="4" w:space="0" w:color="auto"/>
            </w:tcBorders>
          </w:tcPr>
          <w:p w14:paraId="43C392A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86" w:type="dxa"/>
            <w:tcBorders>
              <w:top w:val="single" w:sz="4" w:space="0" w:color="auto"/>
              <w:bottom w:val="single" w:sz="4" w:space="0" w:color="auto"/>
            </w:tcBorders>
          </w:tcPr>
          <w:p w14:paraId="40DD9DA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16.90</w:t>
            </w:r>
            <w:r w:rsidRPr="00D85277">
              <w:rPr>
                <w:rFonts w:ascii="Arial" w:eastAsia="Times New Roman" w:hAnsi="Arial" w:cs="Arial"/>
                <w:bCs/>
                <w:sz w:val="18"/>
                <w:szCs w:val="18"/>
                <w:vertAlign w:val="superscript"/>
                <w:lang w:val="en"/>
              </w:rPr>
              <w:t>a</w:t>
            </w:r>
          </w:p>
          <w:p w14:paraId="10F5139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(24.26)</w:t>
            </w:r>
          </w:p>
        </w:tc>
        <w:tc>
          <w:tcPr>
            <w:tcW w:w="1104" w:type="dxa"/>
            <w:tcBorders>
              <w:top w:val="single" w:sz="4" w:space="0" w:color="auto"/>
              <w:bottom w:val="single" w:sz="4" w:space="0" w:color="auto"/>
            </w:tcBorders>
          </w:tcPr>
          <w:p w14:paraId="24FD4320"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67.17</w:t>
            </w:r>
            <w:r w:rsidRPr="00D85277">
              <w:rPr>
                <w:rFonts w:ascii="Arial" w:eastAsia="Times New Roman" w:hAnsi="Arial" w:cs="Arial"/>
                <w:bCs/>
                <w:sz w:val="18"/>
                <w:szCs w:val="18"/>
                <w:vertAlign w:val="superscript"/>
                <w:lang w:val="en"/>
              </w:rPr>
              <w:t>b</w:t>
            </w:r>
          </w:p>
        </w:tc>
        <w:tc>
          <w:tcPr>
            <w:tcW w:w="825" w:type="dxa"/>
            <w:tcBorders>
              <w:top w:val="single" w:sz="4" w:space="0" w:color="auto"/>
              <w:bottom w:val="single" w:sz="4" w:space="0" w:color="auto"/>
            </w:tcBorders>
          </w:tcPr>
          <w:p w14:paraId="2304F01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80.60</w:t>
            </w:r>
            <w:r w:rsidRPr="00D85277">
              <w:rPr>
                <w:rFonts w:ascii="Arial" w:eastAsia="Times New Roman" w:hAnsi="Arial" w:cs="Arial"/>
                <w:bCs/>
                <w:sz w:val="18"/>
                <w:szCs w:val="18"/>
                <w:vertAlign w:val="superscript"/>
                <w:lang w:val="en"/>
              </w:rPr>
              <w:t>b</w:t>
            </w:r>
          </w:p>
        </w:tc>
        <w:tc>
          <w:tcPr>
            <w:tcW w:w="1260" w:type="dxa"/>
            <w:tcBorders>
              <w:top w:val="single" w:sz="4" w:space="0" w:color="auto"/>
              <w:bottom w:val="single" w:sz="4" w:space="0" w:color="auto"/>
            </w:tcBorders>
          </w:tcPr>
          <w:p w14:paraId="0F7BE83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10.71</w:t>
            </w:r>
          </w:p>
        </w:tc>
        <w:tc>
          <w:tcPr>
            <w:tcW w:w="866" w:type="dxa"/>
            <w:tcBorders>
              <w:top w:val="single" w:sz="4" w:space="0" w:color="auto"/>
              <w:bottom w:val="single" w:sz="4" w:space="0" w:color="auto"/>
            </w:tcBorders>
          </w:tcPr>
          <w:p w14:paraId="1F89615A" w14:textId="218F3BB9"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w:t>
            </w:r>
            <w:r w:rsidR="00340E80" w:rsidRPr="00D85277">
              <w:rPr>
                <w:rFonts w:ascii="Arial" w:eastAsia="Times New Roman" w:hAnsi="Arial" w:cs="Arial"/>
                <w:bCs/>
                <w:sz w:val="18"/>
                <w:szCs w:val="18"/>
                <w:lang w:val="en"/>
              </w:rPr>
              <w:t xml:space="preserve"> </w:t>
            </w:r>
            <w:r w:rsidRPr="00D85277">
              <w:rPr>
                <w:rFonts w:ascii="Arial" w:eastAsia="Times New Roman" w:hAnsi="Arial" w:cs="Arial"/>
                <w:bCs/>
                <w:sz w:val="18"/>
                <w:szCs w:val="18"/>
                <w:lang w:val="en"/>
              </w:rPr>
              <w:t>4.95</w:t>
            </w:r>
          </w:p>
        </w:tc>
      </w:tr>
      <w:tr w:rsidR="00E26BDD" w:rsidRPr="00D85277" w14:paraId="54E9E054" w14:textId="77777777" w:rsidTr="0096436E">
        <w:trPr>
          <w:trHeight w:val="20"/>
          <w:jc w:val="center"/>
        </w:trPr>
        <w:tc>
          <w:tcPr>
            <w:tcW w:w="3554" w:type="dxa"/>
            <w:tcBorders>
              <w:top w:val="single" w:sz="4" w:space="0" w:color="auto"/>
              <w:bottom w:val="single" w:sz="4" w:space="0" w:color="auto"/>
            </w:tcBorders>
          </w:tcPr>
          <w:p w14:paraId="1859F3C3" w14:textId="63A0DFF8" w:rsidR="00E26BDD" w:rsidRPr="00D85277" w:rsidRDefault="00E26BDD" w:rsidP="002C4533">
            <w:pPr>
              <w:rPr>
                <w:rFonts w:ascii="Arial" w:eastAsia="Times New Roman" w:hAnsi="Arial" w:cs="Arial"/>
                <w:bCs/>
                <w:sz w:val="18"/>
                <w:szCs w:val="18"/>
                <w:lang w:val="en"/>
              </w:rPr>
            </w:pPr>
            <w:r w:rsidRPr="00D85277">
              <w:rPr>
                <w:rFonts w:ascii="Arial" w:eastAsia="Times New Roman" w:hAnsi="Arial" w:cs="Arial"/>
                <w:b/>
                <w:bCs/>
                <w:sz w:val="18"/>
                <w:szCs w:val="18"/>
                <w:lang w:val="en"/>
              </w:rPr>
              <w:t xml:space="preserve">T3- IPM </w:t>
            </w:r>
            <w:r w:rsidR="00395C86" w:rsidRPr="00D85277">
              <w:rPr>
                <w:rFonts w:ascii="Arial" w:eastAsia="Times New Roman" w:hAnsi="Arial" w:cs="Arial"/>
                <w:b/>
                <w:bCs/>
                <w:sz w:val="18"/>
                <w:szCs w:val="18"/>
                <w:lang w:val="en"/>
              </w:rPr>
              <w:t>module (</w:t>
            </w:r>
            <w:r w:rsidRPr="00D85277">
              <w:rPr>
                <w:rFonts w:ascii="Arial" w:eastAsia="Times New Roman" w:hAnsi="Arial" w:cs="Arial"/>
                <w:bCs/>
                <w:sz w:val="18"/>
                <w:szCs w:val="18"/>
                <w:lang w:val="en"/>
              </w:rPr>
              <w:t>T1+T2</w:t>
            </w:r>
            <w:r w:rsidR="002C4533" w:rsidRPr="00D85277">
              <w:rPr>
                <w:rFonts w:ascii="Arial" w:eastAsia="Times New Roman" w:hAnsi="Arial" w:cs="Arial"/>
                <w:bCs/>
                <w:sz w:val="18"/>
                <w:szCs w:val="18"/>
                <w:lang w:val="en"/>
              </w:rPr>
              <w:t>)</w:t>
            </w:r>
          </w:p>
        </w:tc>
        <w:tc>
          <w:tcPr>
            <w:tcW w:w="1221" w:type="dxa"/>
            <w:tcBorders>
              <w:top w:val="single" w:sz="4" w:space="0" w:color="auto"/>
              <w:bottom w:val="single" w:sz="4" w:space="0" w:color="auto"/>
            </w:tcBorders>
          </w:tcPr>
          <w:p w14:paraId="4DE9461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12.08</w:t>
            </w:r>
            <w:r w:rsidRPr="00D85277">
              <w:rPr>
                <w:rFonts w:ascii="Arial" w:eastAsia="Times New Roman" w:hAnsi="Arial" w:cs="Arial"/>
                <w:bCs/>
                <w:sz w:val="18"/>
                <w:szCs w:val="18"/>
                <w:vertAlign w:val="superscript"/>
                <w:lang w:val="en"/>
              </w:rPr>
              <w:t>a</w:t>
            </w:r>
          </w:p>
          <w:p w14:paraId="0933FBA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(20.95)</w:t>
            </w:r>
          </w:p>
        </w:tc>
        <w:tc>
          <w:tcPr>
            <w:tcW w:w="1103" w:type="dxa"/>
            <w:tcBorders>
              <w:top w:val="single" w:sz="4" w:space="0" w:color="auto"/>
              <w:bottom w:val="single" w:sz="4" w:space="0" w:color="auto"/>
            </w:tcBorders>
          </w:tcPr>
          <w:p w14:paraId="2A497708"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61.00</w:t>
            </w:r>
            <w:r w:rsidRPr="00D85277">
              <w:rPr>
                <w:rFonts w:ascii="Arial" w:eastAsia="Times New Roman" w:hAnsi="Arial" w:cs="Arial"/>
                <w:bCs/>
                <w:sz w:val="18"/>
                <w:szCs w:val="18"/>
                <w:vertAlign w:val="superscript"/>
                <w:lang w:val="en"/>
              </w:rPr>
              <w:t>a</w:t>
            </w:r>
          </w:p>
          <w:p w14:paraId="5F68271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(51.35)</w:t>
            </w:r>
          </w:p>
        </w:tc>
        <w:tc>
          <w:tcPr>
            <w:tcW w:w="1104" w:type="dxa"/>
            <w:tcBorders>
              <w:top w:val="single" w:sz="4" w:space="0" w:color="auto"/>
              <w:bottom w:val="single" w:sz="4" w:space="0" w:color="auto"/>
            </w:tcBorders>
          </w:tcPr>
          <w:p w14:paraId="39AFF47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9.10</w:t>
            </w:r>
            <w:r w:rsidRPr="00D85277">
              <w:rPr>
                <w:rFonts w:ascii="Arial" w:eastAsia="Times New Roman" w:hAnsi="Arial" w:cs="Arial"/>
                <w:bCs/>
                <w:sz w:val="18"/>
                <w:szCs w:val="18"/>
                <w:vertAlign w:val="superscript"/>
                <w:lang w:val="en"/>
              </w:rPr>
              <w:t>a</w:t>
            </w:r>
          </w:p>
          <w:p w14:paraId="2E418C8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(17.53)</w:t>
            </w:r>
          </w:p>
        </w:tc>
        <w:tc>
          <w:tcPr>
            <w:tcW w:w="986" w:type="dxa"/>
            <w:tcBorders>
              <w:top w:val="single" w:sz="4" w:space="0" w:color="auto"/>
              <w:bottom w:val="single" w:sz="4" w:space="0" w:color="auto"/>
            </w:tcBorders>
          </w:tcPr>
          <w:p w14:paraId="23B841E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2.70</w:t>
            </w:r>
            <w:r w:rsidRPr="00D85277">
              <w:rPr>
                <w:rFonts w:ascii="Arial" w:eastAsia="Times New Roman" w:hAnsi="Arial" w:cs="Arial"/>
                <w:bCs/>
                <w:sz w:val="18"/>
                <w:szCs w:val="18"/>
                <w:vertAlign w:val="superscript"/>
                <w:lang w:val="en"/>
              </w:rPr>
              <w:t>a</w:t>
            </w:r>
          </w:p>
        </w:tc>
        <w:tc>
          <w:tcPr>
            <w:tcW w:w="869" w:type="dxa"/>
            <w:tcBorders>
              <w:top w:val="single" w:sz="4" w:space="0" w:color="auto"/>
              <w:bottom w:val="single" w:sz="4" w:space="0" w:color="auto"/>
            </w:tcBorders>
          </w:tcPr>
          <w:p w14:paraId="6EC5EDB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86" w:type="dxa"/>
            <w:tcBorders>
              <w:top w:val="single" w:sz="4" w:space="0" w:color="auto"/>
              <w:bottom w:val="single" w:sz="4" w:space="0" w:color="auto"/>
            </w:tcBorders>
          </w:tcPr>
          <w:p w14:paraId="3A3EB19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17.10</w:t>
            </w:r>
            <w:r w:rsidRPr="00D85277">
              <w:rPr>
                <w:rFonts w:ascii="Arial" w:eastAsia="Times New Roman" w:hAnsi="Arial" w:cs="Arial"/>
                <w:bCs/>
                <w:sz w:val="18"/>
                <w:szCs w:val="18"/>
                <w:vertAlign w:val="superscript"/>
                <w:lang w:val="en"/>
              </w:rPr>
              <w:t>a</w:t>
            </w:r>
          </w:p>
          <w:p w14:paraId="1230F6B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(24.42)</w:t>
            </w:r>
          </w:p>
        </w:tc>
        <w:tc>
          <w:tcPr>
            <w:tcW w:w="1104" w:type="dxa"/>
            <w:tcBorders>
              <w:top w:val="single" w:sz="4" w:space="0" w:color="auto"/>
              <w:bottom w:val="single" w:sz="4" w:space="0" w:color="auto"/>
            </w:tcBorders>
          </w:tcPr>
          <w:p w14:paraId="7B753E5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70.67</w:t>
            </w:r>
            <w:r w:rsidRPr="00D85277">
              <w:rPr>
                <w:rFonts w:ascii="Arial" w:eastAsia="Times New Roman" w:hAnsi="Arial" w:cs="Arial"/>
                <w:bCs/>
                <w:sz w:val="18"/>
                <w:szCs w:val="18"/>
                <w:vertAlign w:val="superscript"/>
                <w:lang w:val="en"/>
              </w:rPr>
              <w:t>a</w:t>
            </w:r>
          </w:p>
        </w:tc>
        <w:tc>
          <w:tcPr>
            <w:tcW w:w="825" w:type="dxa"/>
            <w:tcBorders>
              <w:top w:val="single" w:sz="4" w:space="0" w:color="auto"/>
              <w:bottom w:val="single" w:sz="4" w:space="0" w:color="auto"/>
            </w:tcBorders>
          </w:tcPr>
          <w:p w14:paraId="5BE57F7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84.80</w:t>
            </w:r>
            <w:r w:rsidRPr="00D85277">
              <w:rPr>
                <w:rFonts w:ascii="Arial" w:eastAsia="Times New Roman" w:hAnsi="Arial" w:cs="Arial"/>
                <w:bCs/>
                <w:sz w:val="18"/>
                <w:szCs w:val="18"/>
                <w:vertAlign w:val="superscript"/>
                <w:lang w:val="en"/>
              </w:rPr>
              <w:t>a</w:t>
            </w:r>
          </w:p>
        </w:tc>
        <w:tc>
          <w:tcPr>
            <w:tcW w:w="1260" w:type="dxa"/>
            <w:tcBorders>
              <w:top w:val="single" w:sz="4" w:space="0" w:color="auto"/>
              <w:bottom w:val="single" w:sz="4" w:space="0" w:color="auto"/>
            </w:tcBorders>
          </w:tcPr>
          <w:p w14:paraId="0E58262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16.48</w:t>
            </w:r>
          </w:p>
        </w:tc>
        <w:tc>
          <w:tcPr>
            <w:tcW w:w="866" w:type="dxa"/>
            <w:tcBorders>
              <w:top w:val="single" w:sz="4" w:space="0" w:color="auto"/>
              <w:bottom w:val="single" w:sz="4" w:space="0" w:color="auto"/>
            </w:tcBorders>
          </w:tcPr>
          <w:p w14:paraId="66BBFD1B" w14:textId="2DD54F12" w:rsidR="00E26BDD" w:rsidRPr="00D85277" w:rsidRDefault="00340E80"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w:t>
            </w:r>
          </w:p>
        </w:tc>
      </w:tr>
      <w:tr w:rsidR="00E26BDD" w:rsidRPr="00D85277" w14:paraId="4DA8D82F" w14:textId="77777777" w:rsidTr="0096436E">
        <w:trPr>
          <w:trHeight w:val="20"/>
          <w:jc w:val="center"/>
        </w:trPr>
        <w:tc>
          <w:tcPr>
            <w:tcW w:w="3554" w:type="dxa"/>
            <w:tcBorders>
              <w:top w:val="single" w:sz="4" w:space="0" w:color="auto"/>
              <w:bottom w:val="single" w:sz="4" w:space="0" w:color="auto"/>
            </w:tcBorders>
          </w:tcPr>
          <w:p w14:paraId="2B4FE97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T4-</w:t>
            </w:r>
            <w:r w:rsidRPr="00D85277">
              <w:rPr>
                <w:rFonts w:ascii="Arial" w:eastAsia="Times New Roman" w:hAnsi="Arial" w:cs="Arial"/>
                <w:b/>
                <w:sz w:val="18"/>
                <w:szCs w:val="18"/>
                <w:lang w:val="en"/>
              </w:rPr>
              <w:t>Unprotected control</w:t>
            </w:r>
          </w:p>
        </w:tc>
        <w:tc>
          <w:tcPr>
            <w:tcW w:w="1221" w:type="dxa"/>
            <w:tcBorders>
              <w:top w:val="single" w:sz="4" w:space="0" w:color="auto"/>
              <w:bottom w:val="single" w:sz="4" w:space="0" w:color="auto"/>
            </w:tcBorders>
          </w:tcPr>
          <w:p w14:paraId="33BBF968"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39.04</w:t>
            </w:r>
            <w:r w:rsidRPr="00D85277">
              <w:rPr>
                <w:rFonts w:ascii="Arial" w:eastAsia="Times New Roman" w:hAnsi="Arial" w:cs="Arial"/>
                <w:bCs/>
                <w:sz w:val="18"/>
                <w:szCs w:val="18"/>
                <w:vertAlign w:val="superscript"/>
                <w:lang w:val="en"/>
              </w:rPr>
              <w:t>d</w:t>
            </w:r>
          </w:p>
          <w:p w14:paraId="4D5BE4B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(38.62)</w:t>
            </w:r>
          </w:p>
        </w:tc>
        <w:tc>
          <w:tcPr>
            <w:tcW w:w="1103" w:type="dxa"/>
            <w:tcBorders>
              <w:top w:val="single" w:sz="4" w:space="0" w:color="auto"/>
              <w:bottom w:val="single" w:sz="4" w:space="0" w:color="auto"/>
            </w:tcBorders>
          </w:tcPr>
          <w:p w14:paraId="5961594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100.00</w:t>
            </w:r>
            <w:r w:rsidRPr="00D85277">
              <w:rPr>
                <w:rFonts w:ascii="Arial" w:eastAsia="Times New Roman" w:hAnsi="Arial" w:cs="Arial"/>
                <w:bCs/>
                <w:sz w:val="18"/>
                <w:szCs w:val="18"/>
                <w:vertAlign w:val="superscript"/>
                <w:lang w:val="en"/>
              </w:rPr>
              <w:t>d</w:t>
            </w:r>
          </w:p>
          <w:p w14:paraId="06ABDA9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(90.00)</w:t>
            </w:r>
          </w:p>
        </w:tc>
        <w:tc>
          <w:tcPr>
            <w:tcW w:w="1104" w:type="dxa"/>
            <w:tcBorders>
              <w:top w:val="single" w:sz="4" w:space="0" w:color="auto"/>
              <w:bottom w:val="single" w:sz="4" w:space="0" w:color="auto"/>
            </w:tcBorders>
          </w:tcPr>
          <w:p w14:paraId="09EE3AE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26.60</w:t>
            </w:r>
            <w:r w:rsidRPr="00D85277">
              <w:rPr>
                <w:rFonts w:ascii="Arial" w:eastAsia="Times New Roman" w:hAnsi="Arial" w:cs="Arial"/>
                <w:bCs/>
                <w:sz w:val="18"/>
                <w:szCs w:val="18"/>
                <w:vertAlign w:val="superscript"/>
                <w:lang w:val="en"/>
              </w:rPr>
              <w:t>d</w:t>
            </w:r>
          </w:p>
          <w:p w14:paraId="1356C4E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(31.03)</w:t>
            </w:r>
          </w:p>
        </w:tc>
        <w:tc>
          <w:tcPr>
            <w:tcW w:w="986" w:type="dxa"/>
            <w:tcBorders>
              <w:top w:val="single" w:sz="4" w:space="0" w:color="auto"/>
              <w:bottom w:val="single" w:sz="4" w:space="0" w:color="auto"/>
            </w:tcBorders>
          </w:tcPr>
          <w:p w14:paraId="02CBA31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2.40</w:t>
            </w:r>
            <w:r w:rsidRPr="00D85277">
              <w:rPr>
                <w:rFonts w:ascii="Arial" w:eastAsia="Times New Roman" w:hAnsi="Arial" w:cs="Arial"/>
                <w:bCs/>
                <w:sz w:val="18"/>
                <w:szCs w:val="18"/>
                <w:vertAlign w:val="superscript"/>
                <w:lang w:val="en"/>
              </w:rPr>
              <w:t>b</w:t>
            </w:r>
          </w:p>
        </w:tc>
        <w:tc>
          <w:tcPr>
            <w:tcW w:w="869" w:type="dxa"/>
            <w:tcBorders>
              <w:top w:val="single" w:sz="4" w:space="0" w:color="auto"/>
              <w:bottom w:val="single" w:sz="4" w:space="0" w:color="auto"/>
            </w:tcBorders>
          </w:tcPr>
          <w:p w14:paraId="593D4BE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86" w:type="dxa"/>
            <w:tcBorders>
              <w:top w:val="single" w:sz="4" w:space="0" w:color="auto"/>
              <w:bottom w:val="single" w:sz="4" w:space="0" w:color="auto"/>
            </w:tcBorders>
          </w:tcPr>
          <w:p w14:paraId="1F96AC60"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15.80</w:t>
            </w:r>
            <w:r w:rsidRPr="00D85277">
              <w:rPr>
                <w:rFonts w:ascii="Arial" w:eastAsia="Times New Roman" w:hAnsi="Arial" w:cs="Arial"/>
                <w:bCs/>
                <w:sz w:val="18"/>
                <w:szCs w:val="18"/>
                <w:vertAlign w:val="superscript"/>
                <w:lang w:val="en"/>
              </w:rPr>
              <w:t>c</w:t>
            </w:r>
          </w:p>
          <w:p w14:paraId="725FB138"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(23.41)</w:t>
            </w:r>
          </w:p>
        </w:tc>
        <w:tc>
          <w:tcPr>
            <w:tcW w:w="1104" w:type="dxa"/>
            <w:tcBorders>
              <w:top w:val="single" w:sz="4" w:space="0" w:color="auto"/>
              <w:bottom w:val="single" w:sz="4" w:space="0" w:color="auto"/>
            </w:tcBorders>
          </w:tcPr>
          <w:p w14:paraId="5C1EA31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60.67</w:t>
            </w:r>
            <w:r w:rsidRPr="00D85277">
              <w:rPr>
                <w:rFonts w:ascii="Arial" w:eastAsia="Times New Roman" w:hAnsi="Arial" w:cs="Arial"/>
                <w:bCs/>
                <w:sz w:val="18"/>
                <w:szCs w:val="18"/>
                <w:vertAlign w:val="superscript"/>
                <w:lang w:val="en"/>
              </w:rPr>
              <w:t>c</w:t>
            </w:r>
          </w:p>
        </w:tc>
        <w:tc>
          <w:tcPr>
            <w:tcW w:w="825" w:type="dxa"/>
            <w:tcBorders>
              <w:top w:val="single" w:sz="4" w:space="0" w:color="auto"/>
              <w:bottom w:val="single" w:sz="4" w:space="0" w:color="auto"/>
            </w:tcBorders>
          </w:tcPr>
          <w:p w14:paraId="1E6352A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72.80</w:t>
            </w:r>
            <w:r w:rsidRPr="00D85277">
              <w:rPr>
                <w:rFonts w:ascii="Arial" w:eastAsia="Times New Roman" w:hAnsi="Arial" w:cs="Arial"/>
                <w:bCs/>
                <w:sz w:val="18"/>
                <w:szCs w:val="18"/>
                <w:vertAlign w:val="superscript"/>
                <w:lang w:val="en"/>
              </w:rPr>
              <w:t>c</w:t>
            </w:r>
          </w:p>
        </w:tc>
        <w:tc>
          <w:tcPr>
            <w:tcW w:w="1260" w:type="dxa"/>
            <w:tcBorders>
              <w:top w:val="single" w:sz="4" w:space="0" w:color="auto"/>
              <w:bottom w:val="single" w:sz="4" w:space="0" w:color="auto"/>
            </w:tcBorders>
          </w:tcPr>
          <w:p w14:paraId="63663AA3" w14:textId="5A921801" w:rsidR="00E26BDD" w:rsidRPr="00D85277" w:rsidRDefault="0096436E"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w:t>
            </w:r>
          </w:p>
        </w:tc>
        <w:tc>
          <w:tcPr>
            <w:tcW w:w="866" w:type="dxa"/>
            <w:tcBorders>
              <w:top w:val="single" w:sz="4" w:space="0" w:color="auto"/>
              <w:bottom w:val="single" w:sz="4" w:space="0" w:color="auto"/>
            </w:tcBorders>
          </w:tcPr>
          <w:p w14:paraId="63E46FFB" w14:textId="0EF2E8F3" w:rsidR="00E26BDD" w:rsidRPr="00D85277" w:rsidRDefault="0096436E" w:rsidP="000B4699">
            <w:pPr>
              <w:rPr>
                <w:rFonts w:ascii="Arial" w:eastAsia="Times New Roman" w:hAnsi="Arial" w:cs="Arial"/>
                <w:sz w:val="18"/>
                <w:szCs w:val="18"/>
                <w:lang w:val="en"/>
              </w:rPr>
            </w:pPr>
            <w:r w:rsidRPr="00D85277">
              <w:rPr>
                <w:rFonts w:ascii="Arial" w:eastAsia="Times New Roman" w:hAnsi="Arial" w:cs="Arial"/>
                <w:sz w:val="18"/>
                <w:szCs w:val="18"/>
                <w:lang w:val="en"/>
              </w:rPr>
              <w:t>-</w:t>
            </w:r>
            <w:r w:rsidR="00340E80" w:rsidRPr="00D85277">
              <w:rPr>
                <w:rFonts w:ascii="Arial" w:eastAsia="Times New Roman" w:hAnsi="Arial" w:cs="Arial"/>
                <w:sz w:val="18"/>
                <w:szCs w:val="18"/>
                <w:lang w:val="en"/>
              </w:rPr>
              <w:t xml:space="preserve"> </w:t>
            </w:r>
            <w:r w:rsidRPr="00D85277">
              <w:rPr>
                <w:rFonts w:ascii="Arial" w:eastAsia="Times New Roman" w:hAnsi="Arial" w:cs="Arial"/>
                <w:sz w:val="18"/>
                <w:szCs w:val="18"/>
                <w:lang w:val="en"/>
              </w:rPr>
              <w:t>14.15</w:t>
            </w:r>
          </w:p>
        </w:tc>
      </w:tr>
      <w:tr w:rsidR="00E26BDD" w:rsidRPr="00D85277" w14:paraId="24D17309" w14:textId="77777777" w:rsidTr="0096436E">
        <w:trPr>
          <w:trHeight w:val="20"/>
          <w:jc w:val="center"/>
        </w:trPr>
        <w:tc>
          <w:tcPr>
            <w:tcW w:w="3554" w:type="dxa"/>
            <w:tcBorders>
              <w:top w:val="single" w:sz="4" w:space="0" w:color="auto"/>
              <w:bottom w:val="nil"/>
            </w:tcBorders>
          </w:tcPr>
          <w:p w14:paraId="617A6168" w14:textId="1E3A5BEB" w:rsidR="00E26BDD" w:rsidRPr="00D85277" w:rsidRDefault="000C74D2" w:rsidP="000B4699">
            <w:pPr>
              <w:rPr>
                <w:rFonts w:ascii="Arial" w:eastAsia="Times New Roman" w:hAnsi="Arial" w:cs="Arial"/>
                <w:bCs/>
                <w:sz w:val="18"/>
                <w:szCs w:val="18"/>
                <w:lang w:val="en"/>
              </w:rPr>
            </w:pPr>
            <w:proofErr w:type="spellStart"/>
            <w:r w:rsidRPr="00D85277">
              <w:rPr>
                <w:rFonts w:ascii="Arial" w:eastAsia="Times New Roman" w:hAnsi="Arial" w:cs="Arial"/>
                <w:bCs/>
                <w:sz w:val="18"/>
                <w:szCs w:val="18"/>
                <w:lang w:val="en"/>
              </w:rPr>
              <w:t>S.Em</w:t>
            </w:r>
            <w:proofErr w:type="spellEnd"/>
            <w:r w:rsidRPr="00D85277">
              <w:rPr>
                <w:rFonts w:ascii="Arial" w:eastAsia="Times New Roman" w:hAnsi="Arial" w:cs="Arial"/>
                <w:bCs/>
                <w:sz w:val="18"/>
                <w:szCs w:val="18"/>
                <w:lang w:val="en"/>
              </w:rPr>
              <w:t xml:space="preserve"> (±)</w:t>
            </w:r>
          </w:p>
        </w:tc>
        <w:tc>
          <w:tcPr>
            <w:tcW w:w="1221" w:type="dxa"/>
            <w:tcBorders>
              <w:top w:val="single" w:sz="4" w:space="0" w:color="auto"/>
              <w:bottom w:val="nil"/>
            </w:tcBorders>
          </w:tcPr>
          <w:p w14:paraId="2EF7C6E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0.64</w:t>
            </w:r>
          </w:p>
        </w:tc>
        <w:tc>
          <w:tcPr>
            <w:tcW w:w="1103" w:type="dxa"/>
            <w:tcBorders>
              <w:top w:val="single" w:sz="4" w:space="0" w:color="auto"/>
              <w:bottom w:val="nil"/>
            </w:tcBorders>
          </w:tcPr>
          <w:p w14:paraId="7297140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0.93</w:t>
            </w:r>
          </w:p>
        </w:tc>
        <w:tc>
          <w:tcPr>
            <w:tcW w:w="1104" w:type="dxa"/>
            <w:tcBorders>
              <w:top w:val="single" w:sz="4" w:space="0" w:color="auto"/>
              <w:bottom w:val="nil"/>
            </w:tcBorders>
          </w:tcPr>
          <w:p w14:paraId="28E8A85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0.49</w:t>
            </w:r>
          </w:p>
        </w:tc>
        <w:tc>
          <w:tcPr>
            <w:tcW w:w="986" w:type="dxa"/>
            <w:tcBorders>
              <w:top w:val="single" w:sz="4" w:space="0" w:color="auto"/>
              <w:bottom w:val="nil"/>
            </w:tcBorders>
          </w:tcPr>
          <w:p w14:paraId="008EC9E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0.06</w:t>
            </w:r>
          </w:p>
        </w:tc>
        <w:tc>
          <w:tcPr>
            <w:tcW w:w="869" w:type="dxa"/>
            <w:tcBorders>
              <w:top w:val="single" w:sz="4" w:space="0" w:color="auto"/>
              <w:bottom w:val="nil"/>
            </w:tcBorders>
          </w:tcPr>
          <w:p w14:paraId="00E3800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NS</w:t>
            </w:r>
          </w:p>
        </w:tc>
        <w:tc>
          <w:tcPr>
            <w:tcW w:w="986" w:type="dxa"/>
            <w:tcBorders>
              <w:top w:val="single" w:sz="4" w:space="0" w:color="auto"/>
              <w:bottom w:val="nil"/>
            </w:tcBorders>
          </w:tcPr>
          <w:p w14:paraId="32B3445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0.05</w:t>
            </w:r>
          </w:p>
        </w:tc>
        <w:tc>
          <w:tcPr>
            <w:tcW w:w="1104" w:type="dxa"/>
            <w:tcBorders>
              <w:top w:val="single" w:sz="4" w:space="0" w:color="auto"/>
              <w:bottom w:val="nil"/>
            </w:tcBorders>
          </w:tcPr>
          <w:p w14:paraId="2252957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0.66</w:t>
            </w:r>
          </w:p>
        </w:tc>
        <w:tc>
          <w:tcPr>
            <w:tcW w:w="825" w:type="dxa"/>
            <w:tcBorders>
              <w:top w:val="single" w:sz="4" w:space="0" w:color="auto"/>
              <w:bottom w:val="nil"/>
            </w:tcBorders>
          </w:tcPr>
          <w:p w14:paraId="553DA49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0.65</w:t>
            </w:r>
          </w:p>
        </w:tc>
        <w:tc>
          <w:tcPr>
            <w:tcW w:w="1260" w:type="dxa"/>
            <w:tcBorders>
              <w:top w:val="single" w:sz="4" w:space="0" w:color="auto"/>
              <w:bottom w:val="nil"/>
            </w:tcBorders>
          </w:tcPr>
          <w:p w14:paraId="38E09561" w14:textId="77777777" w:rsidR="00E26BDD" w:rsidRPr="00D85277" w:rsidRDefault="00E26BDD" w:rsidP="000B4699">
            <w:pPr>
              <w:rPr>
                <w:rFonts w:ascii="Arial" w:eastAsia="Times New Roman" w:hAnsi="Arial" w:cs="Arial"/>
                <w:bCs/>
                <w:sz w:val="18"/>
                <w:szCs w:val="18"/>
                <w:lang w:val="en"/>
              </w:rPr>
            </w:pPr>
          </w:p>
        </w:tc>
        <w:tc>
          <w:tcPr>
            <w:tcW w:w="866" w:type="dxa"/>
            <w:tcBorders>
              <w:top w:val="single" w:sz="4" w:space="0" w:color="auto"/>
              <w:bottom w:val="nil"/>
            </w:tcBorders>
          </w:tcPr>
          <w:p w14:paraId="1ACF7BEA" w14:textId="77777777" w:rsidR="00E26BDD" w:rsidRPr="00D85277" w:rsidRDefault="00E26BDD" w:rsidP="000B4699">
            <w:pPr>
              <w:rPr>
                <w:rFonts w:ascii="Arial" w:eastAsia="Times New Roman" w:hAnsi="Arial" w:cs="Arial"/>
                <w:bCs/>
                <w:sz w:val="18"/>
                <w:szCs w:val="18"/>
                <w:lang w:val="en"/>
              </w:rPr>
            </w:pPr>
          </w:p>
        </w:tc>
      </w:tr>
      <w:tr w:rsidR="00E26BDD" w:rsidRPr="00D85277" w14:paraId="1BAC5139" w14:textId="77777777" w:rsidTr="0096436E">
        <w:trPr>
          <w:trHeight w:val="20"/>
          <w:jc w:val="center"/>
        </w:trPr>
        <w:tc>
          <w:tcPr>
            <w:tcW w:w="3554" w:type="dxa"/>
            <w:tcBorders>
              <w:top w:val="nil"/>
              <w:bottom w:val="nil"/>
            </w:tcBorders>
          </w:tcPr>
          <w:p w14:paraId="1236EE7F" w14:textId="40C7FA1C"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CD (</w:t>
            </w:r>
            <w:r w:rsidR="00156528" w:rsidRPr="00D85277">
              <w:rPr>
                <w:rFonts w:ascii="Arial" w:eastAsia="Times New Roman" w:hAnsi="Arial" w:cs="Arial"/>
                <w:bCs/>
                <w:sz w:val="18"/>
                <w:szCs w:val="18"/>
                <w:lang w:val="en"/>
              </w:rPr>
              <w:t>P</w:t>
            </w:r>
            <w:r w:rsidRPr="00D85277">
              <w:rPr>
                <w:rFonts w:ascii="Arial" w:eastAsia="Times New Roman" w:hAnsi="Arial" w:cs="Arial"/>
                <w:bCs/>
                <w:sz w:val="18"/>
                <w:szCs w:val="18"/>
                <w:lang w:val="en"/>
              </w:rPr>
              <w:t>=0.05)</w:t>
            </w:r>
          </w:p>
        </w:tc>
        <w:tc>
          <w:tcPr>
            <w:tcW w:w="1221" w:type="dxa"/>
            <w:tcBorders>
              <w:top w:val="nil"/>
              <w:bottom w:val="nil"/>
            </w:tcBorders>
          </w:tcPr>
          <w:p w14:paraId="606849E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2.07</w:t>
            </w:r>
          </w:p>
        </w:tc>
        <w:tc>
          <w:tcPr>
            <w:tcW w:w="1103" w:type="dxa"/>
            <w:tcBorders>
              <w:top w:val="nil"/>
              <w:bottom w:val="nil"/>
            </w:tcBorders>
          </w:tcPr>
          <w:p w14:paraId="1BE77BC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3.03</w:t>
            </w:r>
          </w:p>
        </w:tc>
        <w:tc>
          <w:tcPr>
            <w:tcW w:w="1104" w:type="dxa"/>
            <w:tcBorders>
              <w:top w:val="nil"/>
              <w:bottom w:val="nil"/>
            </w:tcBorders>
          </w:tcPr>
          <w:p w14:paraId="1A856EB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1.59</w:t>
            </w:r>
          </w:p>
        </w:tc>
        <w:tc>
          <w:tcPr>
            <w:tcW w:w="986" w:type="dxa"/>
            <w:tcBorders>
              <w:top w:val="nil"/>
              <w:bottom w:val="nil"/>
            </w:tcBorders>
          </w:tcPr>
          <w:p w14:paraId="0BF55D5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0.19</w:t>
            </w:r>
          </w:p>
        </w:tc>
        <w:tc>
          <w:tcPr>
            <w:tcW w:w="869" w:type="dxa"/>
            <w:tcBorders>
              <w:top w:val="nil"/>
              <w:bottom w:val="nil"/>
            </w:tcBorders>
          </w:tcPr>
          <w:p w14:paraId="5F0B8E6D" w14:textId="77777777" w:rsidR="00E26BDD" w:rsidRPr="00D85277" w:rsidRDefault="00E26BDD" w:rsidP="000B4699">
            <w:pPr>
              <w:rPr>
                <w:rFonts w:ascii="Arial" w:eastAsia="Times New Roman" w:hAnsi="Arial" w:cs="Arial"/>
                <w:bCs/>
                <w:sz w:val="18"/>
                <w:szCs w:val="18"/>
                <w:lang w:val="en"/>
              </w:rPr>
            </w:pPr>
          </w:p>
        </w:tc>
        <w:tc>
          <w:tcPr>
            <w:tcW w:w="986" w:type="dxa"/>
            <w:tcBorders>
              <w:top w:val="nil"/>
              <w:bottom w:val="nil"/>
            </w:tcBorders>
          </w:tcPr>
          <w:p w14:paraId="5963DD0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0.16</w:t>
            </w:r>
          </w:p>
        </w:tc>
        <w:tc>
          <w:tcPr>
            <w:tcW w:w="1104" w:type="dxa"/>
            <w:tcBorders>
              <w:top w:val="nil"/>
              <w:bottom w:val="nil"/>
            </w:tcBorders>
          </w:tcPr>
          <w:p w14:paraId="6723A29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2.13</w:t>
            </w:r>
          </w:p>
        </w:tc>
        <w:tc>
          <w:tcPr>
            <w:tcW w:w="825" w:type="dxa"/>
            <w:tcBorders>
              <w:top w:val="nil"/>
              <w:bottom w:val="nil"/>
            </w:tcBorders>
          </w:tcPr>
          <w:p w14:paraId="5D228D5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2.12</w:t>
            </w:r>
          </w:p>
        </w:tc>
        <w:tc>
          <w:tcPr>
            <w:tcW w:w="1260" w:type="dxa"/>
            <w:tcBorders>
              <w:top w:val="nil"/>
              <w:bottom w:val="nil"/>
            </w:tcBorders>
          </w:tcPr>
          <w:p w14:paraId="119646AA" w14:textId="77777777" w:rsidR="00E26BDD" w:rsidRPr="00D85277" w:rsidRDefault="00E26BDD" w:rsidP="000B4699">
            <w:pPr>
              <w:rPr>
                <w:rFonts w:ascii="Arial" w:eastAsia="Times New Roman" w:hAnsi="Arial" w:cs="Arial"/>
                <w:bCs/>
                <w:sz w:val="18"/>
                <w:szCs w:val="18"/>
                <w:lang w:val="en"/>
              </w:rPr>
            </w:pPr>
          </w:p>
        </w:tc>
        <w:tc>
          <w:tcPr>
            <w:tcW w:w="866" w:type="dxa"/>
            <w:tcBorders>
              <w:top w:val="nil"/>
              <w:bottom w:val="nil"/>
            </w:tcBorders>
          </w:tcPr>
          <w:p w14:paraId="4D21905E" w14:textId="77777777" w:rsidR="00E26BDD" w:rsidRPr="00D85277" w:rsidRDefault="00E26BDD" w:rsidP="000B4699">
            <w:pPr>
              <w:rPr>
                <w:rFonts w:ascii="Arial" w:eastAsia="Times New Roman" w:hAnsi="Arial" w:cs="Arial"/>
                <w:bCs/>
                <w:sz w:val="18"/>
                <w:szCs w:val="18"/>
                <w:lang w:val="en"/>
              </w:rPr>
            </w:pPr>
          </w:p>
        </w:tc>
      </w:tr>
      <w:tr w:rsidR="00E26BDD" w:rsidRPr="00D85277" w14:paraId="450465D9" w14:textId="77777777" w:rsidTr="0096436E">
        <w:trPr>
          <w:trHeight w:val="20"/>
          <w:jc w:val="center"/>
        </w:trPr>
        <w:tc>
          <w:tcPr>
            <w:tcW w:w="3554" w:type="dxa"/>
            <w:tcBorders>
              <w:top w:val="nil"/>
            </w:tcBorders>
          </w:tcPr>
          <w:p w14:paraId="3CB4C0D6"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CV (%)</w:t>
            </w:r>
          </w:p>
        </w:tc>
        <w:tc>
          <w:tcPr>
            <w:tcW w:w="1221" w:type="dxa"/>
            <w:tcBorders>
              <w:top w:val="nil"/>
            </w:tcBorders>
          </w:tcPr>
          <w:p w14:paraId="7D56B65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4.76</w:t>
            </w:r>
          </w:p>
        </w:tc>
        <w:tc>
          <w:tcPr>
            <w:tcW w:w="1103" w:type="dxa"/>
            <w:tcBorders>
              <w:top w:val="nil"/>
            </w:tcBorders>
          </w:tcPr>
          <w:p w14:paraId="029F322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2.82</w:t>
            </w:r>
          </w:p>
        </w:tc>
        <w:tc>
          <w:tcPr>
            <w:tcW w:w="1104" w:type="dxa"/>
            <w:tcBorders>
              <w:top w:val="nil"/>
            </w:tcBorders>
          </w:tcPr>
          <w:p w14:paraId="3054D64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4.40</w:t>
            </w:r>
          </w:p>
        </w:tc>
        <w:tc>
          <w:tcPr>
            <w:tcW w:w="986" w:type="dxa"/>
            <w:tcBorders>
              <w:top w:val="nil"/>
            </w:tcBorders>
          </w:tcPr>
          <w:p w14:paraId="41ACDA7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4.42</w:t>
            </w:r>
          </w:p>
        </w:tc>
        <w:tc>
          <w:tcPr>
            <w:tcW w:w="869" w:type="dxa"/>
            <w:tcBorders>
              <w:top w:val="nil"/>
            </w:tcBorders>
          </w:tcPr>
          <w:p w14:paraId="1F456644" w14:textId="77777777" w:rsidR="00E26BDD" w:rsidRPr="00D85277" w:rsidRDefault="00E26BDD" w:rsidP="000B4699">
            <w:pPr>
              <w:rPr>
                <w:rFonts w:ascii="Arial" w:eastAsia="Times New Roman" w:hAnsi="Arial" w:cs="Arial"/>
                <w:bCs/>
                <w:sz w:val="18"/>
                <w:szCs w:val="18"/>
                <w:lang w:val="en"/>
              </w:rPr>
            </w:pPr>
          </w:p>
        </w:tc>
        <w:tc>
          <w:tcPr>
            <w:tcW w:w="986" w:type="dxa"/>
            <w:tcBorders>
              <w:top w:val="nil"/>
            </w:tcBorders>
          </w:tcPr>
          <w:p w14:paraId="4470F52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0.42</w:t>
            </w:r>
          </w:p>
        </w:tc>
        <w:tc>
          <w:tcPr>
            <w:tcW w:w="1104" w:type="dxa"/>
            <w:tcBorders>
              <w:top w:val="nil"/>
            </w:tcBorders>
          </w:tcPr>
          <w:p w14:paraId="3C7A9B36"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1.98</w:t>
            </w:r>
          </w:p>
        </w:tc>
        <w:tc>
          <w:tcPr>
            <w:tcW w:w="825" w:type="dxa"/>
            <w:tcBorders>
              <w:top w:val="nil"/>
            </w:tcBorders>
          </w:tcPr>
          <w:p w14:paraId="46A1349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1.64</w:t>
            </w:r>
          </w:p>
        </w:tc>
        <w:tc>
          <w:tcPr>
            <w:tcW w:w="1260" w:type="dxa"/>
            <w:tcBorders>
              <w:top w:val="nil"/>
            </w:tcBorders>
          </w:tcPr>
          <w:p w14:paraId="316C6E9C" w14:textId="77777777" w:rsidR="00E26BDD" w:rsidRPr="00D85277" w:rsidRDefault="00E26BDD" w:rsidP="000B4699">
            <w:pPr>
              <w:rPr>
                <w:rFonts w:ascii="Arial" w:eastAsia="Times New Roman" w:hAnsi="Arial" w:cs="Arial"/>
                <w:bCs/>
                <w:sz w:val="18"/>
                <w:szCs w:val="18"/>
                <w:lang w:val="en"/>
              </w:rPr>
            </w:pPr>
          </w:p>
        </w:tc>
        <w:tc>
          <w:tcPr>
            <w:tcW w:w="866" w:type="dxa"/>
            <w:tcBorders>
              <w:top w:val="nil"/>
            </w:tcBorders>
          </w:tcPr>
          <w:p w14:paraId="27DC2F04" w14:textId="77777777" w:rsidR="00E26BDD" w:rsidRPr="00D85277" w:rsidRDefault="00E26BDD" w:rsidP="000B4699">
            <w:pPr>
              <w:rPr>
                <w:rFonts w:ascii="Arial" w:eastAsia="Times New Roman" w:hAnsi="Arial" w:cs="Arial"/>
                <w:bCs/>
                <w:sz w:val="18"/>
                <w:szCs w:val="18"/>
                <w:lang w:val="en"/>
              </w:rPr>
            </w:pPr>
          </w:p>
        </w:tc>
      </w:tr>
    </w:tbl>
    <w:p w14:paraId="0163421C" w14:textId="40389DFE" w:rsidR="00E26BDD" w:rsidRPr="00D85277" w:rsidRDefault="00E26BDD" w:rsidP="000B4699">
      <w:pPr>
        <w:spacing w:after="0" w:line="240" w:lineRule="auto"/>
        <w:jc w:val="center"/>
        <w:rPr>
          <w:rFonts w:ascii="Arial" w:eastAsia="Times New Roman" w:hAnsi="Arial" w:cs="Arial"/>
          <w:bCs/>
          <w:i/>
          <w:iCs/>
          <w:sz w:val="16"/>
          <w:szCs w:val="16"/>
          <w:lang w:val="en"/>
        </w:rPr>
      </w:pPr>
      <w:r w:rsidRPr="00D85277">
        <w:rPr>
          <w:rFonts w:ascii="Arial" w:eastAsia="Times New Roman" w:hAnsi="Arial" w:cs="Arial"/>
          <w:bCs/>
          <w:i/>
          <w:iCs/>
          <w:sz w:val="16"/>
          <w:szCs w:val="16"/>
          <w:lang w:val="en"/>
        </w:rPr>
        <w:t xml:space="preserve">DH: Deadhearts; Figures in parentheses are transformed values; NMC: number of millable canes; Same letter over parentheses means the results do not differ </w:t>
      </w:r>
      <w:r w:rsidR="0096436E" w:rsidRPr="00D85277">
        <w:rPr>
          <w:rFonts w:ascii="Arial" w:eastAsia="Times New Roman" w:hAnsi="Arial" w:cs="Arial"/>
          <w:bCs/>
          <w:i/>
          <w:iCs/>
          <w:sz w:val="16"/>
          <w:szCs w:val="16"/>
          <w:lang w:val="en"/>
        </w:rPr>
        <w:t>significantly.</w:t>
      </w:r>
    </w:p>
    <w:p w14:paraId="57EBCB44" w14:textId="77777777" w:rsidR="00E26BDD" w:rsidRPr="00D85277" w:rsidRDefault="00E26BDD" w:rsidP="000B4699">
      <w:pPr>
        <w:spacing w:after="0" w:line="240" w:lineRule="auto"/>
        <w:jc w:val="both"/>
        <w:rPr>
          <w:rFonts w:ascii="Arial" w:eastAsia="Times New Roman" w:hAnsi="Arial" w:cs="Arial"/>
          <w:bCs/>
          <w:sz w:val="20"/>
          <w:szCs w:val="20"/>
          <w:lang w:val="en"/>
        </w:rPr>
      </w:pPr>
    </w:p>
    <w:p w14:paraId="0BE1D828" w14:textId="463A1844" w:rsidR="00E26BDD" w:rsidRPr="00D85277" w:rsidRDefault="00736B45" w:rsidP="000B4699">
      <w:pPr>
        <w:spacing w:after="0" w:line="240" w:lineRule="auto"/>
        <w:jc w:val="center"/>
        <w:rPr>
          <w:rFonts w:ascii="Arial" w:eastAsia="Times New Roman" w:hAnsi="Arial" w:cs="Arial"/>
          <w:bCs/>
          <w:sz w:val="20"/>
          <w:szCs w:val="20"/>
          <w:lang w:val="en"/>
        </w:rPr>
      </w:pPr>
      <w:r w:rsidRPr="00D85277">
        <w:rPr>
          <w:rFonts w:ascii="Arial" w:eastAsia="Times New Roman" w:hAnsi="Arial" w:cs="Arial"/>
          <w:b/>
          <w:bCs/>
          <w:sz w:val="20"/>
          <w:szCs w:val="20"/>
          <w:lang w:val="en"/>
        </w:rPr>
        <w:t>Table 4. Assessment of yield losses due to borer pests and their management with different practices during 2023-24 to 2024-25 (Mean data)</w:t>
      </w:r>
    </w:p>
    <w:p w14:paraId="722E3D69" w14:textId="77777777" w:rsidR="00E26BDD" w:rsidRPr="00D85277" w:rsidRDefault="00E26BDD" w:rsidP="000B4699">
      <w:pPr>
        <w:spacing w:after="0" w:line="240" w:lineRule="auto"/>
        <w:jc w:val="both"/>
        <w:rPr>
          <w:rFonts w:ascii="Arial" w:eastAsia="Times New Roman" w:hAnsi="Arial" w:cs="Arial"/>
          <w:bCs/>
          <w:sz w:val="20"/>
          <w:szCs w:val="20"/>
          <w:lang w:val="en"/>
        </w:rPr>
      </w:pPr>
    </w:p>
    <w:tbl>
      <w:tblPr>
        <w:tblStyle w:val="TableGrid"/>
        <w:tblW w:w="4965"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1260"/>
        <w:gridCol w:w="1440"/>
        <w:gridCol w:w="990"/>
        <w:gridCol w:w="810"/>
        <w:gridCol w:w="810"/>
        <w:gridCol w:w="990"/>
        <w:gridCol w:w="990"/>
        <w:gridCol w:w="810"/>
        <w:gridCol w:w="1532"/>
        <w:gridCol w:w="1419"/>
        <w:gridCol w:w="621"/>
      </w:tblGrid>
      <w:tr w:rsidR="001D3E57" w:rsidRPr="00D85277" w14:paraId="47993091" w14:textId="77777777" w:rsidTr="00992E85">
        <w:trPr>
          <w:trHeight w:val="20"/>
          <w:jc w:val="center"/>
        </w:trPr>
        <w:tc>
          <w:tcPr>
            <w:tcW w:w="2398" w:type="dxa"/>
            <w:vMerge w:val="restart"/>
          </w:tcPr>
          <w:p w14:paraId="2FC3A21A"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Treatment</w:t>
            </w:r>
          </w:p>
        </w:tc>
        <w:tc>
          <w:tcPr>
            <w:tcW w:w="1260" w:type="dxa"/>
          </w:tcPr>
          <w:p w14:paraId="7F2E96A9"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Early shoot borer </w:t>
            </w:r>
          </w:p>
        </w:tc>
        <w:tc>
          <w:tcPr>
            <w:tcW w:w="2430" w:type="dxa"/>
            <w:gridSpan w:val="2"/>
          </w:tcPr>
          <w:p w14:paraId="3956BBB8"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Internode borer </w:t>
            </w:r>
          </w:p>
        </w:tc>
        <w:tc>
          <w:tcPr>
            <w:tcW w:w="810" w:type="dxa"/>
            <w:vMerge w:val="restart"/>
          </w:tcPr>
          <w:p w14:paraId="4F6C5217"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Cane length (m)</w:t>
            </w:r>
          </w:p>
        </w:tc>
        <w:tc>
          <w:tcPr>
            <w:tcW w:w="810" w:type="dxa"/>
            <w:vMerge w:val="restart"/>
          </w:tcPr>
          <w:p w14:paraId="09962ACE"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Cane weight (kg)</w:t>
            </w:r>
          </w:p>
        </w:tc>
        <w:tc>
          <w:tcPr>
            <w:tcW w:w="990" w:type="dxa"/>
            <w:vMerge w:val="restart"/>
          </w:tcPr>
          <w:p w14:paraId="60F4CA45"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Juice sucrose</w:t>
            </w:r>
          </w:p>
          <w:p w14:paraId="2A00A411"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w:t>
            </w:r>
          </w:p>
        </w:tc>
        <w:tc>
          <w:tcPr>
            <w:tcW w:w="990" w:type="dxa"/>
            <w:vMerge w:val="restart"/>
          </w:tcPr>
          <w:p w14:paraId="75A2E256"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NMC</w:t>
            </w:r>
          </w:p>
          <w:p w14:paraId="04D1E5FF"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(000’/ha)</w:t>
            </w:r>
          </w:p>
        </w:tc>
        <w:tc>
          <w:tcPr>
            <w:tcW w:w="810" w:type="dxa"/>
            <w:vMerge w:val="restart"/>
          </w:tcPr>
          <w:p w14:paraId="037118B8"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Cane yield (t/ha)</w:t>
            </w:r>
          </w:p>
        </w:tc>
        <w:tc>
          <w:tcPr>
            <w:tcW w:w="1532" w:type="dxa"/>
            <w:vMerge w:val="restart"/>
          </w:tcPr>
          <w:p w14:paraId="24CDFD59" w14:textId="139AB9D2" w:rsidR="00E26BDD" w:rsidRPr="00D85277" w:rsidRDefault="00E26BDD" w:rsidP="0096436E">
            <w:pPr>
              <w:ind w:right="-135"/>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Increase in </w:t>
            </w:r>
            <w:r w:rsidR="00992E85" w:rsidRPr="00D85277">
              <w:rPr>
                <w:rFonts w:ascii="Arial" w:eastAsia="Times New Roman" w:hAnsi="Arial" w:cs="Arial"/>
                <w:b/>
                <w:bCs/>
                <w:sz w:val="18"/>
                <w:szCs w:val="18"/>
                <w:lang w:val="en"/>
              </w:rPr>
              <w:t xml:space="preserve">  </w:t>
            </w:r>
            <w:r w:rsidRPr="00D85277">
              <w:rPr>
                <w:rFonts w:ascii="Arial" w:eastAsia="Times New Roman" w:hAnsi="Arial" w:cs="Arial"/>
                <w:b/>
                <w:bCs/>
                <w:sz w:val="18"/>
                <w:szCs w:val="18"/>
                <w:lang w:val="en"/>
              </w:rPr>
              <w:t>yield over unprotected control -T4 (%)</w:t>
            </w:r>
          </w:p>
        </w:tc>
        <w:tc>
          <w:tcPr>
            <w:tcW w:w="1419" w:type="dxa"/>
            <w:vMerge w:val="restart"/>
          </w:tcPr>
          <w:p w14:paraId="0D7D0325" w14:textId="77777777" w:rsidR="00E26BDD" w:rsidRPr="00D85277" w:rsidRDefault="00E26BDD" w:rsidP="0096436E">
            <w:pPr>
              <w:ind w:right="-137"/>
              <w:rPr>
                <w:rFonts w:ascii="Arial" w:eastAsia="Times New Roman" w:hAnsi="Arial" w:cs="Arial"/>
                <w:b/>
                <w:bCs/>
                <w:sz w:val="18"/>
                <w:szCs w:val="18"/>
                <w:lang w:val="en"/>
              </w:rPr>
            </w:pPr>
            <w:r w:rsidRPr="00D85277">
              <w:rPr>
                <w:rFonts w:ascii="Arial" w:eastAsia="Times New Roman" w:hAnsi="Arial" w:cs="Arial"/>
                <w:b/>
                <w:bCs/>
                <w:sz w:val="18"/>
                <w:szCs w:val="18"/>
                <w:lang w:val="en"/>
              </w:rPr>
              <w:t>Decrease over protected control-T3 (%)</w:t>
            </w:r>
          </w:p>
        </w:tc>
        <w:tc>
          <w:tcPr>
            <w:tcW w:w="621" w:type="dxa"/>
            <w:vMerge w:val="restart"/>
          </w:tcPr>
          <w:p w14:paraId="0FEE64AE"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BCR</w:t>
            </w:r>
          </w:p>
        </w:tc>
      </w:tr>
      <w:tr w:rsidR="001D3E57" w:rsidRPr="00D85277" w14:paraId="2959F4FF" w14:textId="77777777" w:rsidTr="00992E85">
        <w:trPr>
          <w:trHeight w:val="20"/>
          <w:jc w:val="center"/>
        </w:trPr>
        <w:tc>
          <w:tcPr>
            <w:tcW w:w="2398" w:type="dxa"/>
            <w:vMerge/>
            <w:tcBorders>
              <w:bottom w:val="single" w:sz="4" w:space="0" w:color="auto"/>
            </w:tcBorders>
          </w:tcPr>
          <w:p w14:paraId="5AE8FDD8" w14:textId="77777777" w:rsidR="00E26BDD" w:rsidRPr="00D85277" w:rsidRDefault="00E26BDD" w:rsidP="000B4699">
            <w:pPr>
              <w:rPr>
                <w:rFonts w:ascii="Arial" w:eastAsia="Times New Roman" w:hAnsi="Arial" w:cs="Arial"/>
                <w:b/>
                <w:bCs/>
                <w:sz w:val="18"/>
                <w:szCs w:val="18"/>
                <w:lang w:val="en"/>
              </w:rPr>
            </w:pPr>
          </w:p>
        </w:tc>
        <w:tc>
          <w:tcPr>
            <w:tcW w:w="1260" w:type="dxa"/>
            <w:tcBorders>
              <w:bottom w:val="single" w:sz="4" w:space="0" w:color="auto"/>
            </w:tcBorders>
          </w:tcPr>
          <w:p w14:paraId="375F3923"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Incidence </w:t>
            </w:r>
          </w:p>
          <w:p w14:paraId="5B1FBC3E"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DH)</w:t>
            </w:r>
          </w:p>
        </w:tc>
        <w:tc>
          <w:tcPr>
            <w:tcW w:w="1440" w:type="dxa"/>
            <w:tcBorders>
              <w:bottom w:val="single" w:sz="4" w:space="0" w:color="auto"/>
            </w:tcBorders>
          </w:tcPr>
          <w:p w14:paraId="656B3810" w14:textId="77777777" w:rsidR="00400E41"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Incidence </w:t>
            </w:r>
          </w:p>
          <w:p w14:paraId="6B859021" w14:textId="15CC9B3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w:t>
            </w:r>
          </w:p>
        </w:tc>
        <w:tc>
          <w:tcPr>
            <w:tcW w:w="990" w:type="dxa"/>
            <w:tcBorders>
              <w:bottom w:val="single" w:sz="4" w:space="0" w:color="auto"/>
            </w:tcBorders>
          </w:tcPr>
          <w:p w14:paraId="7DF73A9F" w14:textId="77777777" w:rsidR="00E26BDD" w:rsidRPr="00D85277" w:rsidRDefault="00E26BDD" w:rsidP="00400E41">
            <w:pPr>
              <w:ind w:right="-40"/>
              <w:rPr>
                <w:rFonts w:ascii="Arial" w:eastAsia="Times New Roman" w:hAnsi="Arial" w:cs="Arial"/>
                <w:b/>
                <w:bCs/>
                <w:sz w:val="18"/>
                <w:szCs w:val="18"/>
                <w:lang w:val="en"/>
              </w:rPr>
            </w:pPr>
            <w:r w:rsidRPr="00D85277">
              <w:rPr>
                <w:rFonts w:ascii="Arial" w:eastAsia="Times New Roman" w:hAnsi="Arial" w:cs="Arial"/>
                <w:b/>
                <w:bCs/>
                <w:sz w:val="18"/>
                <w:szCs w:val="18"/>
                <w:lang w:val="en"/>
              </w:rPr>
              <w:t>Intensity (%)</w:t>
            </w:r>
          </w:p>
        </w:tc>
        <w:tc>
          <w:tcPr>
            <w:tcW w:w="810" w:type="dxa"/>
            <w:vMerge/>
            <w:tcBorders>
              <w:bottom w:val="single" w:sz="4" w:space="0" w:color="auto"/>
            </w:tcBorders>
          </w:tcPr>
          <w:p w14:paraId="1090D0B0" w14:textId="77777777" w:rsidR="00E26BDD" w:rsidRPr="00D85277" w:rsidRDefault="00E26BDD" w:rsidP="000B4699">
            <w:pPr>
              <w:rPr>
                <w:rFonts w:ascii="Arial" w:eastAsia="Times New Roman" w:hAnsi="Arial" w:cs="Arial"/>
                <w:b/>
                <w:bCs/>
                <w:sz w:val="18"/>
                <w:szCs w:val="18"/>
                <w:lang w:val="en"/>
              </w:rPr>
            </w:pPr>
          </w:p>
        </w:tc>
        <w:tc>
          <w:tcPr>
            <w:tcW w:w="810" w:type="dxa"/>
            <w:vMerge/>
            <w:tcBorders>
              <w:bottom w:val="single" w:sz="4" w:space="0" w:color="auto"/>
            </w:tcBorders>
          </w:tcPr>
          <w:p w14:paraId="1EA2AB35" w14:textId="77777777" w:rsidR="00E26BDD" w:rsidRPr="00D85277" w:rsidRDefault="00E26BDD" w:rsidP="000B4699">
            <w:pPr>
              <w:rPr>
                <w:rFonts w:ascii="Arial" w:eastAsia="Times New Roman" w:hAnsi="Arial" w:cs="Arial"/>
                <w:b/>
                <w:bCs/>
                <w:sz w:val="18"/>
                <w:szCs w:val="18"/>
                <w:lang w:val="en"/>
              </w:rPr>
            </w:pPr>
          </w:p>
        </w:tc>
        <w:tc>
          <w:tcPr>
            <w:tcW w:w="990" w:type="dxa"/>
            <w:vMerge/>
            <w:tcBorders>
              <w:bottom w:val="single" w:sz="4" w:space="0" w:color="auto"/>
            </w:tcBorders>
          </w:tcPr>
          <w:p w14:paraId="618EDDBA" w14:textId="77777777" w:rsidR="00E26BDD" w:rsidRPr="00D85277" w:rsidRDefault="00E26BDD" w:rsidP="000B4699">
            <w:pPr>
              <w:rPr>
                <w:rFonts w:ascii="Arial" w:eastAsia="Times New Roman" w:hAnsi="Arial" w:cs="Arial"/>
                <w:b/>
                <w:bCs/>
                <w:sz w:val="18"/>
                <w:szCs w:val="18"/>
                <w:lang w:val="en"/>
              </w:rPr>
            </w:pPr>
          </w:p>
        </w:tc>
        <w:tc>
          <w:tcPr>
            <w:tcW w:w="990" w:type="dxa"/>
            <w:vMerge/>
            <w:tcBorders>
              <w:bottom w:val="single" w:sz="4" w:space="0" w:color="auto"/>
            </w:tcBorders>
          </w:tcPr>
          <w:p w14:paraId="40DD21BB" w14:textId="77777777" w:rsidR="00E26BDD" w:rsidRPr="00D85277" w:rsidRDefault="00E26BDD" w:rsidP="000B4699">
            <w:pPr>
              <w:rPr>
                <w:rFonts w:ascii="Arial" w:eastAsia="Times New Roman" w:hAnsi="Arial" w:cs="Arial"/>
                <w:b/>
                <w:bCs/>
                <w:sz w:val="18"/>
                <w:szCs w:val="18"/>
                <w:lang w:val="en"/>
              </w:rPr>
            </w:pPr>
          </w:p>
        </w:tc>
        <w:tc>
          <w:tcPr>
            <w:tcW w:w="810" w:type="dxa"/>
            <w:vMerge/>
            <w:tcBorders>
              <w:bottom w:val="single" w:sz="4" w:space="0" w:color="auto"/>
            </w:tcBorders>
          </w:tcPr>
          <w:p w14:paraId="7E63D1C1" w14:textId="77777777" w:rsidR="00E26BDD" w:rsidRPr="00D85277" w:rsidRDefault="00E26BDD" w:rsidP="000B4699">
            <w:pPr>
              <w:rPr>
                <w:rFonts w:ascii="Arial" w:eastAsia="Times New Roman" w:hAnsi="Arial" w:cs="Arial"/>
                <w:b/>
                <w:bCs/>
                <w:sz w:val="18"/>
                <w:szCs w:val="18"/>
                <w:lang w:val="en"/>
              </w:rPr>
            </w:pPr>
          </w:p>
        </w:tc>
        <w:tc>
          <w:tcPr>
            <w:tcW w:w="1532" w:type="dxa"/>
            <w:vMerge/>
            <w:tcBorders>
              <w:bottom w:val="single" w:sz="4" w:space="0" w:color="auto"/>
            </w:tcBorders>
          </w:tcPr>
          <w:p w14:paraId="5672DC9D" w14:textId="77777777" w:rsidR="00E26BDD" w:rsidRPr="00D85277" w:rsidRDefault="00E26BDD" w:rsidP="000B4699">
            <w:pPr>
              <w:rPr>
                <w:rFonts w:ascii="Arial" w:eastAsia="Times New Roman" w:hAnsi="Arial" w:cs="Arial"/>
                <w:b/>
                <w:bCs/>
                <w:sz w:val="18"/>
                <w:szCs w:val="18"/>
                <w:lang w:val="en"/>
              </w:rPr>
            </w:pPr>
          </w:p>
        </w:tc>
        <w:tc>
          <w:tcPr>
            <w:tcW w:w="1419" w:type="dxa"/>
            <w:vMerge/>
            <w:tcBorders>
              <w:bottom w:val="single" w:sz="4" w:space="0" w:color="auto"/>
            </w:tcBorders>
          </w:tcPr>
          <w:p w14:paraId="0F86447C" w14:textId="77777777" w:rsidR="00E26BDD" w:rsidRPr="00D85277" w:rsidRDefault="00E26BDD" w:rsidP="000B4699">
            <w:pPr>
              <w:rPr>
                <w:rFonts w:ascii="Arial" w:eastAsia="Times New Roman" w:hAnsi="Arial" w:cs="Arial"/>
                <w:b/>
                <w:bCs/>
                <w:sz w:val="18"/>
                <w:szCs w:val="18"/>
                <w:lang w:val="en"/>
              </w:rPr>
            </w:pPr>
          </w:p>
        </w:tc>
        <w:tc>
          <w:tcPr>
            <w:tcW w:w="621" w:type="dxa"/>
            <w:vMerge/>
            <w:tcBorders>
              <w:bottom w:val="single" w:sz="4" w:space="0" w:color="auto"/>
            </w:tcBorders>
          </w:tcPr>
          <w:p w14:paraId="2CFE0D88" w14:textId="77777777" w:rsidR="00E26BDD" w:rsidRPr="00D85277" w:rsidRDefault="00E26BDD" w:rsidP="000B4699">
            <w:pPr>
              <w:rPr>
                <w:rFonts w:ascii="Arial" w:eastAsia="Times New Roman" w:hAnsi="Arial" w:cs="Arial"/>
                <w:b/>
                <w:bCs/>
                <w:sz w:val="18"/>
                <w:szCs w:val="18"/>
                <w:lang w:val="en"/>
              </w:rPr>
            </w:pPr>
          </w:p>
        </w:tc>
      </w:tr>
      <w:tr w:rsidR="001D3E57" w:rsidRPr="00D85277" w14:paraId="6E932DEC" w14:textId="77777777" w:rsidTr="00992E85">
        <w:trPr>
          <w:trHeight w:val="20"/>
          <w:jc w:val="center"/>
        </w:trPr>
        <w:tc>
          <w:tcPr>
            <w:tcW w:w="2398" w:type="dxa"/>
            <w:tcBorders>
              <w:top w:val="single" w:sz="4" w:space="0" w:color="auto"/>
              <w:bottom w:val="single" w:sz="4" w:space="0" w:color="auto"/>
            </w:tcBorders>
          </w:tcPr>
          <w:p w14:paraId="7B18A543"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 xml:space="preserve">T1- Chemical Module </w:t>
            </w:r>
          </w:p>
          <w:p w14:paraId="7B88F83E" w14:textId="77777777" w:rsidR="00E26BDD" w:rsidRPr="00D85277" w:rsidRDefault="00E26BDD" w:rsidP="000B4699">
            <w:pPr>
              <w:rPr>
                <w:rFonts w:ascii="Arial" w:eastAsia="Times New Roman" w:hAnsi="Arial" w:cs="Arial"/>
                <w:bCs/>
                <w:sz w:val="18"/>
                <w:szCs w:val="18"/>
                <w:lang w:val="en"/>
              </w:rPr>
            </w:pPr>
          </w:p>
        </w:tc>
        <w:tc>
          <w:tcPr>
            <w:tcW w:w="1260" w:type="dxa"/>
            <w:tcBorders>
              <w:top w:val="single" w:sz="4" w:space="0" w:color="auto"/>
              <w:bottom w:val="single" w:sz="4" w:space="0" w:color="auto"/>
            </w:tcBorders>
          </w:tcPr>
          <w:p w14:paraId="50A85AE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11.75</w:t>
            </w:r>
            <w:r w:rsidRPr="00D85277">
              <w:rPr>
                <w:rFonts w:ascii="Arial" w:eastAsia="Times New Roman" w:hAnsi="Arial" w:cs="Arial"/>
                <w:bCs/>
                <w:sz w:val="18"/>
                <w:szCs w:val="18"/>
                <w:vertAlign w:val="superscript"/>
                <w:lang w:val="en"/>
              </w:rPr>
              <w:t>b</w:t>
            </w:r>
          </w:p>
          <w:p w14:paraId="65B558C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(20.02)</w:t>
            </w:r>
          </w:p>
        </w:tc>
        <w:tc>
          <w:tcPr>
            <w:tcW w:w="1440" w:type="dxa"/>
            <w:tcBorders>
              <w:top w:val="single" w:sz="4" w:space="0" w:color="auto"/>
              <w:bottom w:val="single" w:sz="4" w:space="0" w:color="auto"/>
            </w:tcBorders>
          </w:tcPr>
          <w:p w14:paraId="791B3E2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81.00</w:t>
            </w:r>
            <w:r w:rsidRPr="00D85277">
              <w:rPr>
                <w:rFonts w:ascii="Arial" w:eastAsia="Times New Roman" w:hAnsi="Arial" w:cs="Arial"/>
                <w:bCs/>
                <w:sz w:val="18"/>
                <w:szCs w:val="18"/>
                <w:vertAlign w:val="superscript"/>
                <w:lang w:val="en"/>
              </w:rPr>
              <w:t>c</w:t>
            </w:r>
          </w:p>
          <w:p w14:paraId="252C4E0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(64.14)</w:t>
            </w:r>
          </w:p>
        </w:tc>
        <w:tc>
          <w:tcPr>
            <w:tcW w:w="990" w:type="dxa"/>
            <w:tcBorders>
              <w:top w:val="single" w:sz="4" w:space="0" w:color="auto"/>
              <w:bottom w:val="single" w:sz="4" w:space="0" w:color="auto"/>
            </w:tcBorders>
          </w:tcPr>
          <w:p w14:paraId="2FBA907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11.95</w:t>
            </w:r>
            <w:r w:rsidRPr="00D85277">
              <w:rPr>
                <w:rFonts w:ascii="Arial" w:eastAsia="Times New Roman" w:hAnsi="Arial" w:cs="Arial"/>
                <w:bCs/>
                <w:sz w:val="18"/>
                <w:szCs w:val="18"/>
                <w:vertAlign w:val="superscript"/>
                <w:lang w:val="en"/>
              </w:rPr>
              <w:t>c</w:t>
            </w:r>
          </w:p>
          <w:p w14:paraId="23447C2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(20.02)</w:t>
            </w:r>
          </w:p>
        </w:tc>
        <w:tc>
          <w:tcPr>
            <w:tcW w:w="810" w:type="dxa"/>
            <w:tcBorders>
              <w:top w:val="single" w:sz="4" w:space="0" w:color="auto"/>
              <w:bottom w:val="single" w:sz="4" w:space="0" w:color="auto"/>
            </w:tcBorders>
          </w:tcPr>
          <w:p w14:paraId="155C692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2.50</w:t>
            </w:r>
            <w:r w:rsidRPr="00D85277">
              <w:rPr>
                <w:rFonts w:ascii="Arial" w:eastAsia="Times New Roman" w:hAnsi="Arial" w:cs="Arial"/>
                <w:bCs/>
                <w:sz w:val="18"/>
                <w:szCs w:val="18"/>
                <w:vertAlign w:val="superscript"/>
                <w:lang w:val="en"/>
              </w:rPr>
              <w:t>a</w:t>
            </w:r>
          </w:p>
        </w:tc>
        <w:tc>
          <w:tcPr>
            <w:tcW w:w="810" w:type="dxa"/>
            <w:tcBorders>
              <w:top w:val="single" w:sz="4" w:space="0" w:color="auto"/>
              <w:bottom w:val="single" w:sz="4" w:space="0" w:color="auto"/>
            </w:tcBorders>
          </w:tcPr>
          <w:p w14:paraId="153A7D0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90" w:type="dxa"/>
            <w:tcBorders>
              <w:top w:val="single" w:sz="4" w:space="0" w:color="auto"/>
              <w:bottom w:val="single" w:sz="4" w:space="0" w:color="auto"/>
            </w:tcBorders>
          </w:tcPr>
          <w:p w14:paraId="7FDAF4B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18.05</w:t>
            </w:r>
            <w:r w:rsidRPr="00D85277">
              <w:rPr>
                <w:rFonts w:ascii="Arial" w:eastAsia="Times New Roman" w:hAnsi="Arial" w:cs="Arial"/>
                <w:bCs/>
                <w:sz w:val="18"/>
                <w:szCs w:val="18"/>
                <w:vertAlign w:val="superscript"/>
                <w:lang w:val="en"/>
              </w:rPr>
              <w:t>b</w:t>
            </w:r>
          </w:p>
        </w:tc>
        <w:tc>
          <w:tcPr>
            <w:tcW w:w="990" w:type="dxa"/>
            <w:tcBorders>
              <w:top w:val="single" w:sz="4" w:space="0" w:color="auto"/>
              <w:bottom w:val="single" w:sz="4" w:space="0" w:color="auto"/>
            </w:tcBorders>
          </w:tcPr>
          <w:p w14:paraId="0DEB10C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70.13</w:t>
            </w:r>
            <w:r w:rsidRPr="00D85277">
              <w:rPr>
                <w:rFonts w:ascii="Arial" w:eastAsia="Times New Roman" w:hAnsi="Arial" w:cs="Arial"/>
                <w:bCs/>
                <w:sz w:val="18"/>
                <w:szCs w:val="18"/>
                <w:vertAlign w:val="superscript"/>
                <w:lang w:val="en"/>
              </w:rPr>
              <w:t>a</w:t>
            </w:r>
          </w:p>
        </w:tc>
        <w:tc>
          <w:tcPr>
            <w:tcW w:w="810" w:type="dxa"/>
            <w:tcBorders>
              <w:top w:val="single" w:sz="4" w:space="0" w:color="auto"/>
              <w:bottom w:val="single" w:sz="4" w:space="0" w:color="auto"/>
            </w:tcBorders>
          </w:tcPr>
          <w:p w14:paraId="0DEEBB1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84.14</w:t>
            </w:r>
            <w:r w:rsidRPr="00D85277">
              <w:rPr>
                <w:rFonts w:ascii="Arial" w:eastAsia="Times New Roman" w:hAnsi="Arial" w:cs="Arial"/>
                <w:bCs/>
                <w:sz w:val="18"/>
                <w:szCs w:val="18"/>
                <w:vertAlign w:val="superscript"/>
                <w:lang w:val="en"/>
              </w:rPr>
              <w:t>b</w:t>
            </w:r>
          </w:p>
        </w:tc>
        <w:tc>
          <w:tcPr>
            <w:tcW w:w="1532" w:type="dxa"/>
            <w:tcBorders>
              <w:top w:val="single" w:sz="4" w:space="0" w:color="auto"/>
              <w:bottom w:val="single" w:sz="4" w:space="0" w:color="auto"/>
            </w:tcBorders>
          </w:tcPr>
          <w:p w14:paraId="1A8D432B"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19.86</w:t>
            </w:r>
          </w:p>
        </w:tc>
        <w:tc>
          <w:tcPr>
            <w:tcW w:w="1419" w:type="dxa"/>
            <w:tcBorders>
              <w:top w:val="single" w:sz="4" w:space="0" w:color="auto"/>
              <w:bottom w:val="single" w:sz="4" w:space="0" w:color="auto"/>
            </w:tcBorders>
          </w:tcPr>
          <w:p w14:paraId="38569739" w14:textId="65C4D295" w:rsidR="00E26BDD" w:rsidRPr="00D85277" w:rsidRDefault="003D2BA0"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2.6</w:t>
            </w:r>
            <w:r w:rsidR="00842D76" w:rsidRPr="00D85277">
              <w:rPr>
                <w:rFonts w:ascii="Arial" w:eastAsia="Times New Roman" w:hAnsi="Arial" w:cs="Arial"/>
                <w:bCs/>
                <w:sz w:val="18"/>
                <w:szCs w:val="18"/>
                <w:lang w:val="en"/>
              </w:rPr>
              <w:t>2</w:t>
            </w:r>
          </w:p>
        </w:tc>
        <w:tc>
          <w:tcPr>
            <w:tcW w:w="621" w:type="dxa"/>
            <w:tcBorders>
              <w:top w:val="single" w:sz="4" w:space="0" w:color="auto"/>
              <w:bottom w:val="single" w:sz="4" w:space="0" w:color="auto"/>
            </w:tcBorders>
          </w:tcPr>
          <w:p w14:paraId="6CF42DE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2.69</w:t>
            </w:r>
          </w:p>
        </w:tc>
      </w:tr>
      <w:tr w:rsidR="001D3E57" w:rsidRPr="00D85277" w14:paraId="3F7DB0F4" w14:textId="77777777" w:rsidTr="00992E85">
        <w:trPr>
          <w:trHeight w:val="20"/>
          <w:jc w:val="center"/>
        </w:trPr>
        <w:tc>
          <w:tcPr>
            <w:tcW w:w="2398" w:type="dxa"/>
            <w:tcBorders>
              <w:top w:val="single" w:sz="4" w:space="0" w:color="auto"/>
              <w:bottom w:val="single" w:sz="4" w:space="0" w:color="auto"/>
            </w:tcBorders>
          </w:tcPr>
          <w:p w14:paraId="1F559991" w14:textId="1F97B44F"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T2-</w:t>
            </w:r>
            <w:r w:rsidR="00395C86" w:rsidRPr="00D85277">
              <w:rPr>
                <w:rFonts w:ascii="Arial" w:eastAsia="Times New Roman" w:hAnsi="Arial" w:cs="Arial"/>
                <w:b/>
                <w:bCs/>
                <w:sz w:val="18"/>
                <w:szCs w:val="18"/>
                <w:lang w:val="en"/>
              </w:rPr>
              <w:t>Nonchemical</w:t>
            </w:r>
            <w:r w:rsidRPr="00D85277">
              <w:rPr>
                <w:rFonts w:ascii="Arial" w:eastAsia="Times New Roman" w:hAnsi="Arial" w:cs="Arial"/>
                <w:b/>
                <w:bCs/>
                <w:sz w:val="18"/>
                <w:szCs w:val="18"/>
                <w:lang w:val="en"/>
              </w:rPr>
              <w:t xml:space="preserve"> module</w:t>
            </w:r>
          </w:p>
          <w:p w14:paraId="31F119A2" w14:textId="77777777" w:rsidR="00E26BDD" w:rsidRPr="00D85277" w:rsidRDefault="00E26BDD" w:rsidP="000B4699">
            <w:pPr>
              <w:rPr>
                <w:rFonts w:ascii="Arial" w:eastAsia="Times New Roman" w:hAnsi="Arial" w:cs="Arial"/>
                <w:bCs/>
                <w:sz w:val="18"/>
                <w:szCs w:val="18"/>
                <w:lang w:val="en"/>
              </w:rPr>
            </w:pPr>
          </w:p>
        </w:tc>
        <w:tc>
          <w:tcPr>
            <w:tcW w:w="1260" w:type="dxa"/>
            <w:tcBorders>
              <w:top w:val="single" w:sz="4" w:space="0" w:color="auto"/>
              <w:bottom w:val="single" w:sz="4" w:space="0" w:color="auto"/>
            </w:tcBorders>
          </w:tcPr>
          <w:p w14:paraId="09711A0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16.30</w:t>
            </w:r>
            <w:r w:rsidRPr="00D85277">
              <w:rPr>
                <w:rFonts w:ascii="Arial" w:eastAsia="Times New Roman" w:hAnsi="Arial" w:cs="Arial"/>
                <w:bCs/>
                <w:sz w:val="18"/>
                <w:szCs w:val="18"/>
                <w:vertAlign w:val="superscript"/>
                <w:lang w:val="en"/>
              </w:rPr>
              <w:t>c</w:t>
            </w:r>
          </w:p>
          <w:p w14:paraId="5300E8B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(23.80)</w:t>
            </w:r>
          </w:p>
        </w:tc>
        <w:tc>
          <w:tcPr>
            <w:tcW w:w="1440" w:type="dxa"/>
            <w:tcBorders>
              <w:top w:val="single" w:sz="4" w:space="0" w:color="auto"/>
              <w:bottom w:val="single" w:sz="4" w:space="0" w:color="auto"/>
            </w:tcBorders>
          </w:tcPr>
          <w:p w14:paraId="64EBC03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66.00</w:t>
            </w:r>
            <w:r w:rsidRPr="00D85277">
              <w:rPr>
                <w:rFonts w:ascii="Arial" w:eastAsia="Times New Roman" w:hAnsi="Arial" w:cs="Arial"/>
                <w:bCs/>
                <w:sz w:val="18"/>
                <w:szCs w:val="18"/>
                <w:vertAlign w:val="superscript"/>
                <w:lang w:val="en"/>
              </w:rPr>
              <w:t>b</w:t>
            </w:r>
          </w:p>
          <w:p w14:paraId="4338F53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(54.34)</w:t>
            </w:r>
          </w:p>
        </w:tc>
        <w:tc>
          <w:tcPr>
            <w:tcW w:w="990" w:type="dxa"/>
            <w:tcBorders>
              <w:top w:val="single" w:sz="4" w:space="0" w:color="auto"/>
              <w:bottom w:val="single" w:sz="4" w:space="0" w:color="auto"/>
            </w:tcBorders>
          </w:tcPr>
          <w:p w14:paraId="7B24EC0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11.65</w:t>
            </w:r>
            <w:r w:rsidRPr="00D85277">
              <w:rPr>
                <w:rFonts w:ascii="Arial" w:eastAsia="Times New Roman" w:hAnsi="Arial" w:cs="Arial"/>
                <w:bCs/>
                <w:sz w:val="18"/>
                <w:szCs w:val="18"/>
                <w:vertAlign w:val="superscript"/>
                <w:lang w:val="en"/>
              </w:rPr>
              <w:t>b</w:t>
            </w:r>
          </w:p>
          <w:p w14:paraId="5280356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(23.80)</w:t>
            </w:r>
          </w:p>
        </w:tc>
        <w:tc>
          <w:tcPr>
            <w:tcW w:w="810" w:type="dxa"/>
            <w:tcBorders>
              <w:top w:val="single" w:sz="4" w:space="0" w:color="auto"/>
              <w:bottom w:val="single" w:sz="4" w:space="0" w:color="auto"/>
            </w:tcBorders>
          </w:tcPr>
          <w:p w14:paraId="1B8D1D9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2.45</w:t>
            </w:r>
            <w:r w:rsidRPr="00D85277">
              <w:rPr>
                <w:rFonts w:ascii="Arial" w:eastAsia="Times New Roman" w:hAnsi="Arial" w:cs="Arial"/>
                <w:bCs/>
                <w:sz w:val="18"/>
                <w:szCs w:val="18"/>
                <w:vertAlign w:val="superscript"/>
                <w:lang w:val="en"/>
              </w:rPr>
              <w:t>a</w:t>
            </w:r>
          </w:p>
        </w:tc>
        <w:tc>
          <w:tcPr>
            <w:tcW w:w="810" w:type="dxa"/>
            <w:tcBorders>
              <w:top w:val="single" w:sz="4" w:space="0" w:color="auto"/>
              <w:bottom w:val="single" w:sz="4" w:space="0" w:color="auto"/>
            </w:tcBorders>
          </w:tcPr>
          <w:p w14:paraId="0FB5D32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90" w:type="dxa"/>
            <w:tcBorders>
              <w:top w:val="single" w:sz="4" w:space="0" w:color="auto"/>
              <w:bottom w:val="single" w:sz="4" w:space="0" w:color="auto"/>
            </w:tcBorders>
          </w:tcPr>
          <w:p w14:paraId="4D730F3B"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17.90</w:t>
            </w:r>
            <w:r w:rsidRPr="00D85277">
              <w:rPr>
                <w:rFonts w:ascii="Arial" w:eastAsia="Times New Roman" w:hAnsi="Arial" w:cs="Arial"/>
                <w:bCs/>
                <w:sz w:val="18"/>
                <w:szCs w:val="18"/>
                <w:vertAlign w:val="superscript"/>
                <w:lang w:val="en"/>
              </w:rPr>
              <w:t>c</w:t>
            </w:r>
          </w:p>
        </w:tc>
        <w:tc>
          <w:tcPr>
            <w:tcW w:w="990" w:type="dxa"/>
            <w:tcBorders>
              <w:top w:val="single" w:sz="4" w:space="0" w:color="auto"/>
              <w:bottom w:val="single" w:sz="4" w:space="0" w:color="auto"/>
            </w:tcBorders>
          </w:tcPr>
          <w:p w14:paraId="521C38E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68.34</w:t>
            </w:r>
            <w:r w:rsidRPr="00D85277">
              <w:rPr>
                <w:rFonts w:ascii="Arial" w:eastAsia="Times New Roman" w:hAnsi="Arial" w:cs="Arial"/>
                <w:bCs/>
                <w:sz w:val="18"/>
                <w:szCs w:val="18"/>
                <w:vertAlign w:val="superscript"/>
                <w:lang w:val="en"/>
              </w:rPr>
              <w:t>ab</w:t>
            </w:r>
          </w:p>
        </w:tc>
        <w:tc>
          <w:tcPr>
            <w:tcW w:w="810" w:type="dxa"/>
            <w:tcBorders>
              <w:top w:val="single" w:sz="4" w:space="0" w:color="auto"/>
              <w:bottom w:val="single" w:sz="4" w:space="0" w:color="auto"/>
            </w:tcBorders>
          </w:tcPr>
          <w:p w14:paraId="1FBEDF8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81.90</w:t>
            </w:r>
            <w:r w:rsidRPr="00D85277">
              <w:rPr>
                <w:rFonts w:ascii="Arial" w:eastAsia="Times New Roman" w:hAnsi="Arial" w:cs="Arial"/>
                <w:bCs/>
                <w:sz w:val="18"/>
                <w:szCs w:val="18"/>
                <w:vertAlign w:val="superscript"/>
                <w:lang w:val="en"/>
              </w:rPr>
              <w:t>c</w:t>
            </w:r>
          </w:p>
        </w:tc>
        <w:tc>
          <w:tcPr>
            <w:tcW w:w="1532" w:type="dxa"/>
            <w:tcBorders>
              <w:top w:val="single" w:sz="4" w:space="0" w:color="auto"/>
              <w:bottom w:val="single" w:sz="4" w:space="0" w:color="auto"/>
            </w:tcBorders>
          </w:tcPr>
          <w:p w14:paraId="789275C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16.67</w:t>
            </w:r>
          </w:p>
        </w:tc>
        <w:tc>
          <w:tcPr>
            <w:tcW w:w="1419" w:type="dxa"/>
            <w:tcBorders>
              <w:top w:val="single" w:sz="4" w:space="0" w:color="auto"/>
              <w:bottom w:val="single" w:sz="4" w:space="0" w:color="auto"/>
            </w:tcBorders>
          </w:tcPr>
          <w:p w14:paraId="25BCC8BB" w14:textId="198F9957" w:rsidR="00E26BDD" w:rsidRPr="00D85277" w:rsidRDefault="003D2BA0"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 xml:space="preserve">- </w:t>
            </w:r>
            <w:r w:rsidR="00E26BDD" w:rsidRPr="00D85277">
              <w:rPr>
                <w:rFonts w:ascii="Arial" w:eastAsia="Times New Roman" w:hAnsi="Arial" w:cs="Arial"/>
                <w:bCs/>
                <w:sz w:val="18"/>
                <w:szCs w:val="18"/>
                <w:lang w:val="en"/>
              </w:rPr>
              <w:t>5.21</w:t>
            </w:r>
          </w:p>
        </w:tc>
        <w:tc>
          <w:tcPr>
            <w:tcW w:w="621" w:type="dxa"/>
            <w:tcBorders>
              <w:top w:val="single" w:sz="4" w:space="0" w:color="auto"/>
              <w:bottom w:val="single" w:sz="4" w:space="0" w:color="auto"/>
            </w:tcBorders>
          </w:tcPr>
          <w:p w14:paraId="566D706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2.62</w:t>
            </w:r>
          </w:p>
        </w:tc>
      </w:tr>
      <w:tr w:rsidR="001D3E57" w:rsidRPr="00D85277" w14:paraId="3B840AF6" w14:textId="77777777" w:rsidTr="00992E85">
        <w:trPr>
          <w:trHeight w:val="20"/>
          <w:jc w:val="center"/>
        </w:trPr>
        <w:tc>
          <w:tcPr>
            <w:tcW w:w="2398" w:type="dxa"/>
            <w:tcBorders>
              <w:top w:val="single" w:sz="4" w:space="0" w:color="auto"/>
              <w:bottom w:val="single" w:sz="4" w:space="0" w:color="auto"/>
            </w:tcBorders>
          </w:tcPr>
          <w:p w14:paraId="4393D334" w14:textId="036F13B2" w:rsidR="00E26BDD" w:rsidRPr="00D85277" w:rsidRDefault="00E26BDD" w:rsidP="002C4533">
            <w:pPr>
              <w:rPr>
                <w:rFonts w:ascii="Arial" w:eastAsia="Times New Roman" w:hAnsi="Arial" w:cs="Arial"/>
                <w:bCs/>
                <w:sz w:val="18"/>
                <w:szCs w:val="18"/>
                <w:lang w:val="en"/>
              </w:rPr>
            </w:pPr>
            <w:r w:rsidRPr="00D85277">
              <w:rPr>
                <w:rFonts w:ascii="Arial" w:eastAsia="Times New Roman" w:hAnsi="Arial" w:cs="Arial"/>
                <w:b/>
                <w:bCs/>
                <w:sz w:val="18"/>
                <w:szCs w:val="18"/>
                <w:lang w:val="en"/>
              </w:rPr>
              <w:t>T3- IPM module</w:t>
            </w:r>
            <w:r w:rsidR="002C4533" w:rsidRPr="00D85277">
              <w:rPr>
                <w:rFonts w:ascii="Arial" w:eastAsia="Times New Roman" w:hAnsi="Arial" w:cs="Arial"/>
                <w:b/>
                <w:bCs/>
                <w:sz w:val="18"/>
                <w:szCs w:val="18"/>
                <w:lang w:val="en"/>
              </w:rPr>
              <w:t xml:space="preserve"> (</w:t>
            </w:r>
            <w:r w:rsidRPr="00D85277">
              <w:rPr>
                <w:rFonts w:ascii="Arial" w:eastAsia="Times New Roman" w:hAnsi="Arial" w:cs="Arial"/>
                <w:bCs/>
                <w:sz w:val="18"/>
                <w:szCs w:val="18"/>
                <w:lang w:val="en"/>
              </w:rPr>
              <w:t>T1+T2</w:t>
            </w:r>
            <w:r w:rsidR="002C4533" w:rsidRPr="00D85277">
              <w:rPr>
                <w:rFonts w:ascii="Arial" w:eastAsia="Times New Roman" w:hAnsi="Arial" w:cs="Arial"/>
                <w:bCs/>
                <w:sz w:val="18"/>
                <w:szCs w:val="18"/>
                <w:lang w:val="en"/>
              </w:rPr>
              <w:t>)</w:t>
            </w:r>
          </w:p>
        </w:tc>
        <w:tc>
          <w:tcPr>
            <w:tcW w:w="1260" w:type="dxa"/>
            <w:tcBorders>
              <w:top w:val="single" w:sz="4" w:space="0" w:color="auto"/>
              <w:bottom w:val="single" w:sz="4" w:space="0" w:color="auto"/>
            </w:tcBorders>
          </w:tcPr>
          <w:p w14:paraId="191A563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9.55</w:t>
            </w:r>
            <w:r w:rsidRPr="00D85277">
              <w:rPr>
                <w:rFonts w:ascii="Arial" w:eastAsia="Times New Roman" w:hAnsi="Arial" w:cs="Arial"/>
                <w:bCs/>
                <w:sz w:val="18"/>
                <w:szCs w:val="18"/>
                <w:vertAlign w:val="superscript"/>
                <w:lang w:val="en"/>
              </w:rPr>
              <w:t>a</w:t>
            </w:r>
          </w:p>
          <w:p w14:paraId="226A8480"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(17.99)</w:t>
            </w:r>
          </w:p>
        </w:tc>
        <w:tc>
          <w:tcPr>
            <w:tcW w:w="1440" w:type="dxa"/>
            <w:tcBorders>
              <w:top w:val="single" w:sz="4" w:space="0" w:color="auto"/>
              <w:bottom w:val="single" w:sz="4" w:space="0" w:color="auto"/>
            </w:tcBorders>
          </w:tcPr>
          <w:p w14:paraId="6B69FA6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53.25</w:t>
            </w:r>
            <w:r w:rsidRPr="00D85277">
              <w:rPr>
                <w:rFonts w:ascii="Arial" w:eastAsia="Times New Roman" w:hAnsi="Arial" w:cs="Arial"/>
                <w:bCs/>
                <w:sz w:val="18"/>
                <w:szCs w:val="18"/>
                <w:vertAlign w:val="superscript"/>
                <w:lang w:val="en"/>
              </w:rPr>
              <w:t>a</w:t>
            </w:r>
          </w:p>
          <w:p w14:paraId="5BB7AAA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(46.85)</w:t>
            </w:r>
          </w:p>
        </w:tc>
        <w:tc>
          <w:tcPr>
            <w:tcW w:w="990" w:type="dxa"/>
            <w:tcBorders>
              <w:top w:val="single" w:sz="4" w:space="0" w:color="auto"/>
              <w:bottom w:val="single" w:sz="4" w:space="0" w:color="auto"/>
            </w:tcBorders>
          </w:tcPr>
          <w:p w14:paraId="301A2707"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7.60</w:t>
            </w:r>
            <w:r w:rsidRPr="00D85277">
              <w:rPr>
                <w:rFonts w:ascii="Arial" w:eastAsia="Times New Roman" w:hAnsi="Arial" w:cs="Arial"/>
                <w:bCs/>
                <w:sz w:val="18"/>
                <w:szCs w:val="18"/>
                <w:vertAlign w:val="superscript"/>
                <w:lang w:val="en"/>
              </w:rPr>
              <w:t>a</w:t>
            </w:r>
          </w:p>
          <w:p w14:paraId="7657FC06"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(17.99)</w:t>
            </w:r>
          </w:p>
        </w:tc>
        <w:tc>
          <w:tcPr>
            <w:tcW w:w="810" w:type="dxa"/>
            <w:tcBorders>
              <w:top w:val="single" w:sz="4" w:space="0" w:color="auto"/>
              <w:bottom w:val="single" w:sz="4" w:space="0" w:color="auto"/>
            </w:tcBorders>
          </w:tcPr>
          <w:p w14:paraId="286C732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2.55</w:t>
            </w:r>
            <w:r w:rsidRPr="00D85277">
              <w:rPr>
                <w:rFonts w:ascii="Arial" w:eastAsia="Times New Roman" w:hAnsi="Arial" w:cs="Arial"/>
                <w:bCs/>
                <w:sz w:val="18"/>
                <w:szCs w:val="18"/>
                <w:vertAlign w:val="superscript"/>
                <w:lang w:val="en"/>
              </w:rPr>
              <w:t>a</w:t>
            </w:r>
          </w:p>
        </w:tc>
        <w:tc>
          <w:tcPr>
            <w:tcW w:w="810" w:type="dxa"/>
            <w:tcBorders>
              <w:top w:val="single" w:sz="4" w:space="0" w:color="auto"/>
              <w:bottom w:val="single" w:sz="4" w:space="0" w:color="auto"/>
            </w:tcBorders>
          </w:tcPr>
          <w:p w14:paraId="6389AA0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1.20</w:t>
            </w:r>
          </w:p>
        </w:tc>
        <w:tc>
          <w:tcPr>
            <w:tcW w:w="990" w:type="dxa"/>
            <w:tcBorders>
              <w:top w:val="single" w:sz="4" w:space="0" w:color="auto"/>
              <w:bottom w:val="single" w:sz="4" w:space="0" w:color="auto"/>
            </w:tcBorders>
          </w:tcPr>
          <w:p w14:paraId="334DB89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18.20</w:t>
            </w:r>
            <w:r w:rsidRPr="00D85277">
              <w:rPr>
                <w:rFonts w:ascii="Arial" w:eastAsia="Times New Roman" w:hAnsi="Arial" w:cs="Arial"/>
                <w:bCs/>
                <w:sz w:val="18"/>
                <w:szCs w:val="18"/>
                <w:vertAlign w:val="superscript"/>
                <w:lang w:val="en"/>
              </w:rPr>
              <w:t>a</w:t>
            </w:r>
          </w:p>
        </w:tc>
        <w:tc>
          <w:tcPr>
            <w:tcW w:w="990" w:type="dxa"/>
            <w:tcBorders>
              <w:top w:val="single" w:sz="4" w:space="0" w:color="auto"/>
              <w:bottom w:val="single" w:sz="4" w:space="0" w:color="auto"/>
            </w:tcBorders>
          </w:tcPr>
          <w:p w14:paraId="47AF936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72.00</w:t>
            </w:r>
            <w:r w:rsidRPr="00D85277">
              <w:rPr>
                <w:rFonts w:ascii="Arial" w:eastAsia="Times New Roman" w:hAnsi="Arial" w:cs="Arial"/>
                <w:bCs/>
                <w:sz w:val="18"/>
                <w:szCs w:val="18"/>
                <w:vertAlign w:val="superscript"/>
                <w:lang w:val="en"/>
              </w:rPr>
              <w:t>a</w:t>
            </w:r>
          </w:p>
        </w:tc>
        <w:tc>
          <w:tcPr>
            <w:tcW w:w="810" w:type="dxa"/>
            <w:tcBorders>
              <w:top w:val="single" w:sz="4" w:space="0" w:color="auto"/>
              <w:bottom w:val="single" w:sz="4" w:space="0" w:color="auto"/>
            </w:tcBorders>
          </w:tcPr>
          <w:p w14:paraId="35B7D89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86.40</w:t>
            </w:r>
            <w:r w:rsidRPr="00D85277">
              <w:rPr>
                <w:rFonts w:ascii="Arial" w:eastAsia="Times New Roman" w:hAnsi="Arial" w:cs="Arial"/>
                <w:bCs/>
                <w:sz w:val="18"/>
                <w:szCs w:val="18"/>
                <w:vertAlign w:val="superscript"/>
                <w:lang w:val="en"/>
              </w:rPr>
              <w:t>a</w:t>
            </w:r>
          </w:p>
        </w:tc>
        <w:tc>
          <w:tcPr>
            <w:tcW w:w="1532" w:type="dxa"/>
            <w:tcBorders>
              <w:top w:val="single" w:sz="4" w:space="0" w:color="auto"/>
              <w:bottom w:val="single" w:sz="4" w:space="0" w:color="auto"/>
            </w:tcBorders>
          </w:tcPr>
          <w:p w14:paraId="68FD462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23.08</w:t>
            </w:r>
          </w:p>
        </w:tc>
        <w:tc>
          <w:tcPr>
            <w:tcW w:w="1419" w:type="dxa"/>
            <w:tcBorders>
              <w:top w:val="single" w:sz="4" w:space="0" w:color="auto"/>
              <w:bottom w:val="single" w:sz="4" w:space="0" w:color="auto"/>
            </w:tcBorders>
          </w:tcPr>
          <w:p w14:paraId="5779984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w:t>
            </w:r>
          </w:p>
        </w:tc>
        <w:tc>
          <w:tcPr>
            <w:tcW w:w="621" w:type="dxa"/>
            <w:tcBorders>
              <w:top w:val="single" w:sz="4" w:space="0" w:color="auto"/>
              <w:bottom w:val="single" w:sz="4" w:space="0" w:color="auto"/>
            </w:tcBorders>
          </w:tcPr>
          <w:p w14:paraId="6ED34ED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2.73</w:t>
            </w:r>
          </w:p>
        </w:tc>
      </w:tr>
      <w:tr w:rsidR="001D3E57" w:rsidRPr="00D85277" w14:paraId="4CB9AC1C" w14:textId="77777777" w:rsidTr="00992E85">
        <w:trPr>
          <w:trHeight w:val="20"/>
          <w:jc w:val="center"/>
        </w:trPr>
        <w:tc>
          <w:tcPr>
            <w:tcW w:w="2398" w:type="dxa"/>
            <w:tcBorders>
              <w:top w:val="single" w:sz="4" w:space="0" w:color="auto"/>
              <w:bottom w:val="single" w:sz="4" w:space="0" w:color="auto"/>
            </w:tcBorders>
          </w:tcPr>
          <w:p w14:paraId="53A5413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
                <w:sz w:val="18"/>
                <w:szCs w:val="18"/>
                <w:lang w:val="en"/>
              </w:rPr>
              <w:t>T4-Unprotected control</w:t>
            </w:r>
          </w:p>
        </w:tc>
        <w:tc>
          <w:tcPr>
            <w:tcW w:w="1260" w:type="dxa"/>
            <w:tcBorders>
              <w:top w:val="single" w:sz="4" w:space="0" w:color="auto"/>
              <w:bottom w:val="single" w:sz="4" w:space="0" w:color="auto"/>
            </w:tcBorders>
          </w:tcPr>
          <w:p w14:paraId="05C44150"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33.32</w:t>
            </w:r>
            <w:r w:rsidRPr="00D85277">
              <w:rPr>
                <w:rFonts w:ascii="Arial" w:eastAsia="Times New Roman" w:hAnsi="Arial" w:cs="Arial"/>
                <w:bCs/>
                <w:sz w:val="18"/>
                <w:szCs w:val="18"/>
                <w:vertAlign w:val="superscript"/>
                <w:lang w:val="en"/>
              </w:rPr>
              <w:t>d</w:t>
            </w:r>
          </w:p>
          <w:p w14:paraId="550A5B7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(35.24)</w:t>
            </w:r>
          </w:p>
        </w:tc>
        <w:tc>
          <w:tcPr>
            <w:tcW w:w="1440" w:type="dxa"/>
            <w:tcBorders>
              <w:top w:val="single" w:sz="4" w:space="0" w:color="auto"/>
              <w:bottom w:val="single" w:sz="4" w:space="0" w:color="auto"/>
            </w:tcBorders>
          </w:tcPr>
          <w:p w14:paraId="096420C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100.00</w:t>
            </w:r>
            <w:r w:rsidRPr="00D85277">
              <w:rPr>
                <w:rFonts w:ascii="Arial" w:eastAsia="Times New Roman" w:hAnsi="Arial" w:cs="Arial"/>
                <w:bCs/>
                <w:sz w:val="18"/>
                <w:szCs w:val="18"/>
                <w:vertAlign w:val="superscript"/>
                <w:lang w:val="en"/>
              </w:rPr>
              <w:t>d</w:t>
            </w:r>
          </w:p>
          <w:p w14:paraId="61493FE3"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(90.0)</w:t>
            </w:r>
          </w:p>
        </w:tc>
        <w:tc>
          <w:tcPr>
            <w:tcW w:w="990" w:type="dxa"/>
            <w:tcBorders>
              <w:top w:val="single" w:sz="4" w:space="0" w:color="auto"/>
              <w:bottom w:val="single" w:sz="4" w:space="0" w:color="auto"/>
            </w:tcBorders>
          </w:tcPr>
          <w:p w14:paraId="5224D50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23.50</w:t>
            </w:r>
            <w:r w:rsidRPr="00D85277">
              <w:rPr>
                <w:rFonts w:ascii="Arial" w:eastAsia="Times New Roman" w:hAnsi="Arial" w:cs="Arial"/>
                <w:bCs/>
                <w:sz w:val="18"/>
                <w:szCs w:val="18"/>
                <w:vertAlign w:val="superscript"/>
                <w:lang w:val="en"/>
              </w:rPr>
              <w:t>d</w:t>
            </w:r>
          </w:p>
          <w:p w14:paraId="6A0C9CF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(35.24)</w:t>
            </w:r>
          </w:p>
        </w:tc>
        <w:tc>
          <w:tcPr>
            <w:tcW w:w="810" w:type="dxa"/>
            <w:tcBorders>
              <w:top w:val="single" w:sz="4" w:space="0" w:color="auto"/>
              <w:bottom w:val="single" w:sz="4" w:space="0" w:color="auto"/>
            </w:tcBorders>
          </w:tcPr>
          <w:p w14:paraId="00EFB25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2.00</w:t>
            </w:r>
            <w:r w:rsidRPr="00D85277">
              <w:rPr>
                <w:rFonts w:ascii="Arial" w:eastAsia="Times New Roman" w:hAnsi="Arial" w:cs="Arial"/>
                <w:bCs/>
                <w:sz w:val="18"/>
                <w:szCs w:val="18"/>
                <w:vertAlign w:val="superscript"/>
                <w:lang w:val="en"/>
              </w:rPr>
              <w:t>b</w:t>
            </w:r>
          </w:p>
        </w:tc>
        <w:tc>
          <w:tcPr>
            <w:tcW w:w="810" w:type="dxa"/>
            <w:tcBorders>
              <w:top w:val="single" w:sz="4" w:space="0" w:color="auto"/>
              <w:bottom w:val="single" w:sz="4" w:space="0" w:color="auto"/>
            </w:tcBorders>
          </w:tcPr>
          <w:p w14:paraId="069A577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1.15</w:t>
            </w:r>
          </w:p>
        </w:tc>
        <w:tc>
          <w:tcPr>
            <w:tcW w:w="990" w:type="dxa"/>
            <w:tcBorders>
              <w:top w:val="single" w:sz="4" w:space="0" w:color="auto"/>
              <w:bottom w:val="single" w:sz="4" w:space="0" w:color="auto"/>
            </w:tcBorders>
          </w:tcPr>
          <w:p w14:paraId="6A19C36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17.20</w:t>
            </w:r>
            <w:r w:rsidRPr="00D85277">
              <w:rPr>
                <w:rFonts w:ascii="Arial" w:eastAsia="Times New Roman" w:hAnsi="Arial" w:cs="Arial"/>
                <w:bCs/>
                <w:sz w:val="18"/>
                <w:szCs w:val="18"/>
                <w:vertAlign w:val="superscript"/>
                <w:lang w:val="en"/>
              </w:rPr>
              <w:t>d</w:t>
            </w:r>
          </w:p>
        </w:tc>
        <w:tc>
          <w:tcPr>
            <w:tcW w:w="990" w:type="dxa"/>
            <w:tcBorders>
              <w:top w:val="single" w:sz="4" w:space="0" w:color="auto"/>
              <w:bottom w:val="single" w:sz="4" w:space="0" w:color="auto"/>
            </w:tcBorders>
          </w:tcPr>
          <w:p w14:paraId="796AFA1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61.06</w:t>
            </w:r>
            <w:r w:rsidRPr="00D85277">
              <w:rPr>
                <w:rFonts w:ascii="Arial" w:eastAsia="Times New Roman" w:hAnsi="Arial" w:cs="Arial"/>
                <w:bCs/>
                <w:sz w:val="18"/>
                <w:szCs w:val="18"/>
                <w:vertAlign w:val="superscript"/>
                <w:lang w:val="en"/>
              </w:rPr>
              <w:t>b</w:t>
            </w:r>
          </w:p>
        </w:tc>
        <w:tc>
          <w:tcPr>
            <w:tcW w:w="810" w:type="dxa"/>
            <w:tcBorders>
              <w:top w:val="single" w:sz="4" w:space="0" w:color="auto"/>
              <w:bottom w:val="single" w:sz="4" w:space="0" w:color="auto"/>
            </w:tcBorders>
          </w:tcPr>
          <w:p w14:paraId="1809BFAB"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70.20</w:t>
            </w:r>
            <w:r w:rsidRPr="00D85277">
              <w:rPr>
                <w:rFonts w:ascii="Arial" w:eastAsia="Times New Roman" w:hAnsi="Arial" w:cs="Arial"/>
                <w:bCs/>
                <w:sz w:val="18"/>
                <w:szCs w:val="18"/>
                <w:vertAlign w:val="superscript"/>
                <w:lang w:val="en"/>
              </w:rPr>
              <w:t>d</w:t>
            </w:r>
          </w:p>
        </w:tc>
        <w:tc>
          <w:tcPr>
            <w:tcW w:w="1532" w:type="dxa"/>
            <w:tcBorders>
              <w:top w:val="single" w:sz="4" w:space="0" w:color="auto"/>
              <w:bottom w:val="single" w:sz="4" w:space="0" w:color="auto"/>
            </w:tcBorders>
          </w:tcPr>
          <w:p w14:paraId="490ABF4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
                <w:bCs/>
                <w:sz w:val="18"/>
                <w:szCs w:val="18"/>
                <w:lang w:val="en"/>
              </w:rPr>
              <w:t>-</w:t>
            </w:r>
          </w:p>
        </w:tc>
        <w:tc>
          <w:tcPr>
            <w:tcW w:w="1419" w:type="dxa"/>
            <w:tcBorders>
              <w:top w:val="single" w:sz="4" w:space="0" w:color="auto"/>
              <w:bottom w:val="single" w:sz="4" w:space="0" w:color="auto"/>
            </w:tcBorders>
          </w:tcPr>
          <w:p w14:paraId="3C594E4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-18.75</w:t>
            </w:r>
          </w:p>
        </w:tc>
        <w:tc>
          <w:tcPr>
            <w:tcW w:w="621" w:type="dxa"/>
            <w:tcBorders>
              <w:top w:val="single" w:sz="4" w:space="0" w:color="auto"/>
              <w:bottom w:val="single" w:sz="4" w:space="0" w:color="auto"/>
            </w:tcBorders>
          </w:tcPr>
          <w:p w14:paraId="491BDB52" w14:textId="621F7E7B" w:rsidR="00E26BDD" w:rsidRPr="00D85277" w:rsidRDefault="00B237B7"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1</w:t>
            </w:r>
            <w:r w:rsidR="009837E0" w:rsidRPr="00D85277">
              <w:rPr>
                <w:rFonts w:ascii="Arial" w:eastAsia="Times New Roman" w:hAnsi="Arial" w:cs="Arial"/>
                <w:bCs/>
                <w:sz w:val="18"/>
                <w:szCs w:val="18"/>
                <w:lang w:val="en"/>
              </w:rPr>
              <w:t>.</w:t>
            </w:r>
            <w:r w:rsidRPr="00D85277">
              <w:rPr>
                <w:rFonts w:ascii="Arial" w:eastAsia="Times New Roman" w:hAnsi="Arial" w:cs="Arial"/>
                <w:bCs/>
                <w:sz w:val="18"/>
                <w:szCs w:val="18"/>
                <w:lang w:val="en"/>
              </w:rPr>
              <w:t>8</w:t>
            </w:r>
            <w:r w:rsidR="009837E0" w:rsidRPr="00D85277">
              <w:rPr>
                <w:rFonts w:ascii="Arial" w:eastAsia="Times New Roman" w:hAnsi="Arial" w:cs="Arial"/>
                <w:bCs/>
                <w:sz w:val="18"/>
                <w:szCs w:val="18"/>
                <w:lang w:val="en"/>
              </w:rPr>
              <w:t>8</w:t>
            </w:r>
          </w:p>
        </w:tc>
      </w:tr>
      <w:tr w:rsidR="001D3E57" w:rsidRPr="00D85277" w14:paraId="0AB369FA" w14:textId="77777777" w:rsidTr="00992E85">
        <w:trPr>
          <w:trHeight w:val="20"/>
          <w:jc w:val="center"/>
        </w:trPr>
        <w:tc>
          <w:tcPr>
            <w:tcW w:w="2398" w:type="dxa"/>
            <w:tcBorders>
              <w:top w:val="single" w:sz="4" w:space="0" w:color="auto"/>
              <w:bottom w:val="single" w:sz="4" w:space="0" w:color="auto"/>
            </w:tcBorders>
          </w:tcPr>
          <w:p w14:paraId="0A0C876A"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F test</w:t>
            </w:r>
          </w:p>
        </w:tc>
        <w:tc>
          <w:tcPr>
            <w:tcW w:w="1260" w:type="dxa"/>
            <w:tcBorders>
              <w:top w:val="single" w:sz="4" w:space="0" w:color="auto"/>
              <w:bottom w:val="single" w:sz="4" w:space="0" w:color="auto"/>
            </w:tcBorders>
          </w:tcPr>
          <w:p w14:paraId="1DB3ADCC"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Sig.</w:t>
            </w:r>
          </w:p>
        </w:tc>
        <w:tc>
          <w:tcPr>
            <w:tcW w:w="1440" w:type="dxa"/>
            <w:tcBorders>
              <w:top w:val="single" w:sz="4" w:space="0" w:color="auto"/>
              <w:bottom w:val="single" w:sz="4" w:space="0" w:color="auto"/>
            </w:tcBorders>
          </w:tcPr>
          <w:p w14:paraId="111F3F1B"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Sig.</w:t>
            </w:r>
          </w:p>
        </w:tc>
        <w:tc>
          <w:tcPr>
            <w:tcW w:w="990" w:type="dxa"/>
            <w:tcBorders>
              <w:top w:val="single" w:sz="4" w:space="0" w:color="auto"/>
              <w:bottom w:val="single" w:sz="4" w:space="0" w:color="auto"/>
            </w:tcBorders>
          </w:tcPr>
          <w:p w14:paraId="76C4BA09"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Sig.</w:t>
            </w:r>
          </w:p>
        </w:tc>
        <w:tc>
          <w:tcPr>
            <w:tcW w:w="810" w:type="dxa"/>
            <w:tcBorders>
              <w:top w:val="single" w:sz="4" w:space="0" w:color="auto"/>
              <w:bottom w:val="single" w:sz="4" w:space="0" w:color="auto"/>
            </w:tcBorders>
          </w:tcPr>
          <w:p w14:paraId="7421D331"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NS</w:t>
            </w:r>
          </w:p>
        </w:tc>
        <w:tc>
          <w:tcPr>
            <w:tcW w:w="810" w:type="dxa"/>
            <w:tcBorders>
              <w:top w:val="single" w:sz="4" w:space="0" w:color="auto"/>
              <w:bottom w:val="single" w:sz="4" w:space="0" w:color="auto"/>
            </w:tcBorders>
          </w:tcPr>
          <w:p w14:paraId="50AFFC9B"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NS</w:t>
            </w:r>
          </w:p>
        </w:tc>
        <w:tc>
          <w:tcPr>
            <w:tcW w:w="990" w:type="dxa"/>
            <w:tcBorders>
              <w:top w:val="single" w:sz="4" w:space="0" w:color="auto"/>
              <w:bottom w:val="single" w:sz="4" w:space="0" w:color="auto"/>
            </w:tcBorders>
          </w:tcPr>
          <w:p w14:paraId="0A7A9F41"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Sig.</w:t>
            </w:r>
          </w:p>
        </w:tc>
        <w:tc>
          <w:tcPr>
            <w:tcW w:w="990" w:type="dxa"/>
            <w:tcBorders>
              <w:top w:val="single" w:sz="4" w:space="0" w:color="auto"/>
              <w:bottom w:val="single" w:sz="4" w:space="0" w:color="auto"/>
            </w:tcBorders>
          </w:tcPr>
          <w:p w14:paraId="1D3C2508"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Sig.</w:t>
            </w:r>
          </w:p>
        </w:tc>
        <w:tc>
          <w:tcPr>
            <w:tcW w:w="810" w:type="dxa"/>
            <w:tcBorders>
              <w:top w:val="single" w:sz="4" w:space="0" w:color="auto"/>
              <w:bottom w:val="single" w:sz="4" w:space="0" w:color="auto"/>
            </w:tcBorders>
          </w:tcPr>
          <w:p w14:paraId="27656206" w14:textId="77777777" w:rsidR="00E26BDD" w:rsidRPr="00D85277" w:rsidRDefault="00E26BDD" w:rsidP="000B4699">
            <w:pPr>
              <w:rPr>
                <w:rFonts w:ascii="Arial" w:eastAsia="Times New Roman" w:hAnsi="Arial" w:cs="Arial"/>
                <w:b/>
                <w:bCs/>
                <w:sz w:val="18"/>
                <w:szCs w:val="18"/>
                <w:lang w:val="en"/>
              </w:rPr>
            </w:pPr>
            <w:r w:rsidRPr="00D85277">
              <w:rPr>
                <w:rFonts w:ascii="Arial" w:eastAsia="Times New Roman" w:hAnsi="Arial" w:cs="Arial"/>
                <w:b/>
                <w:bCs/>
                <w:sz w:val="18"/>
                <w:szCs w:val="18"/>
                <w:lang w:val="en"/>
              </w:rPr>
              <w:t>Sig.</w:t>
            </w:r>
          </w:p>
        </w:tc>
        <w:tc>
          <w:tcPr>
            <w:tcW w:w="1532" w:type="dxa"/>
            <w:tcBorders>
              <w:top w:val="single" w:sz="4" w:space="0" w:color="auto"/>
              <w:bottom w:val="single" w:sz="4" w:space="0" w:color="auto"/>
            </w:tcBorders>
          </w:tcPr>
          <w:p w14:paraId="776E49E8" w14:textId="77777777" w:rsidR="00E26BDD" w:rsidRPr="00D85277" w:rsidRDefault="00E26BDD" w:rsidP="000B4699">
            <w:pPr>
              <w:rPr>
                <w:rFonts w:ascii="Arial" w:eastAsia="Times New Roman" w:hAnsi="Arial" w:cs="Arial"/>
                <w:b/>
                <w:bCs/>
                <w:sz w:val="18"/>
                <w:szCs w:val="18"/>
                <w:lang w:val="en"/>
              </w:rPr>
            </w:pPr>
          </w:p>
        </w:tc>
        <w:tc>
          <w:tcPr>
            <w:tcW w:w="1419" w:type="dxa"/>
            <w:tcBorders>
              <w:top w:val="single" w:sz="4" w:space="0" w:color="auto"/>
              <w:bottom w:val="single" w:sz="4" w:space="0" w:color="auto"/>
            </w:tcBorders>
          </w:tcPr>
          <w:p w14:paraId="5D163F4B" w14:textId="77777777" w:rsidR="00E26BDD" w:rsidRPr="00D85277" w:rsidRDefault="00E26BDD" w:rsidP="000B4699">
            <w:pPr>
              <w:rPr>
                <w:rFonts w:ascii="Arial" w:eastAsia="Times New Roman" w:hAnsi="Arial" w:cs="Arial"/>
                <w:b/>
                <w:bCs/>
                <w:sz w:val="18"/>
                <w:szCs w:val="18"/>
                <w:lang w:val="en"/>
              </w:rPr>
            </w:pPr>
          </w:p>
        </w:tc>
        <w:tc>
          <w:tcPr>
            <w:tcW w:w="621" w:type="dxa"/>
            <w:tcBorders>
              <w:top w:val="single" w:sz="4" w:space="0" w:color="auto"/>
              <w:bottom w:val="single" w:sz="4" w:space="0" w:color="auto"/>
            </w:tcBorders>
          </w:tcPr>
          <w:p w14:paraId="3986FD62" w14:textId="77777777" w:rsidR="00E26BDD" w:rsidRPr="00D85277" w:rsidRDefault="00E26BDD" w:rsidP="000B4699">
            <w:pPr>
              <w:rPr>
                <w:rFonts w:ascii="Arial" w:eastAsia="Times New Roman" w:hAnsi="Arial" w:cs="Arial"/>
                <w:b/>
                <w:bCs/>
                <w:sz w:val="18"/>
                <w:szCs w:val="18"/>
                <w:lang w:val="en"/>
              </w:rPr>
            </w:pPr>
          </w:p>
        </w:tc>
      </w:tr>
      <w:tr w:rsidR="001D3E57" w:rsidRPr="00D85277" w14:paraId="51E4AC03" w14:textId="77777777" w:rsidTr="00992E85">
        <w:trPr>
          <w:trHeight w:val="20"/>
          <w:jc w:val="center"/>
        </w:trPr>
        <w:tc>
          <w:tcPr>
            <w:tcW w:w="2398" w:type="dxa"/>
            <w:tcBorders>
              <w:top w:val="single" w:sz="4" w:space="0" w:color="auto"/>
            </w:tcBorders>
          </w:tcPr>
          <w:p w14:paraId="1FF55957" w14:textId="3A66D1CF" w:rsidR="00E26BDD" w:rsidRPr="00D85277" w:rsidRDefault="00E26BDD" w:rsidP="000B4699">
            <w:pPr>
              <w:rPr>
                <w:rFonts w:ascii="Arial" w:eastAsia="Times New Roman" w:hAnsi="Arial" w:cs="Arial"/>
                <w:bCs/>
                <w:sz w:val="18"/>
                <w:szCs w:val="18"/>
                <w:lang w:val="en"/>
              </w:rPr>
            </w:pPr>
            <w:proofErr w:type="spellStart"/>
            <w:r w:rsidRPr="00D85277">
              <w:rPr>
                <w:rFonts w:ascii="Arial" w:eastAsia="Times New Roman" w:hAnsi="Arial" w:cs="Arial"/>
                <w:bCs/>
                <w:sz w:val="18"/>
                <w:szCs w:val="18"/>
                <w:lang w:val="en"/>
              </w:rPr>
              <w:t>S</w:t>
            </w:r>
            <w:r w:rsidR="000C74D2" w:rsidRPr="00D85277">
              <w:rPr>
                <w:rFonts w:ascii="Arial" w:eastAsia="Times New Roman" w:hAnsi="Arial" w:cs="Arial"/>
                <w:bCs/>
                <w:sz w:val="18"/>
                <w:szCs w:val="18"/>
                <w:lang w:val="en"/>
              </w:rPr>
              <w:t>.</w:t>
            </w:r>
            <w:r w:rsidR="00E33AE0" w:rsidRPr="00D85277">
              <w:rPr>
                <w:rFonts w:ascii="Arial" w:eastAsia="Times New Roman" w:hAnsi="Arial" w:cs="Arial"/>
                <w:bCs/>
                <w:sz w:val="18"/>
                <w:szCs w:val="18"/>
                <w:lang w:val="en"/>
              </w:rPr>
              <w:t>E</w:t>
            </w:r>
            <w:r w:rsidRPr="00D85277">
              <w:rPr>
                <w:rFonts w:ascii="Arial" w:eastAsia="Times New Roman" w:hAnsi="Arial" w:cs="Arial"/>
                <w:bCs/>
                <w:sz w:val="18"/>
                <w:szCs w:val="18"/>
                <w:lang w:val="en"/>
              </w:rPr>
              <w:t>m</w:t>
            </w:r>
            <w:proofErr w:type="spellEnd"/>
            <w:r w:rsidR="000C74D2" w:rsidRPr="00D85277">
              <w:rPr>
                <w:rFonts w:ascii="Arial" w:eastAsia="Times New Roman" w:hAnsi="Arial" w:cs="Arial"/>
                <w:bCs/>
                <w:sz w:val="18"/>
                <w:szCs w:val="18"/>
                <w:lang w:val="en"/>
              </w:rPr>
              <w:t xml:space="preserve"> (±)</w:t>
            </w:r>
          </w:p>
        </w:tc>
        <w:tc>
          <w:tcPr>
            <w:tcW w:w="1260" w:type="dxa"/>
            <w:tcBorders>
              <w:top w:val="single" w:sz="4" w:space="0" w:color="auto"/>
            </w:tcBorders>
          </w:tcPr>
          <w:p w14:paraId="227116F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0.28</w:t>
            </w:r>
          </w:p>
        </w:tc>
        <w:tc>
          <w:tcPr>
            <w:tcW w:w="1440" w:type="dxa"/>
            <w:tcBorders>
              <w:top w:val="single" w:sz="4" w:space="0" w:color="auto"/>
            </w:tcBorders>
          </w:tcPr>
          <w:p w14:paraId="678A58E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0.78</w:t>
            </w:r>
          </w:p>
        </w:tc>
        <w:tc>
          <w:tcPr>
            <w:tcW w:w="990" w:type="dxa"/>
            <w:tcBorders>
              <w:top w:val="single" w:sz="4" w:space="0" w:color="auto"/>
            </w:tcBorders>
          </w:tcPr>
          <w:p w14:paraId="4181234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0.28</w:t>
            </w:r>
          </w:p>
        </w:tc>
        <w:tc>
          <w:tcPr>
            <w:tcW w:w="810" w:type="dxa"/>
            <w:tcBorders>
              <w:top w:val="single" w:sz="4" w:space="0" w:color="auto"/>
            </w:tcBorders>
          </w:tcPr>
          <w:p w14:paraId="12325B31"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0.05</w:t>
            </w:r>
          </w:p>
        </w:tc>
        <w:tc>
          <w:tcPr>
            <w:tcW w:w="810" w:type="dxa"/>
            <w:tcBorders>
              <w:top w:val="single" w:sz="4" w:space="0" w:color="auto"/>
            </w:tcBorders>
          </w:tcPr>
          <w:p w14:paraId="30E133D4" w14:textId="77777777" w:rsidR="00E26BDD" w:rsidRPr="00D85277" w:rsidRDefault="00E26BDD" w:rsidP="000B4699">
            <w:pPr>
              <w:rPr>
                <w:rFonts w:ascii="Arial" w:eastAsia="Times New Roman" w:hAnsi="Arial" w:cs="Arial"/>
                <w:bCs/>
                <w:sz w:val="18"/>
                <w:szCs w:val="18"/>
                <w:lang w:val="en"/>
              </w:rPr>
            </w:pPr>
          </w:p>
        </w:tc>
        <w:tc>
          <w:tcPr>
            <w:tcW w:w="990" w:type="dxa"/>
            <w:tcBorders>
              <w:top w:val="single" w:sz="4" w:space="0" w:color="auto"/>
            </w:tcBorders>
          </w:tcPr>
          <w:p w14:paraId="4A8E1B5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0.05</w:t>
            </w:r>
          </w:p>
        </w:tc>
        <w:tc>
          <w:tcPr>
            <w:tcW w:w="990" w:type="dxa"/>
            <w:tcBorders>
              <w:top w:val="single" w:sz="4" w:space="0" w:color="auto"/>
            </w:tcBorders>
          </w:tcPr>
          <w:p w14:paraId="48BCA656"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0.94</w:t>
            </w:r>
          </w:p>
        </w:tc>
        <w:tc>
          <w:tcPr>
            <w:tcW w:w="810" w:type="dxa"/>
            <w:tcBorders>
              <w:top w:val="single" w:sz="4" w:space="0" w:color="auto"/>
            </w:tcBorders>
          </w:tcPr>
          <w:p w14:paraId="08460C22"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0.29</w:t>
            </w:r>
          </w:p>
        </w:tc>
        <w:tc>
          <w:tcPr>
            <w:tcW w:w="1532" w:type="dxa"/>
            <w:tcBorders>
              <w:top w:val="single" w:sz="4" w:space="0" w:color="auto"/>
            </w:tcBorders>
          </w:tcPr>
          <w:p w14:paraId="024C347F" w14:textId="77777777" w:rsidR="00E26BDD" w:rsidRPr="00D85277" w:rsidRDefault="00E26BDD" w:rsidP="000B4699">
            <w:pPr>
              <w:rPr>
                <w:rFonts w:ascii="Arial" w:eastAsia="Times New Roman" w:hAnsi="Arial" w:cs="Arial"/>
                <w:bCs/>
                <w:sz w:val="18"/>
                <w:szCs w:val="18"/>
                <w:lang w:val="en"/>
              </w:rPr>
            </w:pPr>
          </w:p>
        </w:tc>
        <w:tc>
          <w:tcPr>
            <w:tcW w:w="1419" w:type="dxa"/>
            <w:tcBorders>
              <w:top w:val="single" w:sz="4" w:space="0" w:color="auto"/>
            </w:tcBorders>
          </w:tcPr>
          <w:p w14:paraId="40868BD5" w14:textId="77777777" w:rsidR="00E26BDD" w:rsidRPr="00D85277" w:rsidRDefault="00E26BDD" w:rsidP="000B4699">
            <w:pPr>
              <w:rPr>
                <w:rFonts w:ascii="Arial" w:eastAsia="Times New Roman" w:hAnsi="Arial" w:cs="Arial"/>
                <w:bCs/>
                <w:sz w:val="18"/>
                <w:szCs w:val="18"/>
                <w:lang w:val="en"/>
              </w:rPr>
            </w:pPr>
          </w:p>
        </w:tc>
        <w:tc>
          <w:tcPr>
            <w:tcW w:w="621" w:type="dxa"/>
            <w:tcBorders>
              <w:top w:val="single" w:sz="4" w:space="0" w:color="auto"/>
            </w:tcBorders>
          </w:tcPr>
          <w:p w14:paraId="04AF3DDB" w14:textId="77777777" w:rsidR="00E26BDD" w:rsidRPr="00D85277" w:rsidRDefault="00E26BDD" w:rsidP="000B4699">
            <w:pPr>
              <w:rPr>
                <w:rFonts w:ascii="Arial" w:eastAsia="Times New Roman" w:hAnsi="Arial" w:cs="Arial"/>
                <w:bCs/>
                <w:sz w:val="18"/>
                <w:szCs w:val="18"/>
                <w:lang w:val="en"/>
              </w:rPr>
            </w:pPr>
          </w:p>
        </w:tc>
      </w:tr>
      <w:tr w:rsidR="001D3E57" w:rsidRPr="00D85277" w14:paraId="2F266C57" w14:textId="77777777" w:rsidTr="00992E85">
        <w:trPr>
          <w:trHeight w:val="20"/>
          <w:jc w:val="center"/>
        </w:trPr>
        <w:tc>
          <w:tcPr>
            <w:tcW w:w="2398" w:type="dxa"/>
          </w:tcPr>
          <w:p w14:paraId="4CA7C46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CD  (P = 0.05)</w:t>
            </w:r>
          </w:p>
        </w:tc>
        <w:tc>
          <w:tcPr>
            <w:tcW w:w="1260" w:type="dxa"/>
          </w:tcPr>
          <w:p w14:paraId="5B27ABE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0.91</w:t>
            </w:r>
          </w:p>
        </w:tc>
        <w:tc>
          <w:tcPr>
            <w:tcW w:w="1440" w:type="dxa"/>
          </w:tcPr>
          <w:p w14:paraId="1BFA344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2.53</w:t>
            </w:r>
          </w:p>
        </w:tc>
        <w:tc>
          <w:tcPr>
            <w:tcW w:w="990" w:type="dxa"/>
          </w:tcPr>
          <w:p w14:paraId="68B54C1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0.91</w:t>
            </w:r>
          </w:p>
        </w:tc>
        <w:tc>
          <w:tcPr>
            <w:tcW w:w="810" w:type="dxa"/>
          </w:tcPr>
          <w:p w14:paraId="0E34A0DE"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0.16</w:t>
            </w:r>
          </w:p>
        </w:tc>
        <w:tc>
          <w:tcPr>
            <w:tcW w:w="810" w:type="dxa"/>
          </w:tcPr>
          <w:p w14:paraId="140C12F5" w14:textId="77777777" w:rsidR="00E26BDD" w:rsidRPr="00D85277" w:rsidRDefault="00E26BDD" w:rsidP="000B4699">
            <w:pPr>
              <w:rPr>
                <w:rFonts w:ascii="Arial" w:eastAsia="Times New Roman" w:hAnsi="Arial" w:cs="Arial"/>
                <w:bCs/>
                <w:sz w:val="18"/>
                <w:szCs w:val="18"/>
                <w:lang w:val="en"/>
              </w:rPr>
            </w:pPr>
          </w:p>
        </w:tc>
        <w:tc>
          <w:tcPr>
            <w:tcW w:w="990" w:type="dxa"/>
          </w:tcPr>
          <w:p w14:paraId="2E3FFE39"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0.17</w:t>
            </w:r>
          </w:p>
        </w:tc>
        <w:tc>
          <w:tcPr>
            <w:tcW w:w="990" w:type="dxa"/>
          </w:tcPr>
          <w:p w14:paraId="6808938A"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3.03</w:t>
            </w:r>
          </w:p>
        </w:tc>
        <w:tc>
          <w:tcPr>
            <w:tcW w:w="810" w:type="dxa"/>
          </w:tcPr>
          <w:p w14:paraId="2C11163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0.95</w:t>
            </w:r>
          </w:p>
        </w:tc>
        <w:tc>
          <w:tcPr>
            <w:tcW w:w="1532" w:type="dxa"/>
          </w:tcPr>
          <w:p w14:paraId="268ED45D" w14:textId="77777777" w:rsidR="00E26BDD" w:rsidRPr="00D85277" w:rsidRDefault="00E26BDD" w:rsidP="000B4699">
            <w:pPr>
              <w:rPr>
                <w:rFonts w:ascii="Arial" w:eastAsia="Times New Roman" w:hAnsi="Arial" w:cs="Arial"/>
                <w:bCs/>
                <w:sz w:val="18"/>
                <w:szCs w:val="18"/>
                <w:lang w:val="en"/>
              </w:rPr>
            </w:pPr>
          </w:p>
        </w:tc>
        <w:tc>
          <w:tcPr>
            <w:tcW w:w="1419" w:type="dxa"/>
          </w:tcPr>
          <w:p w14:paraId="5075C216" w14:textId="77777777" w:rsidR="00E26BDD" w:rsidRPr="00D85277" w:rsidRDefault="00E26BDD" w:rsidP="000B4699">
            <w:pPr>
              <w:rPr>
                <w:rFonts w:ascii="Arial" w:eastAsia="Times New Roman" w:hAnsi="Arial" w:cs="Arial"/>
                <w:bCs/>
                <w:sz w:val="18"/>
                <w:szCs w:val="18"/>
                <w:lang w:val="en"/>
              </w:rPr>
            </w:pPr>
          </w:p>
        </w:tc>
        <w:tc>
          <w:tcPr>
            <w:tcW w:w="621" w:type="dxa"/>
          </w:tcPr>
          <w:p w14:paraId="50A398B6" w14:textId="77777777" w:rsidR="00E26BDD" w:rsidRPr="00D85277" w:rsidRDefault="00E26BDD" w:rsidP="000B4699">
            <w:pPr>
              <w:rPr>
                <w:rFonts w:ascii="Arial" w:eastAsia="Times New Roman" w:hAnsi="Arial" w:cs="Arial"/>
                <w:bCs/>
                <w:sz w:val="18"/>
                <w:szCs w:val="18"/>
                <w:lang w:val="en"/>
              </w:rPr>
            </w:pPr>
          </w:p>
        </w:tc>
      </w:tr>
      <w:tr w:rsidR="001D3E57" w:rsidRPr="00D85277" w14:paraId="22EC6A7F" w14:textId="77777777" w:rsidTr="00992E85">
        <w:trPr>
          <w:trHeight w:val="20"/>
          <w:jc w:val="center"/>
        </w:trPr>
        <w:tc>
          <w:tcPr>
            <w:tcW w:w="2398" w:type="dxa"/>
          </w:tcPr>
          <w:p w14:paraId="7017007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CV (%)</w:t>
            </w:r>
          </w:p>
        </w:tc>
        <w:tc>
          <w:tcPr>
            <w:tcW w:w="1260" w:type="dxa"/>
          </w:tcPr>
          <w:p w14:paraId="3D7AFF7F"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2.32</w:t>
            </w:r>
          </w:p>
        </w:tc>
        <w:tc>
          <w:tcPr>
            <w:tcW w:w="1440" w:type="dxa"/>
          </w:tcPr>
          <w:p w14:paraId="32A8929D"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2.44</w:t>
            </w:r>
          </w:p>
        </w:tc>
        <w:tc>
          <w:tcPr>
            <w:tcW w:w="990" w:type="dxa"/>
          </w:tcPr>
          <w:p w14:paraId="080D64F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0.39</w:t>
            </w:r>
          </w:p>
        </w:tc>
        <w:tc>
          <w:tcPr>
            <w:tcW w:w="810" w:type="dxa"/>
          </w:tcPr>
          <w:p w14:paraId="04E6CF44"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4.09</w:t>
            </w:r>
          </w:p>
        </w:tc>
        <w:tc>
          <w:tcPr>
            <w:tcW w:w="810" w:type="dxa"/>
          </w:tcPr>
          <w:p w14:paraId="25AA2963" w14:textId="77777777" w:rsidR="00E26BDD" w:rsidRPr="00D85277" w:rsidRDefault="00E26BDD" w:rsidP="000B4699">
            <w:pPr>
              <w:rPr>
                <w:rFonts w:ascii="Arial" w:eastAsia="Times New Roman" w:hAnsi="Arial" w:cs="Arial"/>
                <w:bCs/>
                <w:sz w:val="18"/>
                <w:szCs w:val="18"/>
                <w:lang w:val="en"/>
              </w:rPr>
            </w:pPr>
          </w:p>
        </w:tc>
        <w:tc>
          <w:tcPr>
            <w:tcW w:w="990" w:type="dxa"/>
          </w:tcPr>
          <w:p w14:paraId="0C0291F6"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0.60</w:t>
            </w:r>
          </w:p>
        </w:tc>
        <w:tc>
          <w:tcPr>
            <w:tcW w:w="990" w:type="dxa"/>
          </w:tcPr>
          <w:p w14:paraId="59A6396C"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2.76</w:t>
            </w:r>
          </w:p>
        </w:tc>
        <w:tc>
          <w:tcPr>
            <w:tcW w:w="810" w:type="dxa"/>
          </w:tcPr>
          <w:p w14:paraId="58F5C0C5" w14:textId="77777777" w:rsidR="00E26BDD" w:rsidRPr="00D85277" w:rsidRDefault="00E26BDD" w:rsidP="000B4699">
            <w:pPr>
              <w:rPr>
                <w:rFonts w:ascii="Arial" w:eastAsia="Times New Roman" w:hAnsi="Arial" w:cs="Arial"/>
                <w:bCs/>
                <w:sz w:val="18"/>
                <w:szCs w:val="18"/>
                <w:lang w:val="en"/>
              </w:rPr>
            </w:pPr>
            <w:r w:rsidRPr="00D85277">
              <w:rPr>
                <w:rFonts w:ascii="Arial" w:eastAsia="Times New Roman" w:hAnsi="Arial" w:cs="Arial"/>
                <w:bCs/>
                <w:sz w:val="18"/>
                <w:szCs w:val="18"/>
                <w:lang w:val="en"/>
              </w:rPr>
              <w:t>0.73</w:t>
            </w:r>
          </w:p>
        </w:tc>
        <w:tc>
          <w:tcPr>
            <w:tcW w:w="1532" w:type="dxa"/>
          </w:tcPr>
          <w:p w14:paraId="66F12BEB" w14:textId="77777777" w:rsidR="00E26BDD" w:rsidRPr="00D85277" w:rsidRDefault="00E26BDD" w:rsidP="000B4699">
            <w:pPr>
              <w:rPr>
                <w:rFonts w:ascii="Arial" w:eastAsia="Times New Roman" w:hAnsi="Arial" w:cs="Arial"/>
                <w:bCs/>
                <w:sz w:val="18"/>
                <w:szCs w:val="18"/>
                <w:lang w:val="en"/>
              </w:rPr>
            </w:pPr>
          </w:p>
        </w:tc>
        <w:tc>
          <w:tcPr>
            <w:tcW w:w="1419" w:type="dxa"/>
          </w:tcPr>
          <w:p w14:paraId="4D2EB4DB" w14:textId="77777777" w:rsidR="00E26BDD" w:rsidRPr="00D85277" w:rsidRDefault="00E26BDD" w:rsidP="000B4699">
            <w:pPr>
              <w:rPr>
                <w:rFonts w:ascii="Arial" w:eastAsia="Times New Roman" w:hAnsi="Arial" w:cs="Arial"/>
                <w:bCs/>
                <w:sz w:val="18"/>
                <w:szCs w:val="18"/>
                <w:lang w:val="en"/>
              </w:rPr>
            </w:pPr>
          </w:p>
        </w:tc>
        <w:tc>
          <w:tcPr>
            <w:tcW w:w="621" w:type="dxa"/>
          </w:tcPr>
          <w:p w14:paraId="13DD1146" w14:textId="77777777" w:rsidR="00E26BDD" w:rsidRPr="00D85277" w:rsidRDefault="00E26BDD" w:rsidP="000B4699">
            <w:pPr>
              <w:rPr>
                <w:rFonts w:ascii="Arial" w:eastAsia="Times New Roman" w:hAnsi="Arial" w:cs="Arial"/>
                <w:bCs/>
                <w:sz w:val="18"/>
                <w:szCs w:val="18"/>
                <w:lang w:val="en"/>
              </w:rPr>
            </w:pPr>
          </w:p>
        </w:tc>
      </w:tr>
    </w:tbl>
    <w:p w14:paraId="1E74F333" w14:textId="483EC70C" w:rsidR="00E26BDD" w:rsidRPr="00D85277" w:rsidRDefault="00E26BDD" w:rsidP="000B4699">
      <w:pPr>
        <w:spacing w:after="0" w:line="240" w:lineRule="auto"/>
        <w:jc w:val="center"/>
        <w:rPr>
          <w:rFonts w:ascii="Arial" w:eastAsia="Times New Roman" w:hAnsi="Arial" w:cs="Arial"/>
          <w:bCs/>
          <w:i/>
          <w:iCs/>
          <w:sz w:val="16"/>
          <w:szCs w:val="16"/>
          <w:lang w:val="en"/>
        </w:rPr>
      </w:pPr>
      <w:r w:rsidRPr="00D85277">
        <w:rPr>
          <w:rFonts w:ascii="Arial" w:eastAsia="Times New Roman" w:hAnsi="Arial" w:cs="Arial"/>
          <w:bCs/>
          <w:i/>
          <w:iCs/>
          <w:sz w:val="16"/>
          <w:szCs w:val="16"/>
          <w:lang w:val="en"/>
        </w:rPr>
        <w:t xml:space="preserve">DH: Deadhearts; Figures in </w:t>
      </w:r>
      <w:r w:rsidR="00C14467" w:rsidRPr="00D85277">
        <w:rPr>
          <w:rFonts w:ascii="Arial" w:eastAsia="Times New Roman" w:hAnsi="Arial" w:cs="Arial"/>
          <w:bCs/>
          <w:i/>
          <w:iCs/>
          <w:sz w:val="16"/>
          <w:szCs w:val="16"/>
          <w:lang w:val="en"/>
        </w:rPr>
        <w:t>parentheses</w:t>
      </w:r>
      <w:r w:rsidRPr="00D85277">
        <w:rPr>
          <w:rFonts w:ascii="Arial" w:eastAsia="Times New Roman" w:hAnsi="Arial" w:cs="Arial"/>
          <w:bCs/>
          <w:i/>
          <w:iCs/>
          <w:sz w:val="16"/>
          <w:szCs w:val="16"/>
          <w:lang w:val="en"/>
        </w:rPr>
        <w:t xml:space="preserve"> are transformed values; NMC: number of millable canes; Same letter over parentheses means the results do not differ </w:t>
      </w:r>
      <w:r w:rsidR="00C14467" w:rsidRPr="00D85277">
        <w:rPr>
          <w:rFonts w:ascii="Arial" w:eastAsia="Times New Roman" w:hAnsi="Arial" w:cs="Arial"/>
          <w:bCs/>
          <w:i/>
          <w:iCs/>
          <w:sz w:val="16"/>
          <w:szCs w:val="16"/>
          <w:lang w:val="en"/>
        </w:rPr>
        <w:t>significantly.</w:t>
      </w: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4"/>
        <w:gridCol w:w="7573"/>
      </w:tblGrid>
      <w:tr w:rsidR="00E26BDD" w:rsidRPr="00D85277" w14:paraId="6673D395" w14:textId="77777777" w:rsidTr="001D3E57">
        <w:trPr>
          <w:trHeight w:val="20"/>
          <w:jc w:val="center"/>
        </w:trPr>
        <w:tc>
          <w:tcPr>
            <w:tcW w:w="6314" w:type="dxa"/>
          </w:tcPr>
          <w:p w14:paraId="7D757B2E" w14:textId="77777777" w:rsidR="00E26BDD" w:rsidRPr="00D85277" w:rsidRDefault="00E26BDD" w:rsidP="001D3E57">
            <w:pPr>
              <w:jc w:val="center"/>
              <w:rPr>
                <w:rFonts w:ascii="Arial" w:eastAsia="Times New Roman" w:hAnsi="Arial" w:cs="Arial"/>
                <w:bCs/>
                <w:sz w:val="20"/>
                <w:szCs w:val="20"/>
                <w:lang w:val="en"/>
              </w:rPr>
            </w:pPr>
            <w:r w:rsidRPr="00D85277">
              <w:rPr>
                <w:rFonts w:ascii="Arial" w:eastAsia="Times New Roman" w:hAnsi="Arial" w:cs="Arial"/>
                <w:bCs/>
                <w:noProof/>
                <w:sz w:val="20"/>
                <w:szCs w:val="20"/>
              </w:rPr>
              <w:lastRenderedPageBreak/>
              <w:drawing>
                <wp:inline distT="0" distB="0" distL="0" distR="0" wp14:anchorId="2F9CB71E" wp14:editId="4EBF40D6">
                  <wp:extent cx="3871355" cy="2571750"/>
                  <wp:effectExtent l="0" t="0" r="0" b="0"/>
                  <wp:docPr id="1644734311" name="Chart 16447343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7573" w:type="dxa"/>
          </w:tcPr>
          <w:p w14:paraId="1F038E39" w14:textId="77777777" w:rsidR="00E26BDD" w:rsidRPr="00D85277" w:rsidRDefault="00E26BDD" w:rsidP="001D3E57">
            <w:pPr>
              <w:jc w:val="center"/>
              <w:rPr>
                <w:rFonts w:ascii="Arial" w:eastAsia="Times New Roman" w:hAnsi="Arial" w:cs="Arial"/>
                <w:bCs/>
                <w:sz w:val="20"/>
                <w:szCs w:val="20"/>
                <w:lang w:val="en"/>
              </w:rPr>
            </w:pPr>
            <w:r w:rsidRPr="00D85277">
              <w:rPr>
                <w:rFonts w:ascii="Arial" w:eastAsia="Times New Roman" w:hAnsi="Arial" w:cs="Arial"/>
                <w:bCs/>
                <w:noProof/>
                <w:sz w:val="20"/>
                <w:szCs w:val="20"/>
              </w:rPr>
              <w:drawing>
                <wp:inline distT="0" distB="0" distL="0" distR="0" wp14:anchorId="214DEF9A" wp14:editId="7BD2C79B">
                  <wp:extent cx="4655127" cy="2571750"/>
                  <wp:effectExtent l="0" t="0" r="0" b="0"/>
                  <wp:docPr id="1644734310" name="Chart 1644734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E26BDD" w:rsidRPr="00D85277" w14:paraId="508F96E5" w14:textId="77777777" w:rsidTr="001D3E57">
        <w:trPr>
          <w:trHeight w:val="20"/>
          <w:jc w:val="center"/>
        </w:trPr>
        <w:tc>
          <w:tcPr>
            <w:tcW w:w="6314" w:type="dxa"/>
          </w:tcPr>
          <w:p w14:paraId="18F10BA0" w14:textId="77777777" w:rsidR="001D3E57" w:rsidRPr="00D85277" w:rsidRDefault="001D3E57" w:rsidP="001D3E57">
            <w:pPr>
              <w:jc w:val="center"/>
              <w:rPr>
                <w:rFonts w:ascii="Arial" w:eastAsia="Times New Roman" w:hAnsi="Arial" w:cs="Arial"/>
                <w:bCs/>
                <w:sz w:val="20"/>
                <w:szCs w:val="20"/>
                <w:lang w:val="en"/>
              </w:rPr>
            </w:pPr>
          </w:p>
          <w:p w14:paraId="0A513462" w14:textId="7C6CFA7F" w:rsidR="001D3E57" w:rsidRPr="00D85277" w:rsidRDefault="001D3E57" w:rsidP="001D3E57">
            <w:pPr>
              <w:jc w:val="center"/>
              <w:rPr>
                <w:rFonts w:ascii="Arial" w:eastAsia="Times New Roman" w:hAnsi="Arial" w:cs="Arial"/>
                <w:b/>
                <w:bCs/>
                <w:sz w:val="20"/>
                <w:szCs w:val="20"/>
                <w:lang w:val="en-IN"/>
              </w:rPr>
            </w:pPr>
            <w:r w:rsidRPr="00D85277">
              <w:rPr>
                <w:rFonts w:ascii="Arial" w:eastAsia="Times New Roman" w:hAnsi="Arial" w:cs="Arial"/>
                <w:b/>
                <w:bCs/>
                <w:sz w:val="20"/>
                <w:szCs w:val="20"/>
                <w:lang w:val="en-IN"/>
              </w:rPr>
              <w:t>Fig. 1. Impact of different management strategies against borers in sugarcane</w:t>
            </w:r>
          </w:p>
          <w:p w14:paraId="0488E1C9" w14:textId="7257AE3F" w:rsidR="00E26BDD" w:rsidRPr="00D85277" w:rsidRDefault="00E26BDD" w:rsidP="001D3E57">
            <w:pPr>
              <w:jc w:val="center"/>
              <w:rPr>
                <w:rFonts w:ascii="Arial" w:eastAsia="Times New Roman" w:hAnsi="Arial" w:cs="Arial"/>
                <w:bCs/>
                <w:i/>
                <w:iCs/>
                <w:sz w:val="20"/>
                <w:szCs w:val="20"/>
                <w:lang w:val="en"/>
              </w:rPr>
            </w:pPr>
            <w:r w:rsidRPr="00D85277">
              <w:rPr>
                <w:rFonts w:ascii="Arial" w:eastAsia="Times New Roman" w:hAnsi="Arial" w:cs="Arial"/>
                <w:bCs/>
                <w:i/>
                <w:iCs/>
                <w:sz w:val="18"/>
                <w:szCs w:val="18"/>
                <w:lang w:val="en"/>
              </w:rPr>
              <w:t>INB: Internode borer; ESB: Early shoot borer</w:t>
            </w:r>
          </w:p>
        </w:tc>
        <w:tc>
          <w:tcPr>
            <w:tcW w:w="7573" w:type="dxa"/>
          </w:tcPr>
          <w:p w14:paraId="3B576E5F" w14:textId="77777777" w:rsidR="001D3E57" w:rsidRPr="00D85277" w:rsidRDefault="001D3E57" w:rsidP="001D3E57">
            <w:pPr>
              <w:jc w:val="center"/>
              <w:rPr>
                <w:rFonts w:ascii="Arial" w:eastAsia="Times New Roman" w:hAnsi="Arial" w:cs="Arial"/>
                <w:bCs/>
                <w:sz w:val="20"/>
                <w:szCs w:val="20"/>
                <w:lang w:val="en"/>
              </w:rPr>
            </w:pPr>
          </w:p>
          <w:p w14:paraId="7D51684D" w14:textId="48ABC7CE" w:rsidR="001D3E57" w:rsidRPr="00D85277" w:rsidRDefault="001D3E57" w:rsidP="001D3E57">
            <w:pPr>
              <w:jc w:val="center"/>
              <w:rPr>
                <w:rFonts w:ascii="Arial" w:eastAsia="Times New Roman" w:hAnsi="Arial" w:cs="Arial"/>
                <w:b/>
                <w:bCs/>
                <w:sz w:val="20"/>
                <w:szCs w:val="20"/>
                <w:lang w:val="en-IN"/>
              </w:rPr>
            </w:pPr>
            <w:r w:rsidRPr="00D85277">
              <w:rPr>
                <w:rFonts w:ascii="Arial" w:eastAsia="Times New Roman" w:hAnsi="Arial" w:cs="Arial"/>
                <w:b/>
                <w:bCs/>
                <w:sz w:val="20"/>
                <w:szCs w:val="20"/>
                <w:lang w:val="en-IN"/>
              </w:rPr>
              <w:t>Fig. 2. The impact of different  borer management strategies on NMC and cane yield in sugarcane</w:t>
            </w:r>
          </w:p>
          <w:p w14:paraId="124A89A7" w14:textId="2431F892" w:rsidR="00E26BDD" w:rsidRPr="00D85277" w:rsidRDefault="00E26BDD" w:rsidP="001D3E57">
            <w:pPr>
              <w:jc w:val="center"/>
              <w:rPr>
                <w:rFonts w:ascii="Arial" w:eastAsia="Times New Roman" w:hAnsi="Arial" w:cs="Arial"/>
                <w:bCs/>
                <w:i/>
                <w:iCs/>
                <w:sz w:val="20"/>
                <w:szCs w:val="20"/>
                <w:lang w:val="en"/>
              </w:rPr>
            </w:pPr>
            <w:r w:rsidRPr="00D85277">
              <w:rPr>
                <w:rFonts w:ascii="Arial" w:eastAsia="Times New Roman" w:hAnsi="Arial" w:cs="Arial"/>
                <w:bCs/>
                <w:i/>
                <w:iCs/>
                <w:sz w:val="18"/>
                <w:szCs w:val="18"/>
                <w:lang w:val="en"/>
              </w:rPr>
              <w:t>NMC: Number of millable canes</w:t>
            </w:r>
          </w:p>
        </w:tc>
      </w:tr>
    </w:tbl>
    <w:p w14:paraId="2D7D7F2A" w14:textId="77777777" w:rsidR="001D3E57" w:rsidRPr="00D85277" w:rsidRDefault="001D3E57" w:rsidP="000B4699">
      <w:pPr>
        <w:pStyle w:val="Heading2"/>
        <w:keepNext w:val="0"/>
        <w:keepLines w:val="0"/>
        <w:rPr>
          <w:rFonts w:eastAsia="Times New Roman"/>
        </w:rPr>
        <w:sectPr w:rsidR="001D3E57" w:rsidRPr="00D85277" w:rsidSect="001D3E57">
          <w:pgSz w:w="16834" w:h="11909" w:orient="landscape" w:code="9"/>
          <w:pgMar w:top="1440" w:right="1440" w:bottom="1440" w:left="1440" w:header="720" w:footer="864" w:gutter="0"/>
          <w:cols w:space="720"/>
          <w:docGrid w:linePitch="360"/>
        </w:sectPr>
      </w:pPr>
    </w:p>
    <w:p w14:paraId="04D6E8CF" w14:textId="161FEF94" w:rsidR="001D3E57" w:rsidRPr="00D85277" w:rsidRDefault="007A185C" w:rsidP="001D3E57">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lastRenderedPageBreak/>
        <w:t xml:space="preserve">chlorantraniliprole 0.4 GR and the 20 SC formulation was also demonstrated by </w:t>
      </w:r>
      <w:proofErr w:type="spellStart"/>
      <w:r w:rsidRPr="00D85277">
        <w:rPr>
          <w:rFonts w:ascii="Arial" w:eastAsia="Times New Roman" w:hAnsi="Arial" w:cs="Arial"/>
          <w:bCs/>
          <w:sz w:val="20"/>
          <w:szCs w:val="20"/>
          <w:lang w:val="en"/>
        </w:rPr>
        <w:t>Pandey</w:t>
      </w:r>
      <w:proofErr w:type="spellEnd"/>
      <w:r w:rsidRPr="00D85277">
        <w:rPr>
          <w:rFonts w:ascii="Arial" w:eastAsia="Times New Roman" w:hAnsi="Arial" w:cs="Arial"/>
          <w:bCs/>
          <w:sz w:val="20"/>
          <w:szCs w:val="20"/>
          <w:lang w:val="en"/>
        </w:rPr>
        <w:t xml:space="preserve"> (2014), </w:t>
      </w:r>
      <w:proofErr w:type="spellStart"/>
      <w:r w:rsidRPr="00D85277">
        <w:rPr>
          <w:rFonts w:ascii="Arial" w:eastAsia="Times New Roman" w:hAnsi="Arial" w:cs="Arial"/>
          <w:bCs/>
          <w:sz w:val="20"/>
          <w:szCs w:val="20"/>
          <w:lang w:val="en"/>
        </w:rPr>
        <w:t>Shobharani</w:t>
      </w:r>
      <w:proofErr w:type="spellEnd"/>
      <w:r w:rsidRPr="00D85277">
        <w:rPr>
          <w:rFonts w:ascii="Arial" w:eastAsia="Times New Roman" w:hAnsi="Arial" w:cs="Arial"/>
          <w:bCs/>
          <w:sz w:val="20"/>
          <w:szCs w:val="20"/>
          <w:lang w:val="en"/>
        </w:rPr>
        <w:t xml:space="preserve">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(2018) and Bhavani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(2025b) in controlling ESB infestation. Recent studies by Penn </w:t>
      </w:r>
      <w:r w:rsidRPr="00D85277">
        <w:rPr>
          <w:rFonts w:ascii="Arial" w:eastAsia="Times New Roman" w:hAnsi="Arial" w:cs="Arial"/>
          <w:bCs/>
          <w:i/>
          <w:sz w:val="20"/>
          <w:szCs w:val="20"/>
          <w:lang w:val="en"/>
        </w:rPr>
        <w:t>et al</w:t>
      </w:r>
      <w:r w:rsidRPr="00D85277">
        <w:rPr>
          <w:rFonts w:ascii="Arial" w:eastAsia="Times New Roman" w:hAnsi="Arial" w:cs="Arial"/>
          <w:bCs/>
          <w:sz w:val="20"/>
          <w:szCs w:val="20"/>
          <w:lang w:val="en"/>
        </w:rPr>
        <w:t xml:space="preserve">. (2025) further confirm that chlorantraniliprole sprays outperform other </w:t>
      </w:r>
      <w:r w:rsidR="001D3E57" w:rsidRPr="00D85277">
        <w:rPr>
          <w:rFonts w:ascii="Arial" w:eastAsia="Times New Roman" w:hAnsi="Arial" w:cs="Arial"/>
          <w:bCs/>
          <w:sz w:val="20"/>
          <w:szCs w:val="20"/>
          <w:lang w:val="en"/>
        </w:rPr>
        <w:t xml:space="preserve">insecticides in reducing shoot borer infestations. Umashankar </w:t>
      </w:r>
      <w:r w:rsidR="001D3E57" w:rsidRPr="00D85277">
        <w:rPr>
          <w:rFonts w:ascii="Arial" w:eastAsia="Times New Roman" w:hAnsi="Arial" w:cs="Arial"/>
          <w:bCs/>
          <w:i/>
          <w:sz w:val="20"/>
          <w:szCs w:val="20"/>
          <w:lang w:val="en"/>
        </w:rPr>
        <w:t>et al</w:t>
      </w:r>
      <w:r w:rsidR="001D3E57" w:rsidRPr="00D85277">
        <w:rPr>
          <w:rFonts w:ascii="Arial" w:eastAsia="Times New Roman" w:hAnsi="Arial" w:cs="Arial"/>
          <w:bCs/>
          <w:sz w:val="20"/>
          <w:szCs w:val="20"/>
          <w:lang w:val="en"/>
        </w:rPr>
        <w:t xml:space="preserve">. (2018) reported that both chlorantraniliprole 0.4 GR and fipronil 0.3 GR significantly reduced cumulative incidence of </w:t>
      </w:r>
      <w:r w:rsidR="001D3E57" w:rsidRPr="00D85277">
        <w:rPr>
          <w:rFonts w:ascii="Arial" w:eastAsia="Times New Roman" w:hAnsi="Arial" w:cs="Arial"/>
          <w:bCs/>
          <w:i/>
          <w:sz w:val="20"/>
          <w:szCs w:val="20"/>
          <w:lang w:val="en"/>
        </w:rPr>
        <w:t>Chilo infuscatellus</w:t>
      </w:r>
      <w:r w:rsidR="001D3E57" w:rsidRPr="00D85277">
        <w:rPr>
          <w:rFonts w:ascii="Arial" w:eastAsia="Times New Roman" w:hAnsi="Arial" w:cs="Arial"/>
          <w:bCs/>
          <w:sz w:val="20"/>
          <w:szCs w:val="20"/>
          <w:lang w:val="en"/>
        </w:rPr>
        <w:t xml:space="preserve">, contributing to higher cane yields compared to untreated controls. Likewise, Bhawar </w:t>
      </w:r>
      <w:r w:rsidR="001D3E57" w:rsidRPr="00D85277">
        <w:rPr>
          <w:rFonts w:ascii="Arial" w:eastAsia="Times New Roman" w:hAnsi="Arial" w:cs="Arial"/>
          <w:bCs/>
          <w:i/>
          <w:sz w:val="20"/>
          <w:szCs w:val="20"/>
          <w:lang w:val="en"/>
        </w:rPr>
        <w:t>et al</w:t>
      </w:r>
      <w:r w:rsidR="001D3E57" w:rsidRPr="00D85277">
        <w:rPr>
          <w:rFonts w:ascii="Arial" w:eastAsia="Times New Roman" w:hAnsi="Arial" w:cs="Arial"/>
          <w:bCs/>
          <w:sz w:val="20"/>
          <w:szCs w:val="20"/>
          <w:lang w:val="en"/>
        </w:rPr>
        <w:t xml:space="preserve">. (2015), Kumar </w:t>
      </w:r>
      <w:r w:rsidR="001D3E57" w:rsidRPr="00D85277">
        <w:rPr>
          <w:rFonts w:ascii="Arial" w:eastAsia="Times New Roman" w:hAnsi="Arial" w:cs="Arial"/>
          <w:bCs/>
          <w:i/>
          <w:sz w:val="20"/>
          <w:szCs w:val="20"/>
          <w:lang w:val="en"/>
        </w:rPr>
        <w:t>et al.</w:t>
      </w:r>
      <w:r w:rsidR="001D3E57" w:rsidRPr="00D85277">
        <w:rPr>
          <w:rFonts w:ascii="Arial" w:eastAsia="Times New Roman" w:hAnsi="Arial" w:cs="Arial"/>
          <w:bCs/>
          <w:sz w:val="20"/>
          <w:szCs w:val="20"/>
          <w:lang w:val="en"/>
        </w:rPr>
        <w:t xml:space="preserve"> (2020) and Bhavani (2025a</w:t>
      </w:r>
      <w:proofErr w:type="gramStart"/>
      <w:r w:rsidR="001D3E57" w:rsidRPr="00D85277">
        <w:rPr>
          <w:rFonts w:ascii="Arial" w:eastAsia="Times New Roman" w:hAnsi="Arial" w:cs="Arial"/>
          <w:bCs/>
          <w:sz w:val="20"/>
          <w:szCs w:val="20"/>
          <w:lang w:val="en"/>
        </w:rPr>
        <w:t>,b</w:t>
      </w:r>
      <w:proofErr w:type="gramEnd"/>
      <w:r w:rsidR="001D3E57" w:rsidRPr="00D85277">
        <w:rPr>
          <w:rFonts w:ascii="Arial" w:eastAsia="Times New Roman" w:hAnsi="Arial" w:cs="Arial"/>
          <w:bCs/>
          <w:sz w:val="20"/>
          <w:szCs w:val="20"/>
          <w:lang w:val="en"/>
        </w:rPr>
        <w:t xml:space="preserve">) observed a significant reduction in deadheart incidence following application of chlorantraniliprole 0.4 GR at 75 g a.i./ha. </w:t>
      </w:r>
    </w:p>
    <w:p w14:paraId="43AE028C" w14:textId="77777777" w:rsidR="001D3E57" w:rsidRPr="00D85277" w:rsidRDefault="001D3E57" w:rsidP="001D3E57">
      <w:pPr>
        <w:spacing w:after="0" w:line="240" w:lineRule="auto"/>
        <w:jc w:val="both"/>
        <w:rPr>
          <w:rFonts w:ascii="Arial" w:eastAsia="Times New Roman" w:hAnsi="Arial" w:cs="Arial"/>
          <w:bCs/>
          <w:sz w:val="20"/>
          <w:szCs w:val="20"/>
          <w:lang w:val="en"/>
        </w:rPr>
      </w:pPr>
    </w:p>
    <w:p w14:paraId="19C59310" w14:textId="05A49B4A" w:rsidR="001D3E57" w:rsidRPr="00D85277" w:rsidRDefault="001D3E57" w:rsidP="001D3E57">
      <w:pPr>
        <w:pStyle w:val="Heading2"/>
        <w:keepNext w:val="0"/>
        <w:keepLines w:val="0"/>
        <w:rPr>
          <w:rFonts w:eastAsia="Times New Roman"/>
          <w:b w:val="0"/>
          <w:bCs w:val="0"/>
          <w:lang w:val="en"/>
        </w:rPr>
      </w:pPr>
      <w:r w:rsidRPr="00D85277">
        <w:rPr>
          <w:rFonts w:eastAsia="Times New Roman" w:cs="Arial"/>
          <w:b w:val="0"/>
          <w:bCs w:val="0"/>
          <w:sz w:val="20"/>
          <w:szCs w:val="20"/>
          <w:lang w:val="en"/>
        </w:rPr>
        <w:t xml:space="preserve">In addition to chemical control, the effectiveness of non-chemical methods was also validated. The present findings regarding the performance of the non-chemical module are in agreement with Jaipal (2000), who reported that the cumulative use of ecology-based approaches such as timely irrigation and urea application, mechanical removal of pest stages and crop residues, earthing up, propping of cane stalks, and release of the egg parasitoid </w:t>
      </w:r>
      <w:r w:rsidRPr="00D85277">
        <w:rPr>
          <w:rFonts w:eastAsia="Times New Roman" w:cs="Arial"/>
          <w:b w:val="0"/>
          <w:bCs w:val="0"/>
          <w:i/>
          <w:sz w:val="20"/>
          <w:szCs w:val="20"/>
          <w:lang w:val="en"/>
        </w:rPr>
        <w:t>Trichogramma chilonis</w:t>
      </w:r>
      <w:r w:rsidRPr="00D85277">
        <w:rPr>
          <w:rFonts w:eastAsia="Times New Roman" w:cs="Arial"/>
          <w:b w:val="0"/>
          <w:bCs w:val="0"/>
          <w:sz w:val="20"/>
          <w:szCs w:val="20"/>
          <w:lang w:val="en"/>
        </w:rPr>
        <w:t xml:space="preserve"> (Ishii) resulted in reduced pest damage (maintained below the economic injury level) and significantly increased yields by 22–36%. Similarly, Venugopala Rao </w:t>
      </w:r>
      <w:r w:rsidRPr="00D85277">
        <w:rPr>
          <w:rFonts w:eastAsia="Times New Roman" w:cs="Arial"/>
          <w:b w:val="0"/>
          <w:bCs w:val="0"/>
          <w:i/>
          <w:sz w:val="20"/>
          <w:szCs w:val="20"/>
          <w:lang w:val="en"/>
        </w:rPr>
        <w:t>et al</w:t>
      </w:r>
      <w:r w:rsidRPr="00D85277">
        <w:rPr>
          <w:rFonts w:eastAsia="Times New Roman" w:cs="Arial"/>
          <w:b w:val="0"/>
          <w:bCs w:val="0"/>
          <w:sz w:val="20"/>
          <w:szCs w:val="20"/>
          <w:lang w:val="en"/>
        </w:rPr>
        <w:t xml:space="preserve">. (2010) demonstrated that intercropping sugarcane with cowpea significantly reduced early shoot borer (ESB) incidence. Visalakshi and Bhavani (2020) further reported that six field releases of </w:t>
      </w:r>
      <w:r w:rsidRPr="00D85277">
        <w:rPr>
          <w:rFonts w:eastAsia="Times New Roman" w:cs="Arial"/>
          <w:b w:val="0"/>
          <w:bCs w:val="0"/>
          <w:i/>
          <w:sz w:val="20"/>
          <w:szCs w:val="20"/>
          <w:lang w:val="en"/>
        </w:rPr>
        <w:t>T. chilonis</w:t>
      </w:r>
      <w:r w:rsidRPr="00D85277">
        <w:rPr>
          <w:rFonts w:eastAsia="Times New Roman" w:cs="Arial"/>
          <w:b w:val="0"/>
          <w:bCs w:val="0"/>
          <w:sz w:val="20"/>
          <w:szCs w:val="20"/>
          <w:lang w:val="en"/>
        </w:rPr>
        <w:t xml:space="preserve"> at a rate of 75,000/ha at 7–10 day intervals up to 120 days after planting (DAP), followed by six additional releases after cane formation, substantially reduced both ESB and internode borer (INB) incidence, leading to improved cane yields.</w:t>
      </w:r>
    </w:p>
    <w:p w14:paraId="16253C0D" w14:textId="77777777" w:rsidR="001D3E57" w:rsidRPr="00D85277" w:rsidRDefault="001D3E57" w:rsidP="000B4699">
      <w:pPr>
        <w:pStyle w:val="Heading2"/>
        <w:keepNext w:val="0"/>
        <w:keepLines w:val="0"/>
        <w:rPr>
          <w:rFonts w:eastAsia="Times New Roman"/>
          <w:sz w:val="20"/>
          <w:szCs w:val="24"/>
          <w:lang w:val="en"/>
        </w:rPr>
      </w:pPr>
    </w:p>
    <w:p w14:paraId="25712AEE" w14:textId="16E624FA" w:rsidR="00F72EE4" w:rsidRPr="00D85277" w:rsidRDefault="00031499" w:rsidP="000B4699">
      <w:pPr>
        <w:pStyle w:val="Heading2"/>
        <w:keepNext w:val="0"/>
        <w:keepLines w:val="0"/>
        <w:rPr>
          <w:rFonts w:eastAsia="Times New Roman"/>
          <w:lang w:val="en"/>
        </w:rPr>
      </w:pPr>
      <w:r w:rsidRPr="00D85277">
        <w:rPr>
          <w:rFonts w:eastAsia="Times New Roman"/>
          <w:lang w:val="en"/>
        </w:rPr>
        <w:t>4. CONCLUSION</w:t>
      </w:r>
    </w:p>
    <w:p w14:paraId="723C38FA"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0188BA77" w14:textId="27CE29D5"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Assessment of yield losses due to sugarcane borers revealed that more than 30% early shoot borer incidence reduced the number of millable canes and 100% internode borer infestation with 26.6% intensity reduced the juice sucrose and cane weight, resulting in 18.7 per cent yield loss compared to the protected plot with integrated practices (chemical + non-chemical). Integrated management practices significantly reduced sugarcane borer infestation and increased cane yield by 23.1% over the untreated control, achieving a benefit-cost ratio (BCR) of 2.73. In comparison, chemical and non-chemical </w:t>
      </w:r>
      <w:r w:rsidRPr="00D85277">
        <w:rPr>
          <w:rFonts w:ascii="Arial" w:eastAsia="Times New Roman" w:hAnsi="Arial" w:cs="Arial"/>
          <w:bCs/>
          <w:sz w:val="20"/>
          <w:szCs w:val="20"/>
          <w:lang w:val="en"/>
        </w:rPr>
        <w:lastRenderedPageBreak/>
        <w:t>methods alone resulted in yield increases of 19.9% and 16.</w:t>
      </w:r>
      <w:r w:rsidR="005D05D3" w:rsidRPr="00D85277">
        <w:rPr>
          <w:rFonts w:ascii="Arial" w:eastAsia="Times New Roman" w:hAnsi="Arial" w:cs="Arial"/>
          <w:bCs/>
          <w:sz w:val="20"/>
          <w:szCs w:val="20"/>
          <w:lang w:val="en"/>
        </w:rPr>
        <w:t>7</w:t>
      </w:r>
      <w:r w:rsidRPr="00D85277">
        <w:rPr>
          <w:rFonts w:ascii="Arial" w:eastAsia="Times New Roman" w:hAnsi="Arial" w:cs="Arial"/>
          <w:bCs/>
          <w:sz w:val="20"/>
          <w:szCs w:val="20"/>
          <w:lang w:val="en"/>
        </w:rPr>
        <w:t>%, with BCRs of 2.69 and 2.62, respectively. These results highlight the effectiveness of adopting integrated approaches over standalone chemical or non-chemical methods for sustainable borer pest management and yield enhancement in sugarcane. These findings reaffirm the value of IPM as a sustainable and economically viable strategy for managing borer pests and improving sugarcane yield and quality.</w:t>
      </w:r>
    </w:p>
    <w:p w14:paraId="75661E13" w14:textId="77777777" w:rsidR="00F72EE4" w:rsidRPr="00D85277" w:rsidRDefault="00F72EE4" w:rsidP="000B4699">
      <w:pPr>
        <w:spacing w:after="0" w:line="240" w:lineRule="auto"/>
        <w:jc w:val="both"/>
        <w:rPr>
          <w:rFonts w:ascii="Arial" w:eastAsia="Times New Roman" w:hAnsi="Arial" w:cs="Arial"/>
          <w:bCs/>
          <w:sz w:val="20"/>
          <w:szCs w:val="20"/>
          <w:lang w:val="en"/>
        </w:rPr>
      </w:pPr>
    </w:p>
    <w:p w14:paraId="704363AC" w14:textId="6C1E166C" w:rsidR="00F72EE4" w:rsidRPr="00D85277" w:rsidRDefault="00031499" w:rsidP="000B4699">
      <w:pPr>
        <w:pStyle w:val="Heading2"/>
        <w:keepNext w:val="0"/>
        <w:keepLines w:val="0"/>
        <w:rPr>
          <w:rFonts w:eastAsia="Times New Roman"/>
          <w:sz w:val="21"/>
          <w:szCs w:val="21"/>
          <w:lang w:val="en"/>
        </w:rPr>
      </w:pPr>
      <w:r w:rsidRPr="00D85277">
        <w:rPr>
          <w:rFonts w:eastAsia="Times New Roman"/>
          <w:sz w:val="21"/>
          <w:szCs w:val="21"/>
          <w:lang w:val="en"/>
        </w:rPr>
        <w:t>DISCLAIMER (ARTIFICIAL INTELLIGENCE)</w:t>
      </w:r>
    </w:p>
    <w:p w14:paraId="6637672C" w14:textId="77777777" w:rsidR="003C5872" w:rsidRPr="00D85277" w:rsidRDefault="003C5872" w:rsidP="000B4699">
      <w:pPr>
        <w:spacing w:after="0" w:line="240" w:lineRule="auto"/>
        <w:jc w:val="both"/>
        <w:rPr>
          <w:rFonts w:ascii="Arial" w:eastAsia="Times New Roman" w:hAnsi="Arial" w:cs="Arial"/>
          <w:bCs/>
          <w:sz w:val="20"/>
          <w:szCs w:val="20"/>
          <w:lang w:val="en"/>
        </w:rPr>
      </w:pPr>
    </w:p>
    <w:p w14:paraId="6453A615" w14:textId="0B62BE9E" w:rsidR="00F72EE4" w:rsidRPr="00D85277" w:rsidRDefault="00F72EE4" w:rsidP="000B4699">
      <w:pPr>
        <w:spacing w:after="0" w:line="240" w:lineRule="auto"/>
        <w:jc w:val="both"/>
        <w:rPr>
          <w:rFonts w:ascii="Arial" w:eastAsia="Times New Roman" w:hAnsi="Arial" w:cs="Arial"/>
          <w:bCs/>
          <w:sz w:val="20"/>
          <w:szCs w:val="20"/>
          <w:lang w:val="en"/>
        </w:rPr>
      </w:pPr>
      <w:r w:rsidRPr="00D85277">
        <w:rPr>
          <w:rFonts w:ascii="Arial" w:eastAsia="Times New Roman" w:hAnsi="Arial" w:cs="Arial"/>
          <w:bCs/>
          <w:sz w:val="20"/>
          <w:szCs w:val="20"/>
          <w:lang w:val="en"/>
        </w:rPr>
        <w:t xml:space="preserve">Authors hereby declare that NO generative AI technologies such as Large Language Models (ChatGPT, COPILOT, etc.) and text-to-image generators have been used during the writing or editing of this manuscript. </w:t>
      </w:r>
    </w:p>
    <w:p w14:paraId="212AE107" w14:textId="77777777" w:rsidR="00F72EE4" w:rsidRPr="00D85277" w:rsidRDefault="00F72EE4" w:rsidP="000B4699">
      <w:pPr>
        <w:spacing w:after="0" w:line="240" w:lineRule="auto"/>
        <w:jc w:val="both"/>
        <w:rPr>
          <w:rFonts w:ascii="Arial" w:eastAsia="Times New Roman" w:hAnsi="Arial" w:cs="Arial"/>
          <w:b/>
          <w:bCs/>
          <w:sz w:val="20"/>
          <w:szCs w:val="20"/>
          <w:lang w:val="en"/>
        </w:rPr>
      </w:pPr>
    </w:p>
    <w:p w14:paraId="25A0BC2D" w14:textId="6C9C4740" w:rsidR="00F72EE4" w:rsidRPr="00D85277" w:rsidRDefault="00031499" w:rsidP="000B4699">
      <w:pPr>
        <w:pStyle w:val="Heading2"/>
        <w:keepNext w:val="0"/>
        <w:keepLines w:val="0"/>
      </w:pPr>
      <w:r w:rsidRPr="00D85277">
        <w:t>COMPETING INTERESTS</w:t>
      </w:r>
    </w:p>
    <w:p w14:paraId="225FCF82" w14:textId="77777777" w:rsidR="00F72EE4" w:rsidRPr="00D85277" w:rsidRDefault="00F72EE4" w:rsidP="000B4699">
      <w:pPr>
        <w:pStyle w:val="ReferHead"/>
        <w:keepNext w:val="0"/>
        <w:spacing w:after="0"/>
        <w:jc w:val="both"/>
        <w:rPr>
          <w:rFonts w:ascii="Arial" w:hAnsi="Arial" w:cs="Arial"/>
          <w:sz w:val="18"/>
          <w:szCs w:val="18"/>
        </w:rPr>
      </w:pPr>
    </w:p>
    <w:p w14:paraId="50A87ACD" w14:textId="77777777" w:rsidR="00F72EE4" w:rsidRPr="00D85277" w:rsidRDefault="00F72EE4" w:rsidP="000B4699">
      <w:pPr>
        <w:pStyle w:val="ReferHead"/>
        <w:keepNext w:val="0"/>
        <w:spacing w:after="0"/>
        <w:jc w:val="both"/>
        <w:rPr>
          <w:rFonts w:ascii="Arial" w:hAnsi="Arial" w:cs="Arial"/>
          <w:b w:val="0"/>
          <w:caps w:val="0"/>
          <w:sz w:val="20"/>
        </w:rPr>
      </w:pPr>
      <w:r w:rsidRPr="00D85277">
        <w:rPr>
          <w:rFonts w:ascii="Arial" w:hAnsi="Arial" w:cs="Arial"/>
          <w:b w:val="0"/>
          <w:caps w:val="0"/>
          <w:sz w:val="20"/>
        </w:rPr>
        <w:t>Authors have declared that no competing interests exist.</w:t>
      </w:r>
    </w:p>
    <w:p w14:paraId="0D22C5AC" w14:textId="77777777" w:rsidR="00F72EE4" w:rsidRPr="00D85277" w:rsidRDefault="00F72EE4" w:rsidP="000B4699">
      <w:pPr>
        <w:spacing w:after="0" w:line="240" w:lineRule="auto"/>
        <w:jc w:val="both"/>
        <w:rPr>
          <w:rFonts w:ascii="Arial" w:eastAsia="Times New Roman" w:hAnsi="Arial" w:cs="Arial"/>
          <w:b/>
          <w:bCs/>
          <w:sz w:val="18"/>
          <w:szCs w:val="18"/>
        </w:rPr>
      </w:pPr>
    </w:p>
    <w:p w14:paraId="78176358" w14:textId="33AEB1F4" w:rsidR="00F72EE4" w:rsidRPr="00D85277" w:rsidRDefault="00031499" w:rsidP="000B4699">
      <w:pPr>
        <w:pStyle w:val="Heading2"/>
        <w:keepNext w:val="0"/>
        <w:keepLines w:val="0"/>
        <w:rPr>
          <w:rFonts w:eastAsia="Times New Roman"/>
          <w:lang w:val="es-US"/>
        </w:rPr>
      </w:pPr>
      <w:commentRangeStart w:id="17"/>
      <w:r w:rsidRPr="00D85277">
        <w:rPr>
          <w:rFonts w:eastAsia="Times New Roman"/>
          <w:lang w:val="es-US"/>
        </w:rPr>
        <w:t>REFERENCES</w:t>
      </w:r>
      <w:commentRangeEnd w:id="17"/>
      <w:r w:rsidR="00824CFE">
        <w:rPr>
          <w:rStyle w:val="CommentReference"/>
          <w:rFonts w:asciiTheme="minorHAnsi" w:eastAsiaTheme="minorEastAsia" w:hAnsiTheme="minorHAnsi" w:cstheme="minorBidi"/>
          <w:b w:val="0"/>
          <w:bCs w:val="0"/>
        </w:rPr>
        <w:commentReference w:id="17"/>
      </w:r>
    </w:p>
    <w:p w14:paraId="344B2081" w14:textId="77777777" w:rsidR="00F72EE4" w:rsidRPr="00D85277" w:rsidRDefault="00F72EE4" w:rsidP="000B4699">
      <w:pPr>
        <w:spacing w:after="0" w:line="240" w:lineRule="auto"/>
        <w:jc w:val="both"/>
        <w:rPr>
          <w:rFonts w:ascii="Arial" w:eastAsia="Times New Roman" w:hAnsi="Arial" w:cs="Arial"/>
          <w:bCs/>
          <w:sz w:val="18"/>
          <w:szCs w:val="18"/>
          <w:lang w:val="es-US"/>
        </w:rPr>
      </w:pPr>
    </w:p>
    <w:p w14:paraId="46BC0B16"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lang w:val="sv-SE"/>
        </w:rPr>
      </w:pPr>
      <w:bookmarkStart w:id="18" w:name="_Hlk204861994"/>
      <w:proofErr w:type="spellStart"/>
      <w:r w:rsidRPr="00D85277">
        <w:rPr>
          <w:rFonts w:ascii="Arial" w:eastAsiaTheme="minorHAnsi" w:hAnsi="Arial" w:cs="Arial"/>
          <w:kern w:val="2"/>
          <w:sz w:val="20"/>
          <w:szCs w:val="20"/>
          <w:lang w:val="es-US"/>
        </w:rPr>
        <w:t>Agrawal</w:t>
      </w:r>
      <w:proofErr w:type="spellEnd"/>
      <w:r w:rsidRPr="00D85277">
        <w:rPr>
          <w:rFonts w:ascii="Arial" w:eastAsiaTheme="minorHAnsi" w:hAnsi="Arial" w:cs="Arial"/>
          <w:kern w:val="2"/>
          <w:sz w:val="20"/>
          <w:szCs w:val="20"/>
          <w:lang w:val="es-US"/>
        </w:rPr>
        <w:t xml:space="preserve">, R. A. (1964). </w:t>
      </w:r>
      <w:proofErr w:type="spellStart"/>
      <w:r w:rsidRPr="00D85277">
        <w:rPr>
          <w:rFonts w:ascii="Arial" w:eastAsiaTheme="minorHAnsi" w:hAnsi="Arial" w:cs="Arial"/>
          <w:kern w:val="2"/>
          <w:sz w:val="20"/>
          <w:szCs w:val="20"/>
          <w:lang w:val="es-US"/>
        </w:rPr>
        <w:t>Biology</w:t>
      </w:r>
      <w:proofErr w:type="spellEnd"/>
      <w:r w:rsidRPr="00D85277">
        <w:rPr>
          <w:rFonts w:ascii="Arial" w:eastAsiaTheme="minorHAnsi" w:hAnsi="Arial" w:cs="Arial"/>
          <w:kern w:val="2"/>
          <w:sz w:val="20"/>
          <w:szCs w:val="20"/>
          <w:lang w:val="es-US"/>
        </w:rPr>
        <w:t xml:space="preserve"> of </w:t>
      </w:r>
      <w:proofErr w:type="spellStart"/>
      <w:r w:rsidRPr="00D85277">
        <w:rPr>
          <w:rFonts w:ascii="Arial" w:eastAsiaTheme="minorHAnsi" w:hAnsi="Arial" w:cs="Arial"/>
          <w:kern w:val="2"/>
          <w:sz w:val="20"/>
          <w:szCs w:val="20"/>
          <w:lang w:val="es-US"/>
        </w:rPr>
        <w:t>sugar</w:t>
      </w:r>
      <w:proofErr w:type="spellEnd"/>
      <w:r w:rsidRPr="00D85277">
        <w:rPr>
          <w:rFonts w:ascii="Arial" w:eastAsiaTheme="minorHAnsi" w:hAnsi="Arial" w:cs="Arial"/>
          <w:kern w:val="2"/>
          <w:sz w:val="20"/>
          <w:szCs w:val="20"/>
          <w:lang w:val="es-US"/>
        </w:rPr>
        <w:t xml:space="preserve"> </w:t>
      </w:r>
      <w:proofErr w:type="spellStart"/>
      <w:r w:rsidRPr="00D85277">
        <w:rPr>
          <w:rFonts w:ascii="Arial" w:eastAsiaTheme="minorHAnsi" w:hAnsi="Arial" w:cs="Arial"/>
          <w:kern w:val="2"/>
          <w:sz w:val="20"/>
          <w:szCs w:val="20"/>
          <w:lang w:val="es-US"/>
        </w:rPr>
        <w:t>cane</w:t>
      </w:r>
      <w:proofErr w:type="spellEnd"/>
      <w:r w:rsidRPr="00D85277">
        <w:rPr>
          <w:rFonts w:ascii="Arial" w:eastAsiaTheme="minorHAnsi" w:hAnsi="Arial" w:cs="Arial"/>
          <w:kern w:val="2"/>
          <w:sz w:val="20"/>
          <w:szCs w:val="20"/>
          <w:lang w:val="es-US"/>
        </w:rPr>
        <w:t xml:space="preserve"> </w:t>
      </w:r>
      <w:proofErr w:type="spellStart"/>
      <w:r w:rsidRPr="00D85277">
        <w:rPr>
          <w:rFonts w:ascii="Arial" w:eastAsiaTheme="minorHAnsi" w:hAnsi="Arial" w:cs="Arial"/>
          <w:kern w:val="2"/>
          <w:sz w:val="20"/>
          <w:szCs w:val="20"/>
          <w:lang w:val="es-US"/>
        </w:rPr>
        <w:t>internode</w:t>
      </w:r>
      <w:proofErr w:type="spellEnd"/>
      <w:r w:rsidRPr="00D85277">
        <w:rPr>
          <w:rFonts w:ascii="Arial" w:eastAsiaTheme="minorHAnsi" w:hAnsi="Arial" w:cs="Arial"/>
          <w:kern w:val="2"/>
          <w:sz w:val="20"/>
          <w:szCs w:val="20"/>
          <w:lang w:val="es-US"/>
        </w:rPr>
        <w:t xml:space="preserve"> </w:t>
      </w:r>
      <w:proofErr w:type="spellStart"/>
      <w:r w:rsidRPr="00D85277">
        <w:rPr>
          <w:rFonts w:ascii="Arial" w:eastAsiaTheme="minorHAnsi" w:hAnsi="Arial" w:cs="Arial"/>
          <w:kern w:val="2"/>
          <w:sz w:val="20"/>
          <w:szCs w:val="20"/>
          <w:lang w:val="es-US"/>
        </w:rPr>
        <w:t>borer</w:t>
      </w:r>
      <w:proofErr w:type="spellEnd"/>
      <w:r w:rsidRPr="00D85277">
        <w:rPr>
          <w:rFonts w:ascii="Arial" w:eastAsiaTheme="minorHAnsi" w:hAnsi="Arial" w:cs="Arial"/>
          <w:kern w:val="2"/>
          <w:sz w:val="20"/>
          <w:szCs w:val="20"/>
          <w:lang w:val="es-US"/>
        </w:rPr>
        <w:t xml:space="preserve"> (</w:t>
      </w:r>
      <w:r w:rsidRPr="00D85277">
        <w:rPr>
          <w:rFonts w:ascii="Arial" w:eastAsiaTheme="minorHAnsi" w:hAnsi="Arial" w:cs="Arial"/>
          <w:i/>
          <w:iCs/>
          <w:kern w:val="2"/>
          <w:sz w:val="20"/>
          <w:szCs w:val="20"/>
          <w:lang w:val="es-US"/>
        </w:rPr>
        <w:t xml:space="preserve">Proceras </w:t>
      </w:r>
      <w:proofErr w:type="spellStart"/>
      <w:r w:rsidRPr="00D85277">
        <w:rPr>
          <w:rFonts w:ascii="Arial" w:eastAsiaTheme="minorHAnsi" w:hAnsi="Arial" w:cs="Arial"/>
          <w:i/>
          <w:iCs/>
          <w:kern w:val="2"/>
          <w:sz w:val="20"/>
          <w:szCs w:val="20"/>
          <w:lang w:val="es-US"/>
        </w:rPr>
        <w:t>indicus</w:t>
      </w:r>
      <w:proofErr w:type="spellEnd"/>
      <w:r w:rsidRPr="00D85277">
        <w:rPr>
          <w:rFonts w:ascii="Arial" w:eastAsiaTheme="minorHAnsi" w:hAnsi="Arial" w:cs="Arial"/>
          <w:kern w:val="2"/>
          <w:sz w:val="20"/>
          <w:szCs w:val="20"/>
          <w:lang w:val="es-US"/>
        </w:rPr>
        <w:t xml:space="preserve"> K.). </w:t>
      </w:r>
      <w:r w:rsidRPr="00D85277">
        <w:rPr>
          <w:rFonts w:ascii="Arial" w:eastAsiaTheme="minorHAnsi" w:hAnsi="Arial" w:cs="Arial"/>
          <w:i/>
          <w:iCs/>
          <w:kern w:val="2"/>
          <w:sz w:val="20"/>
          <w:szCs w:val="20"/>
          <w:lang w:val="sv-SE"/>
        </w:rPr>
        <w:t>Indian Sugar, 14</w:t>
      </w:r>
      <w:r w:rsidRPr="00D85277">
        <w:rPr>
          <w:rFonts w:ascii="Arial" w:eastAsiaTheme="minorHAnsi" w:hAnsi="Arial" w:cs="Arial"/>
          <w:kern w:val="2"/>
          <w:sz w:val="20"/>
          <w:szCs w:val="20"/>
          <w:lang w:val="sv-SE"/>
        </w:rPr>
        <w:t>, 145–150, 156.</w:t>
      </w:r>
    </w:p>
    <w:p w14:paraId="370224C2" w14:textId="631D274A"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Assis, H. L. B. de, Paiva, P. E. B., Silva, </w:t>
      </w:r>
      <w:r w:rsidR="008E4A80" w:rsidRPr="00D85277">
        <w:rPr>
          <w:rFonts w:ascii="Arial" w:eastAsiaTheme="minorHAnsi" w:hAnsi="Arial" w:cs="Arial"/>
          <w:kern w:val="2"/>
          <w:sz w:val="20"/>
          <w:szCs w:val="20"/>
          <w:lang w:val="sv-SE"/>
        </w:rPr>
        <w:t xml:space="preserve">                  </w:t>
      </w:r>
      <w:r w:rsidRPr="00D85277">
        <w:rPr>
          <w:rFonts w:ascii="Arial" w:eastAsiaTheme="minorHAnsi" w:hAnsi="Arial" w:cs="Arial"/>
          <w:kern w:val="2"/>
          <w:sz w:val="20"/>
          <w:szCs w:val="20"/>
          <w:lang w:val="sv-SE"/>
        </w:rPr>
        <w:t xml:space="preserve">P. C. R. da, &amp; Morais, G. G. de. </w:t>
      </w:r>
      <w:r w:rsidR="008E4A80" w:rsidRPr="00D85277">
        <w:rPr>
          <w:rFonts w:ascii="Arial" w:eastAsiaTheme="minorHAnsi" w:hAnsi="Arial" w:cs="Arial"/>
          <w:kern w:val="2"/>
          <w:sz w:val="20"/>
          <w:szCs w:val="20"/>
          <w:lang w:val="sv-SE"/>
        </w:rPr>
        <w:t xml:space="preserve">                   </w:t>
      </w:r>
      <w:r w:rsidRPr="00D85277">
        <w:rPr>
          <w:rFonts w:ascii="Arial" w:eastAsiaTheme="minorHAnsi" w:hAnsi="Arial" w:cs="Arial"/>
          <w:kern w:val="2"/>
          <w:sz w:val="20"/>
          <w:szCs w:val="20"/>
        </w:rPr>
        <w:t xml:space="preserve">(2019). Efficacy of chlorantraniliprole applied in sugarcane planting furrow </w:t>
      </w:r>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 xml:space="preserve">and foliar spray to control of </w:t>
      </w:r>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 xml:space="preserve">sugarcane borer. </w:t>
      </w:r>
      <w:proofErr w:type="spellStart"/>
      <w:r w:rsidRPr="00D85277">
        <w:rPr>
          <w:rFonts w:ascii="Arial" w:eastAsiaTheme="minorHAnsi" w:hAnsi="Arial" w:cs="Arial"/>
          <w:i/>
          <w:iCs/>
          <w:kern w:val="2"/>
          <w:sz w:val="20"/>
          <w:szCs w:val="20"/>
        </w:rPr>
        <w:t>Científica</w:t>
      </w:r>
      <w:proofErr w:type="spellEnd"/>
      <w:r w:rsidRPr="00D85277">
        <w:rPr>
          <w:rFonts w:ascii="Arial" w:eastAsiaTheme="minorHAnsi" w:hAnsi="Arial" w:cs="Arial"/>
          <w:i/>
          <w:iCs/>
          <w:kern w:val="2"/>
          <w:sz w:val="20"/>
          <w:szCs w:val="20"/>
        </w:rPr>
        <w:t>, 47</w:t>
      </w:r>
      <w:r w:rsidRPr="00D85277">
        <w:rPr>
          <w:rFonts w:ascii="Arial" w:eastAsiaTheme="minorHAnsi" w:hAnsi="Arial" w:cs="Arial"/>
          <w:kern w:val="2"/>
          <w:sz w:val="20"/>
          <w:szCs w:val="20"/>
        </w:rPr>
        <w:t>(3), 278–282.</w:t>
      </w:r>
    </w:p>
    <w:p w14:paraId="6848F12E"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proofErr w:type="spellStart"/>
      <w:r w:rsidRPr="00D85277">
        <w:rPr>
          <w:rFonts w:ascii="Arial" w:eastAsiaTheme="minorHAnsi" w:hAnsi="Arial" w:cs="Arial"/>
          <w:kern w:val="2"/>
          <w:sz w:val="20"/>
          <w:szCs w:val="20"/>
        </w:rPr>
        <w:t>Avasthy</w:t>
      </w:r>
      <w:proofErr w:type="spellEnd"/>
      <w:r w:rsidRPr="00D85277">
        <w:rPr>
          <w:rFonts w:ascii="Arial" w:eastAsiaTheme="minorHAnsi" w:hAnsi="Arial" w:cs="Arial"/>
          <w:kern w:val="2"/>
          <w:sz w:val="20"/>
          <w:szCs w:val="20"/>
        </w:rPr>
        <w:t xml:space="preserve">, P. N., &amp; Tiwari, N. K. (1986). The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in sugarcane entomology in India. </w:t>
      </w:r>
      <w:r w:rsidRPr="00D85277">
        <w:rPr>
          <w:rFonts w:ascii="Arial" w:eastAsiaTheme="minorHAnsi" w:hAnsi="Arial" w:cs="Arial"/>
          <w:i/>
          <w:iCs/>
          <w:kern w:val="2"/>
          <w:sz w:val="20"/>
          <w:szCs w:val="20"/>
        </w:rPr>
        <w:t>Sugarcane Breeding Institute Publication</w:t>
      </w:r>
      <w:r w:rsidRPr="00D85277">
        <w:rPr>
          <w:rFonts w:ascii="Arial" w:eastAsiaTheme="minorHAnsi" w:hAnsi="Arial" w:cs="Arial"/>
          <w:kern w:val="2"/>
          <w:sz w:val="20"/>
          <w:szCs w:val="20"/>
        </w:rPr>
        <w:t>, 69–92.</w:t>
      </w:r>
    </w:p>
    <w:p w14:paraId="51594F39"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Bhavani, B. (2025a). Bioefficacy of chlorantraniliprole (AC 01) 0.4% GR against early shoot borer and termite in sugarcane agroecosystem. </w:t>
      </w:r>
      <w:r w:rsidRPr="00D85277">
        <w:rPr>
          <w:rFonts w:ascii="Arial" w:eastAsiaTheme="minorHAnsi" w:hAnsi="Arial" w:cs="Arial"/>
          <w:i/>
          <w:iCs/>
          <w:kern w:val="2"/>
          <w:sz w:val="20"/>
          <w:szCs w:val="20"/>
        </w:rPr>
        <w:t>Journal of Krishi Vignan, 13</w:t>
      </w:r>
      <w:r w:rsidRPr="00D85277">
        <w:rPr>
          <w:rFonts w:ascii="Arial" w:eastAsiaTheme="minorHAnsi" w:hAnsi="Arial" w:cs="Arial"/>
          <w:kern w:val="2"/>
          <w:sz w:val="20"/>
          <w:szCs w:val="20"/>
        </w:rPr>
        <w:t>(2), 232–237.</w:t>
      </w:r>
    </w:p>
    <w:p w14:paraId="6A410B8E"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Bhavani, B., </w:t>
      </w:r>
      <w:proofErr w:type="spellStart"/>
      <w:r w:rsidRPr="00D85277">
        <w:rPr>
          <w:rFonts w:ascii="Arial" w:eastAsiaTheme="minorHAnsi" w:hAnsi="Arial" w:cs="Arial"/>
          <w:kern w:val="2"/>
          <w:sz w:val="20"/>
          <w:szCs w:val="20"/>
        </w:rPr>
        <w:t>Bharathalakshmi</w:t>
      </w:r>
      <w:proofErr w:type="spellEnd"/>
      <w:r w:rsidRPr="00D85277">
        <w:rPr>
          <w:rFonts w:ascii="Arial" w:eastAsiaTheme="minorHAnsi" w:hAnsi="Arial" w:cs="Arial"/>
          <w:kern w:val="2"/>
          <w:sz w:val="20"/>
          <w:szCs w:val="20"/>
        </w:rPr>
        <w:t xml:space="preserve">, M., &amp; Veerabhadra Rao, K. (2016a). Bioefficacy of selective new insecticides against sugarcane borer complex in Andhra Pradesh, India. </w:t>
      </w:r>
      <w:r w:rsidRPr="00D85277">
        <w:rPr>
          <w:rFonts w:ascii="Arial" w:eastAsiaTheme="minorHAnsi" w:hAnsi="Arial" w:cs="Arial"/>
          <w:i/>
          <w:iCs/>
          <w:kern w:val="2"/>
          <w:sz w:val="20"/>
          <w:szCs w:val="20"/>
        </w:rPr>
        <w:t>STC Agri and Natural Resources, 2</w:t>
      </w:r>
      <w:r w:rsidRPr="00D85277">
        <w:rPr>
          <w:rFonts w:ascii="Arial" w:eastAsiaTheme="minorHAnsi" w:hAnsi="Arial" w:cs="Arial"/>
          <w:kern w:val="2"/>
          <w:sz w:val="20"/>
          <w:szCs w:val="20"/>
        </w:rPr>
        <w:t>(5), 1–7.</w:t>
      </w:r>
    </w:p>
    <w:p w14:paraId="5C653C39"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Bhavani, B., Visalakshi, M., &amp; </w:t>
      </w:r>
      <w:proofErr w:type="spellStart"/>
      <w:r w:rsidRPr="00D85277">
        <w:rPr>
          <w:rFonts w:ascii="Arial" w:eastAsiaTheme="minorHAnsi" w:hAnsi="Arial" w:cs="Arial"/>
          <w:kern w:val="2"/>
          <w:sz w:val="20"/>
          <w:szCs w:val="20"/>
        </w:rPr>
        <w:t>Bharathalakshmi</w:t>
      </w:r>
      <w:proofErr w:type="spellEnd"/>
      <w:r w:rsidRPr="00D85277">
        <w:rPr>
          <w:rFonts w:ascii="Arial" w:eastAsiaTheme="minorHAnsi" w:hAnsi="Arial" w:cs="Arial"/>
          <w:kern w:val="2"/>
          <w:sz w:val="20"/>
          <w:szCs w:val="20"/>
        </w:rPr>
        <w:t xml:space="preserve">, M. (2025b). Effective control strategies for sugarcane borers in single node seedling technology: A study on insecticidal efficacy and yield improvement. </w:t>
      </w:r>
      <w:r w:rsidRPr="00D85277">
        <w:rPr>
          <w:rFonts w:ascii="Arial" w:eastAsiaTheme="minorHAnsi" w:hAnsi="Arial" w:cs="Arial"/>
          <w:i/>
          <w:iCs/>
          <w:kern w:val="2"/>
          <w:sz w:val="20"/>
          <w:szCs w:val="20"/>
        </w:rPr>
        <w:t xml:space="preserve">International </w:t>
      </w:r>
      <w:r w:rsidRPr="00D85277">
        <w:rPr>
          <w:rFonts w:ascii="Arial" w:eastAsiaTheme="minorHAnsi" w:hAnsi="Arial" w:cs="Arial"/>
          <w:i/>
          <w:iCs/>
          <w:kern w:val="2"/>
          <w:sz w:val="20"/>
          <w:szCs w:val="20"/>
        </w:rPr>
        <w:lastRenderedPageBreak/>
        <w:t>Journal of Entomology Research, 10</w:t>
      </w:r>
      <w:r w:rsidRPr="00D85277">
        <w:rPr>
          <w:rFonts w:ascii="Arial" w:eastAsiaTheme="minorHAnsi" w:hAnsi="Arial" w:cs="Arial"/>
          <w:kern w:val="2"/>
          <w:sz w:val="20"/>
          <w:szCs w:val="20"/>
        </w:rPr>
        <w:t>(6), 95–99.</w:t>
      </w:r>
    </w:p>
    <w:p w14:paraId="32C4374A"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Bhavani, B., Visalakshi, M., Bharathalakshmi, M., &amp; Veerabhadra Rao, K. (2016b). Integrated management of sugarcane borer complex through pheromone lures and biological control. </w:t>
      </w:r>
      <w:r w:rsidRPr="00D85277">
        <w:rPr>
          <w:rFonts w:ascii="Arial" w:eastAsiaTheme="minorHAnsi" w:hAnsi="Arial" w:cs="Arial"/>
          <w:i/>
          <w:iCs/>
          <w:kern w:val="2"/>
          <w:sz w:val="20"/>
          <w:szCs w:val="20"/>
        </w:rPr>
        <w:t>STC Agriculture and Natural Resources, 2</w:t>
      </w:r>
      <w:r w:rsidRPr="00D85277">
        <w:rPr>
          <w:rFonts w:ascii="Arial" w:eastAsiaTheme="minorHAnsi" w:hAnsi="Arial" w:cs="Arial"/>
          <w:kern w:val="2"/>
          <w:sz w:val="20"/>
          <w:szCs w:val="20"/>
        </w:rPr>
        <w:t>(6), 13–17.</w:t>
      </w:r>
    </w:p>
    <w:p w14:paraId="2C89F0E5"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Bhawar, N., Mohite, P., &amp; Patil, S. (2015). Seasonal incidence and </w:t>
      </w:r>
      <w:proofErr w:type="spellStart"/>
      <w:r w:rsidRPr="00D85277">
        <w:rPr>
          <w:rFonts w:ascii="Arial" w:eastAsiaTheme="minorHAnsi" w:hAnsi="Arial" w:cs="Arial"/>
          <w:kern w:val="2"/>
          <w:sz w:val="20"/>
          <w:szCs w:val="20"/>
        </w:rPr>
        <w:t>bioefficacy</w:t>
      </w:r>
      <w:proofErr w:type="spellEnd"/>
      <w:r w:rsidRPr="00D85277">
        <w:rPr>
          <w:rFonts w:ascii="Arial" w:eastAsiaTheme="minorHAnsi" w:hAnsi="Arial" w:cs="Arial"/>
          <w:kern w:val="2"/>
          <w:sz w:val="20"/>
          <w:szCs w:val="20"/>
        </w:rPr>
        <w:t xml:space="preserve"> of granular insecticides against sugarcane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in Western Maharashtra. </w:t>
      </w:r>
      <w:r w:rsidRPr="00D85277">
        <w:rPr>
          <w:rFonts w:ascii="Arial" w:eastAsiaTheme="minorHAnsi" w:hAnsi="Arial" w:cs="Arial"/>
          <w:i/>
          <w:iCs/>
          <w:kern w:val="2"/>
          <w:sz w:val="20"/>
          <w:szCs w:val="20"/>
        </w:rPr>
        <w:t>International Journal of Information Research and Review, 12</w:t>
      </w:r>
      <w:r w:rsidRPr="00D85277">
        <w:rPr>
          <w:rFonts w:ascii="Arial" w:eastAsiaTheme="minorHAnsi" w:hAnsi="Arial" w:cs="Arial"/>
          <w:kern w:val="2"/>
          <w:sz w:val="20"/>
          <w:szCs w:val="20"/>
        </w:rPr>
        <w:t>(2), 1538–1541.</w:t>
      </w:r>
    </w:p>
    <w:p w14:paraId="42EB40F5"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Choudhary, A. K., </w:t>
      </w:r>
      <w:proofErr w:type="spellStart"/>
      <w:r w:rsidRPr="00D85277">
        <w:rPr>
          <w:rFonts w:ascii="Arial" w:eastAsiaTheme="minorHAnsi" w:hAnsi="Arial" w:cs="Arial"/>
          <w:kern w:val="2"/>
          <w:sz w:val="20"/>
          <w:szCs w:val="20"/>
        </w:rPr>
        <w:t>Amrate</w:t>
      </w:r>
      <w:proofErr w:type="spellEnd"/>
      <w:r w:rsidRPr="00D85277">
        <w:rPr>
          <w:rFonts w:ascii="Arial" w:eastAsiaTheme="minorHAnsi" w:hAnsi="Arial" w:cs="Arial"/>
          <w:kern w:val="2"/>
          <w:sz w:val="20"/>
          <w:szCs w:val="20"/>
        </w:rPr>
        <w:t xml:space="preserve">, P. K., &amp; Chatterjee, A. (2018). Bioefficacy of same insecticides for the management of early shoot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infescutellus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Snellen</w:t>
      </w:r>
      <w:proofErr w:type="spellEnd"/>
      <w:r w:rsidRPr="00D85277">
        <w:rPr>
          <w:rFonts w:ascii="Arial" w:eastAsiaTheme="minorHAnsi" w:hAnsi="Arial" w:cs="Arial"/>
          <w:kern w:val="2"/>
          <w:sz w:val="20"/>
          <w:szCs w:val="20"/>
        </w:rPr>
        <w:t xml:space="preserve">) in sugarcane. </w:t>
      </w:r>
      <w:r w:rsidRPr="00D85277">
        <w:rPr>
          <w:rFonts w:ascii="Arial" w:eastAsiaTheme="minorHAnsi" w:hAnsi="Arial" w:cs="Arial"/>
          <w:i/>
          <w:iCs/>
          <w:kern w:val="2"/>
          <w:sz w:val="20"/>
          <w:szCs w:val="20"/>
        </w:rPr>
        <w:t>International Journal of Chemical Studies, 6</w:t>
      </w:r>
      <w:r w:rsidRPr="00D85277">
        <w:rPr>
          <w:rFonts w:ascii="Arial" w:eastAsiaTheme="minorHAnsi" w:hAnsi="Arial" w:cs="Arial"/>
          <w:kern w:val="2"/>
          <w:sz w:val="20"/>
          <w:szCs w:val="20"/>
        </w:rPr>
        <w:t>(3), 1371–1373.</w:t>
      </w:r>
    </w:p>
    <w:p w14:paraId="5627C095"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David, H. (1987). The internode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sacchariphagus</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indicus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Kapur</w:t>
      </w:r>
      <w:proofErr w:type="spellEnd"/>
      <w:r w:rsidRPr="00D85277">
        <w:rPr>
          <w:rFonts w:ascii="Arial" w:eastAsiaTheme="minorHAnsi" w:hAnsi="Arial" w:cs="Arial"/>
          <w:kern w:val="2"/>
          <w:sz w:val="20"/>
          <w:szCs w:val="20"/>
        </w:rPr>
        <w:t xml:space="preserve">). In H. David, S. </w:t>
      </w:r>
      <w:proofErr w:type="spellStart"/>
      <w:r w:rsidRPr="00D85277">
        <w:rPr>
          <w:rFonts w:ascii="Arial" w:eastAsiaTheme="minorHAnsi" w:hAnsi="Arial" w:cs="Arial"/>
          <w:kern w:val="2"/>
          <w:sz w:val="20"/>
          <w:szCs w:val="20"/>
        </w:rPr>
        <w:t>Easwaramoorthy</w:t>
      </w:r>
      <w:proofErr w:type="spellEnd"/>
      <w:r w:rsidRPr="00D85277">
        <w:rPr>
          <w:rFonts w:ascii="Arial" w:eastAsiaTheme="minorHAnsi" w:hAnsi="Arial" w:cs="Arial"/>
          <w:kern w:val="2"/>
          <w:sz w:val="20"/>
          <w:szCs w:val="20"/>
        </w:rPr>
        <w:t xml:space="preserve">, &amp; R. Jayanthi (Eds.), </w:t>
      </w:r>
      <w:r w:rsidRPr="00D85277">
        <w:rPr>
          <w:rFonts w:ascii="Arial" w:eastAsiaTheme="minorHAnsi" w:hAnsi="Arial" w:cs="Arial"/>
          <w:i/>
          <w:iCs/>
          <w:kern w:val="2"/>
          <w:sz w:val="20"/>
          <w:szCs w:val="20"/>
        </w:rPr>
        <w:t>Sugarcane Entomology in India</w:t>
      </w:r>
      <w:r w:rsidRPr="00D85277">
        <w:rPr>
          <w:rFonts w:ascii="Arial" w:eastAsiaTheme="minorHAnsi" w:hAnsi="Arial" w:cs="Arial"/>
          <w:kern w:val="2"/>
          <w:sz w:val="20"/>
          <w:szCs w:val="20"/>
        </w:rPr>
        <w:t xml:space="preserve"> (pp. 121–134). Sugarcane Breeding Institute, Coimbatore.</w:t>
      </w:r>
    </w:p>
    <w:p w14:paraId="4E13FC34"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David, H., &amp; Ananthanarayana, K. (1963). Assessment of losses caused by the internode borer of sugarcane, </w:t>
      </w:r>
      <w:proofErr w:type="spellStart"/>
      <w:r w:rsidRPr="00D85277">
        <w:rPr>
          <w:rFonts w:ascii="Arial" w:eastAsiaTheme="minorHAnsi" w:hAnsi="Arial" w:cs="Arial"/>
          <w:i/>
          <w:iCs/>
          <w:kern w:val="2"/>
          <w:sz w:val="20"/>
          <w:szCs w:val="20"/>
        </w:rPr>
        <w:t>Proceras</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indicus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Kapur</w:t>
      </w:r>
      <w:proofErr w:type="spellEnd"/>
      <w:r w:rsidRPr="00D85277">
        <w:rPr>
          <w:rFonts w:ascii="Arial" w:eastAsiaTheme="minorHAnsi" w:hAnsi="Arial" w:cs="Arial"/>
          <w:kern w:val="2"/>
          <w:sz w:val="20"/>
          <w:szCs w:val="20"/>
        </w:rPr>
        <w:t xml:space="preserve">. </w:t>
      </w:r>
      <w:r w:rsidRPr="00D85277">
        <w:rPr>
          <w:rFonts w:ascii="Arial" w:eastAsiaTheme="minorHAnsi" w:hAnsi="Arial" w:cs="Arial"/>
          <w:i/>
          <w:iCs/>
          <w:kern w:val="2"/>
          <w:sz w:val="20"/>
          <w:szCs w:val="20"/>
        </w:rPr>
        <w:t>Indian Journal of Sugarcane Research Development, 7</w:t>
      </w:r>
      <w:r w:rsidRPr="00D85277">
        <w:rPr>
          <w:rFonts w:ascii="Arial" w:eastAsiaTheme="minorHAnsi" w:hAnsi="Arial" w:cs="Arial"/>
          <w:kern w:val="2"/>
          <w:sz w:val="20"/>
          <w:szCs w:val="20"/>
        </w:rPr>
        <w:t>(4), 226–229.</w:t>
      </w:r>
    </w:p>
    <w:p w14:paraId="6FBF3C31" w14:textId="77777777" w:rsidR="004A60E0" w:rsidRPr="00D85277" w:rsidRDefault="004A60E0" w:rsidP="008E4A80">
      <w:pPr>
        <w:spacing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David, H., &amp; </w:t>
      </w:r>
      <w:proofErr w:type="spellStart"/>
      <w:r w:rsidRPr="00D85277">
        <w:rPr>
          <w:rFonts w:ascii="Arial" w:eastAsiaTheme="minorHAnsi" w:hAnsi="Arial" w:cs="Arial"/>
          <w:kern w:val="2"/>
          <w:sz w:val="20"/>
          <w:szCs w:val="20"/>
        </w:rPr>
        <w:t>Easwaramoorthy</w:t>
      </w:r>
      <w:proofErr w:type="spellEnd"/>
      <w:r w:rsidRPr="00D85277">
        <w:rPr>
          <w:rFonts w:ascii="Arial" w:eastAsiaTheme="minorHAnsi" w:hAnsi="Arial" w:cs="Arial"/>
          <w:kern w:val="2"/>
          <w:sz w:val="20"/>
          <w:szCs w:val="20"/>
        </w:rPr>
        <w:t>, S. (1990). Biological control of Chilo spp. in sugar-cane. </w:t>
      </w:r>
      <w:r w:rsidRPr="00D85277">
        <w:rPr>
          <w:rFonts w:ascii="Arial" w:eastAsiaTheme="minorHAnsi" w:hAnsi="Arial" w:cs="Arial"/>
          <w:i/>
          <w:iCs/>
          <w:kern w:val="2"/>
          <w:sz w:val="20"/>
          <w:szCs w:val="20"/>
        </w:rPr>
        <w:t>International Journal of Tropical Insect Science</w:t>
      </w:r>
      <w:r w:rsidRPr="00D85277">
        <w:rPr>
          <w:rFonts w:ascii="Arial" w:eastAsiaTheme="minorHAnsi" w:hAnsi="Arial" w:cs="Arial"/>
          <w:kern w:val="2"/>
          <w:sz w:val="20"/>
          <w:szCs w:val="20"/>
        </w:rPr>
        <w:t>, </w:t>
      </w:r>
      <w:r w:rsidRPr="00D85277">
        <w:rPr>
          <w:rFonts w:ascii="Arial" w:eastAsiaTheme="minorHAnsi" w:hAnsi="Arial" w:cs="Arial"/>
          <w:i/>
          <w:iCs/>
          <w:kern w:val="2"/>
          <w:sz w:val="20"/>
          <w:szCs w:val="20"/>
        </w:rPr>
        <w:t>11</w:t>
      </w:r>
      <w:r w:rsidRPr="00D85277">
        <w:rPr>
          <w:rFonts w:ascii="Arial" w:eastAsiaTheme="minorHAnsi" w:hAnsi="Arial" w:cs="Arial"/>
          <w:kern w:val="2"/>
          <w:sz w:val="20"/>
          <w:szCs w:val="20"/>
        </w:rPr>
        <w:t>(4-5), 733-748.</w:t>
      </w:r>
    </w:p>
    <w:p w14:paraId="167513D2" w14:textId="61856D35"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Douressamy, S., Vinothkumar, B., &amp; Kuttalam, S. (2018). </w:t>
      </w:r>
      <w:r w:rsidRPr="00D85277">
        <w:rPr>
          <w:rFonts w:ascii="Arial" w:eastAsiaTheme="minorHAnsi" w:hAnsi="Arial" w:cs="Arial"/>
          <w:kern w:val="2"/>
          <w:sz w:val="20"/>
          <w:szCs w:val="20"/>
        </w:rPr>
        <w:t xml:space="preserve">Efficacy of chlorantraniliprole 35 WG against borers of sugarcane. </w:t>
      </w:r>
      <w:r w:rsidRPr="00D85277">
        <w:rPr>
          <w:rFonts w:ascii="Arial" w:eastAsiaTheme="minorHAnsi" w:hAnsi="Arial" w:cs="Arial"/>
          <w:i/>
          <w:iCs/>
          <w:kern w:val="2"/>
          <w:sz w:val="20"/>
          <w:szCs w:val="20"/>
        </w:rPr>
        <w:t>Journal of Sugarcane Research, 8</w:t>
      </w:r>
      <w:r w:rsidRPr="00D85277">
        <w:rPr>
          <w:rFonts w:ascii="Arial" w:eastAsiaTheme="minorHAnsi" w:hAnsi="Arial" w:cs="Arial"/>
          <w:kern w:val="2"/>
          <w:sz w:val="20"/>
          <w:szCs w:val="20"/>
        </w:rPr>
        <w:t>(2), 185–</w:t>
      </w:r>
      <w:r w:rsidR="00FA5946">
        <w:rPr>
          <w:rFonts w:ascii="Arial" w:eastAsiaTheme="minorHAnsi" w:hAnsi="Arial" w:cs="Arial"/>
          <w:kern w:val="2"/>
          <w:sz w:val="20"/>
          <w:szCs w:val="20"/>
        </w:rPr>
        <w:t xml:space="preserve">       </w:t>
      </w:r>
      <w:r w:rsidRPr="00D85277">
        <w:rPr>
          <w:rFonts w:ascii="Arial" w:eastAsiaTheme="minorHAnsi" w:hAnsi="Arial" w:cs="Arial"/>
          <w:kern w:val="2"/>
          <w:sz w:val="20"/>
          <w:szCs w:val="20"/>
        </w:rPr>
        <w:t>194.</w:t>
      </w:r>
    </w:p>
    <w:p w14:paraId="2486280C"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FAO. (2023). </w:t>
      </w:r>
      <w:r w:rsidRPr="00D85277">
        <w:rPr>
          <w:rFonts w:ascii="Arial" w:eastAsiaTheme="minorHAnsi" w:hAnsi="Arial" w:cs="Arial"/>
          <w:i/>
          <w:iCs/>
          <w:kern w:val="2"/>
          <w:sz w:val="20"/>
          <w:szCs w:val="20"/>
        </w:rPr>
        <w:t>FAOSTAT: Production Sheet</w:t>
      </w:r>
      <w:r w:rsidRPr="00D85277">
        <w:rPr>
          <w:rFonts w:ascii="Arial" w:eastAsiaTheme="minorHAnsi" w:hAnsi="Arial" w:cs="Arial"/>
          <w:kern w:val="2"/>
          <w:sz w:val="20"/>
          <w:szCs w:val="20"/>
        </w:rPr>
        <w:t>. FAO.</w:t>
      </w:r>
    </w:p>
    <w:p w14:paraId="49BB1625"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Jaipal, S. (2000). An IPM module for the management of major insect pests of sugarcane in Indian subtropics. </w:t>
      </w:r>
      <w:r w:rsidRPr="00D85277">
        <w:rPr>
          <w:rFonts w:ascii="Arial" w:eastAsiaTheme="minorHAnsi" w:hAnsi="Arial" w:cs="Arial"/>
          <w:i/>
          <w:iCs/>
          <w:kern w:val="2"/>
          <w:sz w:val="20"/>
          <w:szCs w:val="20"/>
        </w:rPr>
        <w:t>Sugar Tech, 2</w:t>
      </w:r>
      <w:r w:rsidRPr="00D85277">
        <w:rPr>
          <w:rFonts w:ascii="Arial" w:eastAsiaTheme="minorHAnsi" w:hAnsi="Arial" w:cs="Arial"/>
          <w:kern w:val="2"/>
          <w:sz w:val="20"/>
          <w:szCs w:val="20"/>
        </w:rPr>
        <w:t>(3), 1–8.</w:t>
      </w:r>
    </w:p>
    <w:p w14:paraId="294D75B7" w14:textId="77777777" w:rsidR="004A60E0" w:rsidRPr="00D85277" w:rsidRDefault="004A60E0" w:rsidP="008E4A80">
      <w:pPr>
        <w:spacing w:after="0" w:line="240" w:lineRule="auto"/>
        <w:ind w:left="540" w:hanging="540"/>
        <w:jc w:val="both"/>
        <w:rPr>
          <w:rFonts w:ascii="Arial" w:eastAsiaTheme="minorHAnsi" w:hAnsi="Arial" w:cs="Arial"/>
          <w:kern w:val="2"/>
          <w:sz w:val="20"/>
          <w:szCs w:val="20"/>
          <w:lang w:val="sv-SE"/>
        </w:rPr>
      </w:pPr>
      <w:r w:rsidRPr="00D85277">
        <w:rPr>
          <w:rFonts w:ascii="Arial" w:eastAsiaTheme="minorHAnsi" w:hAnsi="Arial" w:cs="Arial"/>
          <w:kern w:val="2"/>
          <w:sz w:val="20"/>
          <w:szCs w:val="20"/>
        </w:rPr>
        <w:t xml:space="preserve">Kumar, A., Chand, H., &amp; Paswan, S. (2017). Bioefficacy of newer insecticides against shoot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infuscatellus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Snellen</w:t>
      </w:r>
      <w:proofErr w:type="spellEnd"/>
      <w:r w:rsidRPr="00D85277">
        <w:rPr>
          <w:rFonts w:ascii="Arial" w:eastAsiaTheme="minorHAnsi" w:hAnsi="Arial" w:cs="Arial"/>
          <w:kern w:val="2"/>
          <w:sz w:val="20"/>
          <w:szCs w:val="20"/>
        </w:rPr>
        <w:t xml:space="preserve"> under sugarcane agro ecosystem in Bihar. </w:t>
      </w:r>
      <w:r w:rsidRPr="00D85277">
        <w:rPr>
          <w:rFonts w:ascii="Arial" w:eastAsiaTheme="minorHAnsi" w:hAnsi="Arial" w:cs="Arial"/>
          <w:i/>
          <w:iCs/>
          <w:kern w:val="2"/>
          <w:sz w:val="20"/>
          <w:szCs w:val="20"/>
          <w:lang w:val="sv-SE"/>
        </w:rPr>
        <w:t>The Bioscan, 12</w:t>
      </w:r>
      <w:r w:rsidRPr="00D85277">
        <w:rPr>
          <w:rFonts w:ascii="Arial" w:eastAsiaTheme="minorHAnsi" w:hAnsi="Arial" w:cs="Arial"/>
          <w:kern w:val="2"/>
          <w:sz w:val="20"/>
          <w:szCs w:val="20"/>
          <w:lang w:val="sv-SE"/>
        </w:rPr>
        <w:t>(2), 799–801.</w:t>
      </w:r>
    </w:p>
    <w:p w14:paraId="1BA9B304"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Kumar, R., Kashyap, L., Sharma, A., &amp; Singh, B. (2020). </w:t>
      </w:r>
      <w:r w:rsidRPr="00D85277">
        <w:rPr>
          <w:rFonts w:ascii="Arial" w:eastAsiaTheme="minorHAnsi" w:hAnsi="Arial" w:cs="Arial"/>
          <w:kern w:val="2"/>
          <w:sz w:val="20"/>
          <w:szCs w:val="20"/>
        </w:rPr>
        <w:t xml:space="preserve">Bioefficacy and persistence of </w:t>
      </w:r>
      <w:proofErr w:type="spellStart"/>
      <w:r w:rsidRPr="00D85277">
        <w:rPr>
          <w:rFonts w:ascii="Arial" w:eastAsiaTheme="minorHAnsi" w:hAnsi="Arial" w:cs="Arial"/>
          <w:kern w:val="2"/>
          <w:sz w:val="20"/>
          <w:szCs w:val="20"/>
        </w:rPr>
        <w:t>Ferterra</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chlorantraniliprole</w:t>
      </w:r>
      <w:proofErr w:type="spellEnd"/>
      <w:r w:rsidRPr="00D85277">
        <w:rPr>
          <w:rFonts w:ascii="Arial" w:eastAsiaTheme="minorHAnsi" w:hAnsi="Arial" w:cs="Arial"/>
          <w:kern w:val="2"/>
          <w:sz w:val="20"/>
          <w:szCs w:val="20"/>
        </w:rPr>
        <w:t xml:space="preserve">) for the management of top borer </w:t>
      </w:r>
      <w:proofErr w:type="spellStart"/>
      <w:r w:rsidRPr="00D85277">
        <w:rPr>
          <w:rFonts w:ascii="Arial" w:eastAsiaTheme="minorHAnsi" w:hAnsi="Arial" w:cs="Arial"/>
          <w:i/>
          <w:iCs/>
          <w:kern w:val="2"/>
          <w:sz w:val="20"/>
          <w:szCs w:val="20"/>
        </w:rPr>
        <w:t>Scirpophaga</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excerptalis</w:t>
      </w:r>
      <w:proofErr w:type="spellEnd"/>
      <w:r w:rsidRPr="00D85277">
        <w:rPr>
          <w:rFonts w:ascii="Arial" w:eastAsiaTheme="minorHAnsi" w:hAnsi="Arial" w:cs="Arial"/>
          <w:kern w:val="2"/>
          <w:sz w:val="20"/>
          <w:szCs w:val="20"/>
        </w:rPr>
        <w:t xml:space="preserve"> in sugarcane in Punjab, India. </w:t>
      </w:r>
      <w:r w:rsidRPr="00D85277">
        <w:rPr>
          <w:rFonts w:ascii="Arial" w:eastAsiaTheme="minorHAnsi" w:hAnsi="Arial" w:cs="Arial"/>
          <w:i/>
          <w:iCs/>
          <w:kern w:val="2"/>
          <w:sz w:val="20"/>
          <w:szCs w:val="20"/>
        </w:rPr>
        <w:t>Pesticide Residue Journal, 32</w:t>
      </w:r>
      <w:r w:rsidRPr="00D85277">
        <w:rPr>
          <w:rFonts w:ascii="Arial" w:eastAsiaTheme="minorHAnsi" w:hAnsi="Arial" w:cs="Arial"/>
          <w:kern w:val="2"/>
          <w:sz w:val="20"/>
          <w:szCs w:val="20"/>
        </w:rPr>
        <w:t>(1), 69–77.</w:t>
      </w:r>
    </w:p>
    <w:p w14:paraId="58456982" w14:textId="77777777" w:rsidR="004A60E0" w:rsidRPr="00D85277" w:rsidRDefault="004A60E0" w:rsidP="008E4A80">
      <w:pPr>
        <w:spacing w:beforeLines="10" w:before="24"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lang w:val="sv-SE"/>
        </w:rPr>
        <w:lastRenderedPageBreak/>
        <w:t xml:space="preserve">Mahesh, P., Srikanth, J., Chandran, M., &amp; Singaravelu, B. (2018). </w:t>
      </w:r>
      <w:r w:rsidRPr="00D85277">
        <w:rPr>
          <w:rFonts w:ascii="Arial" w:eastAsiaTheme="minorHAnsi" w:hAnsi="Arial" w:cs="Arial"/>
          <w:kern w:val="2"/>
          <w:sz w:val="20"/>
          <w:szCs w:val="20"/>
        </w:rPr>
        <w:t xml:space="preserve">Resistance of </w:t>
      </w:r>
      <w:r w:rsidRPr="00D85277">
        <w:rPr>
          <w:rFonts w:ascii="Arial" w:eastAsiaTheme="minorHAnsi" w:hAnsi="Arial" w:cs="Arial"/>
          <w:i/>
          <w:iCs/>
          <w:kern w:val="2"/>
          <w:sz w:val="20"/>
          <w:szCs w:val="20"/>
        </w:rPr>
        <w:t>Saccharum</w:t>
      </w:r>
      <w:r w:rsidRPr="00D85277">
        <w:rPr>
          <w:rFonts w:ascii="Arial" w:eastAsiaTheme="minorHAnsi" w:hAnsi="Arial" w:cs="Arial"/>
          <w:kern w:val="2"/>
          <w:sz w:val="20"/>
          <w:szCs w:val="20"/>
        </w:rPr>
        <w:t xml:space="preserve"> spp. against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sacchariphagus</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indicus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Kapur</w:t>
      </w:r>
      <w:proofErr w:type="spellEnd"/>
      <w:r w:rsidRPr="00D85277">
        <w:rPr>
          <w:rFonts w:ascii="Arial" w:eastAsiaTheme="minorHAnsi" w:hAnsi="Arial" w:cs="Arial"/>
          <w:kern w:val="2"/>
          <w:sz w:val="20"/>
          <w:szCs w:val="20"/>
        </w:rPr>
        <w:t xml:space="preserve">) (Lepidoptera: </w:t>
      </w:r>
      <w:proofErr w:type="spellStart"/>
      <w:r w:rsidRPr="00D85277">
        <w:rPr>
          <w:rFonts w:ascii="Arial" w:eastAsiaTheme="minorHAnsi" w:hAnsi="Arial" w:cs="Arial"/>
          <w:kern w:val="2"/>
          <w:sz w:val="20"/>
          <w:szCs w:val="20"/>
        </w:rPr>
        <w:t>Crambidae</w:t>
      </w:r>
      <w:proofErr w:type="spellEnd"/>
      <w:r w:rsidRPr="00D85277">
        <w:rPr>
          <w:rFonts w:ascii="Arial" w:eastAsiaTheme="minorHAnsi" w:hAnsi="Arial" w:cs="Arial"/>
          <w:kern w:val="2"/>
          <w:sz w:val="20"/>
          <w:szCs w:val="20"/>
        </w:rPr>
        <w:t xml:space="preserve">) in India. </w:t>
      </w:r>
      <w:r w:rsidRPr="00D85277">
        <w:rPr>
          <w:rFonts w:ascii="Arial" w:eastAsiaTheme="minorHAnsi" w:hAnsi="Arial" w:cs="Arial"/>
          <w:i/>
          <w:iCs/>
          <w:kern w:val="2"/>
          <w:sz w:val="20"/>
          <w:szCs w:val="20"/>
        </w:rPr>
        <w:t>Experimental Agriculture, 54</w:t>
      </w:r>
      <w:r w:rsidRPr="00D85277">
        <w:rPr>
          <w:rFonts w:ascii="Arial" w:eastAsiaTheme="minorHAnsi" w:hAnsi="Arial" w:cs="Arial"/>
          <w:kern w:val="2"/>
          <w:sz w:val="20"/>
          <w:szCs w:val="20"/>
        </w:rPr>
        <w:t>(1), 83–95.</w:t>
      </w:r>
    </w:p>
    <w:p w14:paraId="79ED7DE2" w14:textId="77777777" w:rsidR="004A60E0" w:rsidRPr="00D85277" w:rsidRDefault="004A60E0" w:rsidP="008E4A80">
      <w:pPr>
        <w:spacing w:beforeLines="10" w:before="24"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Nilesh, B., Panduranga, M., &amp; Patil, S. (2015). </w:t>
      </w:r>
      <w:r w:rsidRPr="00D85277">
        <w:rPr>
          <w:rFonts w:ascii="Arial" w:eastAsiaTheme="minorHAnsi" w:hAnsi="Arial" w:cs="Arial"/>
          <w:kern w:val="2"/>
          <w:sz w:val="20"/>
          <w:szCs w:val="20"/>
        </w:rPr>
        <w:t xml:space="preserve">Seasonal incidence and </w:t>
      </w:r>
      <w:proofErr w:type="spellStart"/>
      <w:r w:rsidRPr="00D85277">
        <w:rPr>
          <w:rFonts w:ascii="Arial" w:eastAsiaTheme="minorHAnsi" w:hAnsi="Arial" w:cs="Arial"/>
          <w:kern w:val="2"/>
          <w:sz w:val="20"/>
          <w:szCs w:val="20"/>
        </w:rPr>
        <w:t>bioefficacy</w:t>
      </w:r>
      <w:proofErr w:type="spellEnd"/>
      <w:r w:rsidRPr="00D85277">
        <w:rPr>
          <w:rFonts w:ascii="Arial" w:eastAsiaTheme="minorHAnsi" w:hAnsi="Arial" w:cs="Arial"/>
          <w:kern w:val="2"/>
          <w:sz w:val="20"/>
          <w:szCs w:val="20"/>
        </w:rPr>
        <w:t xml:space="preserve"> of granular insecticides against sugarcane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in western of Maharashtra. </w:t>
      </w:r>
      <w:r w:rsidRPr="00D85277">
        <w:rPr>
          <w:rFonts w:ascii="Arial" w:eastAsiaTheme="minorHAnsi" w:hAnsi="Arial" w:cs="Arial"/>
          <w:i/>
          <w:iCs/>
          <w:kern w:val="2"/>
          <w:sz w:val="20"/>
          <w:szCs w:val="20"/>
        </w:rPr>
        <w:t>International Journal of Research Review, 2</w:t>
      </w:r>
      <w:r w:rsidRPr="00D85277">
        <w:rPr>
          <w:rFonts w:ascii="Arial" w:eastAsiaTheme="minorHAnsi" w:hAnsi="Arial" w:cs="Arial"/>
          <w:kern w:val="2"/>
          <w:sz w:val="20"/>
          <w:szCs w:val="20"/>
        </w:rPr>
        <w:t>(12), 1538–1541.</w:t>
      </w:r>
    </w:p>
    <w:p w14:paraId="4F67C025" w14:textId="77777777" w:rsidR="004A60E0" w:rsidRPr="00D85277" w:rsidRDefault="004A60E0" w:rsidP="008E4A80">
      <w:pPr>
        <w:spacing w:beforeLines="10" w:before="24"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Patil, A. S., &amp; </w:t>
      </w:r>
      <w:proofErr w:type="spellStart"/>
      <w:r w:rsidRPr="00D85277">
        <w:rPr>
          <w:rFonts w:ascii="Arial" w:eastAsiaTheme="minorHAnsi" w:hAnsi="Arial" w:cs="Arial"/>
          <w:kern w:val="2"/>
          <w:sz w:val="20"/>
          <w:szCs w:val="20"/>
        </w:rPr>
        <w:t>Hapase</w:t>
      </w:r>
      <w:proofErr w:type="spellEnd"/>
      <w:r w:rsidRPr="00D85277">
        <w:rPr>
          <w:rFonts w:ascii="Arial" w:eastAsiaTheme="minorHAnsi" w:hAnsi="Arial" w:cs="Arial"/>
          <w:kern w:val="2"/>
          <w:sz w:val="20"/>
          <w:szCs w:val="20"/>
        </w:rPr>
        <w:t xml:space="preserve">, D. G. (1981). Research on sugarcane borers in Maharashtra State. </w:t>
      </w:r>
      <w:r w:rsidRPr="00D85277">
        <w:rPr>
          <w:rFonts w:ascii="Arial" w:eastAsiaTheme="minorHAnsi" w:hAnsi="Arial" w:cs="Arial"/>
          <w:i/>
          <w:iCs/>
          <w:kern w:val="2"/>
          <w:sz w:val="20"/>
          <w:szCs w:val="20"/>
        </w:rPr>
        <w:t>Proceedings of National Symposium on Stalk Borer</w:t>
      </w:r>
      <w:r w:rsidRPr="00D85277">
        <w:rPr>
          <w:rFonts w:ascii="Arial" w:eastAsiaTheme="minorHAnsi" w:hAnsi="Arial" w:cs="Arial"/>
          <w:kern w:val="2"/>
          <w:sz w:val="20"/>
          <w:szCs w:val="20"/>
        </w:rPr>
        <w:t>, 165–175.</w:t>
      </w:r>
    </w:p>
    <w:p w14:paraId="5A431F49" w14:textId="77777777" w:rsidR="004A60E0" w:rsidRPr="00D85277" w:rsidRDefault="004A60E0" w:rsidP="008E4A80">
      <w:pPr>
        <w:spacing w:beforeLines="10" w:before="24"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rPr>
        <w:t>Penn, H. J., Richard, R. T., &amp; Dufrene, D. J. (2025). Initial assessment of diatomaceous earth use potential in Louisiana sugarcane IPM. </w:t>
      </w:r>
      <w:r w:rsidRPr="00D85277">
        <w:rPr>
          <w:rFonts w:ascii="Arial" w:eastAsiaTheme="minorHAnsi" w:hAnsi="Arial" w:cs="Arial"/>
          <w:i/>
          <w:iCs/>
          <w:kern w:val="2"/>
          <w:sz w:val="20"/>
          <w:szCs w:val="20"/>
        </w:rPr>
        <w:t>Journal of the Kansas Entomological Society</w:t>
      </w:r>
      <w:r w:rsidRPr="00D85277">
        <w:rPr>
          <w:rFonts w:ascii="Arial" w:eastAsiaTheme="minorHAnsi" w:hAnsi="Arial" w:cs="Arial"/>
          <w:kern w:val="2"/>
          <w:sz w:val="20"/>
          <w:szCs w:val="20"/>
        </w:rPr>
        <w:t>, </w:t>
      </w:r>
      <w:r w:rsidRPr="00D85277">
        <w:rPr>
          <w:rFonts w:ascii="Arial" w:eastAsiaTheme="minorHAnsi" w:hAnsi="Arial" w:cs="Arial"/>
          <w:i/>
          <w:iCs/>
          <w:kern w:val="2"/>
          <w:sz w:val="20"/>
          <w:szCs w:val="20"/>
        </w:rPr>
        <w:t>97</w:t>
      </w:r>
      <w:r w:rsidRPr="00D85277">
        <w:rPr>
          <w:rFonts w:ascii="Arial" w:eastAsiaTheme="minorHAnsi" w:hAnsi="Arial" w:cs="Arial"/>
          <w:kern w:val="2"/>
          <w:sz w:val="20"/>
          <w:szCs w:val="20"/>
        </w:rPr>
        <w:t>(4), 111-121.</w:t>
      </w:r>
    </w:p>
    <w:p w14:paraId="5C14172C" w14:textId="77777777" w:rsidR="004A60E0" w:rsidRPr="0049430A" w:rsidRDefault="004A60E0" w:rsidP="008E4A80">
      <w:pPr>
        <w:spacing w:beforeLines="10" w:before="24" w:after="0" w:line="240" w:lineRule="auto"/>
        <w:ind w:left="547" w:hanging="547"/>
        <w:jc w:val="both"/>
        <w:rPr>
          <w:rFonts w:ascii="Arial" w:eastAsiaTheme="minorHAnsi" w:hAnsi="Arial" w:cs="Arial"/>
          <w:kern w:val="2"/>
          <w:sz w:val="20"/>
          <w:szCs w:val="20"/>
          <w:lang w:val="pt-BR"/>
        </w:rPr>
      </w:pPr>
      <w:r w:rsidRPr="00D85277">
        <w:rPr>
          <w:rFonts w:ascii="Arial" w:eastAsiaTheme="minorHAnsi" w:hAnsi="Arial" w:cs="Arial"/>
          <w:kern w:val="2"/>
          <w:sz w:val="20"/>
          <w:szCs w:val="20"/>
        </w:rPr>
        <w:t>Prasad Rao, V. L. V., Rao, S. S., &amp; Rao, N. V. (1991). Factors influencing infestation of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in sugarcane. </w:t>
      </w:r>
      <w:r w:rsidRPr="0049430A">
        <w:rPr>
          <w:rFonts w:ascii="Arial" w:eastAsiaTheme="minorHAnsi" w:hAnsi="Arial" w:cs="Arial"/>
          <w:i/>
          <w:iCs/>
          <w:kern w:val="2"/>
          <w:sz w:val="20"/>
          <w:szCs w:val="20"/>
          <w:lang w:val="pt-BR"/>
        </w:rPr>
        <w:t>Cooperative Sugar, 22</w:t>
      </w:r>
      <w:r w:rsidRPr="0049430A">
        <w:rPr>
          <w:rFonts w:ascii="Arial" w:eastAsiaTheme="minorHAnsi" w:hAnsi="Arial" w:cs="Arial"/>
          <w:kern w:val="2"/>
          <w:sz w:val="20"/>
          <w:szCs w:val="20"/>
          <w:lang w:val="pt-BR"/>
        </w:rPr>
        <w:t>(8), 515–518.</w:t>
      </w:r>
    </w:p>
    <w:p w14:paraId="09C9E328" w14:textId="77777777" w:rsidR="004A60E0" w:rsidRPr="00D85277" w:rsidRDefault="004A60E0" w:rsidP="008E4A80">
      <w:pPr>
        <w:spacing w:beforeLines="10" w:before="24" w:after="0" w:line="240" w:lineRule="auto"/>
        <w:ind w:left="547" w:hanging="547"/>
        <w:jc w:val="both"/>
        <w:rPr>
          <w:rFonts w:ascii="Arial" w:eastAsiaTheme="minorHAnsi" w:hAnsi="Arial" w:cs="Arial"/>
          <w:kern w:val="2"/>
          <w:sz w:val="20"/>
          <w:szCs w:val="20"/>
        </w:rPr>
      </w:pPr>
      <w:r w:rsidRPr="0049430A">
        <w:rPr>
          <w:rFonts w:ascii="Arial" w:eastAsiaTheme="minorHAnsi" w:hAnsi="Arial" w:cs="Arial"/>
          <w:kern w:val="2"/>
          <w:sz w:val="20"/>
          <w:szCs w:val="20"/>
          <w:lang w:val="pt-BR"/>
        </w:rPr>
        <w:t xml:space="preserve">Rao, Ch. V. N., Venugopala Rao, N., &amp; Bhavani, B. (2006). </w:t>
      </w:r>
      <w:r w:rsidRPr="00D85277">
        <w:rPr>
          <w:rFonts w:ascii="Arial" w:eastAsiaTheme="minorHAnsi" w:hAnsi="Arial" w:cs="Arial"/>
          <w:kern w:val="2"/>
          <w:sz w:val="20"/>
          <w:szCs w:val="20"/>
        </w:rPr>
        <w:t xml:space="preserve">Efficacy of </w:t>
      </w:r>
      <w:proofErr w:type="spellStart"/>
      <w:r w:rsidRPr="00D85277">
        <w:rPr>
          <w:rFonts w:ascii="Arial" w:eastAsiaTheme="minorHAnsi" w:hAnsi="Arial" w:cs="Arial"/>
          <w:i/>
          <w:iCs/>
          <w:kern w:val="2"/>
          <w:sz w:val="20"/>
          <w:szCs w:val="20"/>
        </w:rPr>
        <w:t>Trichogramma</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chilonis</w:t>
      </w:r>
      <w:proofErr w:type="spellEnd"/>
      <w:r w:rsidRPr="00D85277">
        <w:rPr>
          <w:rFonts w:ascii="Arial" w:eastAsiaTheme="minorHAnsi" w:hAnsi="Arial" w:cs="Arial"/>
          <w:kern w:val="2"/>
          <w:sz w:val="20"/>
          <w:szCs w:val="20"/>
        </w:rPr>
        <w:t xml:space="preserve"> Ishii against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under sugar factory operational areas of Coastal Andhra Pradesh. </w:t>
      </w:r>
      <w:r w:rsidRPr="00D85277">
        <w:rPr>
          <w:rFonts w:ascii="Arial" w:eastAsiaTheme="minorHAnsi" w:hAnsi="Arial" w:cs="Arial"/>
          <w:i/>
          <w:iCs/>
          <w:kern w:val="2"/>
          <w:sz w:val="20"/>
          <w:szCs w:val="20"/>
        </w:rPr>
        <w:t>Journal of Biological Control, 20</w:t>
      </w:r>
      <w:r w:rsidRPr="00D85277">
        <w:rPr>
          <w:rFonts w:ascii="Arial" w:eastAsiaTheme="minorHAnsi" w:hAnsi="Arial" w:cs="Arial"/>
          <w:kern w:val="2"/>
          <w:sz w:val="20"/>
          <w:szCs w:val="20"/>
        </w:rPr>
        <w:t>(2), 225–228.</w:t>
      </w:r>
    </w:p>
    <w:p w14:paraId="211C25CA" w14:textId="77777777" w:rsidR="004A60E0" w:rsidRPr="00D85277" w:rsidRDefault="004A60E0" w:rsidP="008E4A80">
      <w:pPr>
        <w:spacing w:beforeLines="10" w:before="24"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Ruhela, S. K., &amp; Ruhela, M. (2024). </w:t>
      </w:r>
      <w:r w:rsidRPr="00D85277">
        <w:rPr>
          <w:rFonts w:ascii="Arial" w:eastAsiaTheme="minorHAnsi" w:hAnsi="Arial" w:cs="Arial"/>
          <w:kern w:val="2"/>
          <w:sz w:val="20"/>
          <w:szCs w:val="20"/>
        </w:rPr>
        <w:t>The control of the sugarcane pest top borer (</w:t>
      </w:r>
      <w:proofErr w:type="spellStart"/>
      <w:r w:rsidRPr="00D85277">
        <w:rPr>
          <w:rFonts w:ascii="Arial" w:eastAsiaTheme="minorHAnsi" w:hAnsi="Arial" w:cs="Arial"/>
          <w:i/>
          <w:iCs/>
          <w:kern w:val="2"/>
          <w:sz w:val="20"/>
          <w:szCs w:val="20"/>
        </w:rPr>
        <w:t>Scirpophaga</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nivella</w:t>
      </w:r>
      <w:proofErr w:type="spellEnd"/>
      <w:r w:rsidRPr="00D85277">
        <w:rPr>
          <w:rFonts w:ascii="Arial" w:eastAsiaTheme="minorHAnsi" w:hAnsi="Arial" w:cs="Arial"/>
          <w:kern w:val="2"/>
          <w:sz w:val="20"/>
          <w:szCs w:val="20"/>
        </w:rPr>
        <w:t xml:space="preserve"> FAB*) through many approaches as integrated pest management. </w:t>
      </w:r>
      <w:r w:rsidRPr="00D85277">
        <w:rPr>
          <w:rFonts w:ascii="Arial" w:eastAsiaTheme="minorHAnsi" w:hAnsi="Arial" w:cs="Arial"/>
          <w:i/>
          <w:iCs/>
          <w:kern w:val="2"/>
          <w:sz w:val="20"/>
          <w:szCs w:val="20"/>
        </w:rPr>
        <w:t>Journal of Advances in Biology &amp; Biotechnology, 27</w:t>
      </w:r>
      <w:r w:rsidRPr="00D85277">
        <w:rPr>
          <w:rFonts w:ascii="Arial" w:eastAsiaTheme="minorHAnsi" w:hAnsi="Arial" w:cs="Arial"/>
          <w:kern w:val="2"/>
          <w:sz w:val="20"/>
          <w:szCs w:val="20"/>
        </w:rPr>
        <w:t>(7), 512–520. https://doi.org/10.9734/jabb/2024/v27i71012</w:t>
      </w:r>
    </w:p>
    <w:p w14:paraId="4FE268F5" w14:textId="395BD8DA" w:rsidR="004A60E0" w:rsidRPr="00D85277" w:rsidRDefault="004A60E0" w:rsidP="008E4A80">
      <w:pPr>
        <w:spacing w:beforeLines="10" w:before="24" w:after="0" w:line="240" w:lineRule="auto"/>
        <w:ind w:left="547" w:hanging="547"/>
        <w:jc w:val="both"/>
        <w:rPr>
          <w:rFonts w:ascii="Arial" w:eastAsiaTheme="minorHAnsi" w:hAnsi="Arial" w:cs="Arial"/>
          <w:kern w:val="2"/>
          <w:sz w:val="20"/>
          <w:szCs w:val="20"/>
        </w:rPr>
      </w:pPr>
      <w:r w:rsidRPr="0049430A">
        <w:rPr>
          <w:rFonts w:ascii="Arial" w:eastAsiaTheme="minorHAnsi" w:hAnsi="Arial" w:cs="Arial"/>
          <w:kern w:val="2"/>
          <w:sz w:val="20"/>
          <w:szCs w:val="20"/>
          <w:lang w:val="pt-BR"/>
        </w:rPr>
        <w:t xml:space="preserve">Sheeba, J. R., &amp; Raja Babu, C. (2025). </w:t>
      </w:r>
      <w:r w:rsidRPr="00D85277">
        <w:rPr>
          <w:rFonts w:ascii="Arial" w:eastAsiaTheme="minorHAnsi" w:hAnsi="Arial" w:cs="Arial"/>
          <w:kern w:val="2"/>
          <w:sz w:val="20"/>
          <w:szCs w:val="20"/>
        </w:rPr>
        <w:t xml:space="preserve">Impact of bio intensive IPM components on borer complex in sugarcane for sustained cane production. </w:t>
      </w:r>
      <w:r w:rsidRPr="00D85277">
        <w:rPr>
          <w:rFonts w:ascii="Arial" w:eastAsiaTheme="minorHAnsi" w:hAnsi="Arial" w:cs="Arial"/>
          <w:i/>
          <w:iCs/>
          <w:kern w:val="2"/>
          <w:sz w:val="20"/>
          <w:szCs w:val="20"/>
        </w:rPr>
        <w:t>Journal of Scientific Research and Reports, 31</w:t>
      </w:r>
      <w:r w:rsidRPr="00D85277">
        <w:rPr>
          <w:rFonts w:ascii="Arial" w:eastAsiaTheme="minorHAnsi" w:hAnsi="Arial" w:cs="Arial"/>
          <w:kern w:val="2"/>
          <w:sz w:val="20"/>
          <w:szCs w:val="20"/>
        </w:rPr>
        <w:t>(7), 747–752. https://doi.org/10.9734/jsrr/2025/v31i73294</w:t>
      </w:r>
    </w:p>
    <w:p w14:paraId="3BE17025" w14:textId="77777777"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Sheeba, J. R., Rajendran, B., &amp; Rani, K. (2012). </w:t>
      </w:r>
      <w:r w:rsidRPr="00D85277">
        <w:rPr>
          <w:rFonts w:ascii="Arial" w:eastAsiaTheme="minorHAnsi" w:hAnsi="Arial" w:cs="Arial"/>
          <w:kern w:val="2"/>
          <w:sz w:val="20"/>
          <w:szCs w:val="20"/>
        </w:rPr>
        <w:t xml:space="preserve">Biological integrated pest management of sugarcane. </w:t>
      </w:r>
      <w:r w:rsidRPr="00D85277">
        <w:rPr>
          <w:rFonts w:ascii="Arial" w:eastAsiaTheme="minorHAnsi" w:hAnsi="Arial" w:cs="Arial"/>
          <w:i/>
          <w:iCs/>
          <w:kern w:val="2"/>
          <w:sz w:val="20"/>
          <w:szCs w:val="20"/>
        </w:rPr>
        <w:t>Journal of Entomology, 5</w:t>
      </w:r>
      <w:r w:rsidRPr="00D85277">
        <w:rPr>
          <w:rFonts w:ascii="Arial" w:eastAsiaTheme="minorHAnsi" w:hAnsi="Arial" w:cs="Arial"/>
          <w:kern w:val="2"/>
          <w:sz w:val="20"/>
          <w:szCs w:val="20"/>
        </w:rPr>
        <w:t>, 209–211.</w:t>
      </w:r>
    </w:p>
    <w:p w14:paraId="52981FEB" w14:textId="77777777"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Shobharani, M., Rachappa, V., Sidramappa, &amp; Sunilkumar, N. M. (2018). </w:t>
      </w:r>
      <w:r w:rsidRPr="00D85277">
        <w:rPr>
          <w:rFonts w:ascii="Arial" w:eastAsiaTheme="minorHAnsi" w:hAnsi="Arial" w:cs="Arial"/>
          <w:kern w:val="2"/>
          <w:sz w:val="20"/>
          <w:szCs w:val="20"/>
        </w:rPr>
        <w:t>Evaluation of new insecticide molecules for the management of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on sugarcane. </w:t>
      </w:r>
      <w:r w:rsidRPr="00D85277">
        <w:rPr>
          <w:rFonts w:ascii="Arial" w:eastAsiaTheme="minorHAnsi" w:hAnsi="Arial" w:cs="Arial"/>
          <w:i/>
          <w:iCs/>
          <w:kern w:val="2"/>
          <w:sz w:val="20"/>
          <w:szCs w:val="20"/>
        </w:rPr>
        <w:lastRenderedPageBreak/>
        <w:t>International Journal of Current Microbiology and Applied Sciences, 7</w:t>
      </w:r>
      <w:r w:rsidRPr="00D85277">
        <w:rPr>
          <w:rFonts w:ascii="Arial" w:eastAsiaTheme="minorHAnsi" w:hAnsi="Arial" w:cs="Arial"/>
          <w:kern w:val="2"/>
          <w:sz w:val="20"/>
          <w:szCs w:val="20"/>
        </w:rPr>
        <w:t>(9), 2079–2088. https://doi.org/10.20546/ijcmas.2018.709.253</w:t>
      </w:r>
    </w:p>
    <w:p w14:paraId="310D6A77"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Sithanantham, S., Prabakaran, M., Bhavani, B., Jhansi, K., Vijayaprasad, P., Babu, V., Punnarao, V. V., &amp; Kannanraja, N. (2020). </w:t>
      </w:r>
      <w:r w:rsidRPr="00D85277">
        <w:rPr>
          <w:rFonts w:ascii="Arial" w:eastAsiaTheme="minorHAnsi" w:hAnsi="Arial" w:cs="Arial"/>
          <w:kern w:val="2"/>
          <w:sz w:val="20"/>
          <w:szCs w:val="20"/>
        </w:rPr>
        <w:t xml:space="preserve">Multi-location test of alternative pheromone trap designs for sugarcane early shoot borer in South India. </w:t>
      </w:r>
      <w:r w:rsidRPr="00D85277">
        <w:rPr>
          <w:rFonts w:ascii="Arial" w:eastAsiaTheme="minorHAnsi" w:hAnsi="Arial" w:cs="Arial"/>
          <w:i/>
          <w:iCs/>
          <w:kern w:val="2"/>
          <w:sz w:val="20"/>
          <w:szCs w:val="20"/>
        </w:rPr>
        <w:t>Sugar Tech, 22</w:t>
      </w:r>
      <w:r w:rsidRPr="00D85277">
        <w:rPr>
          <w:rFonts w:ascii="Arial" w:eastAsiaTheme="minorHAnsi" w:hAnsi="Arial" w:cs="Arial"/>
          <w:kern w:val="2"/>
          <w:sz w:val="20"/>
          <w:szCs w:val="20"/>
        </w:rPr>
        <w:t>, 98–104. https://doi.org/10.1007/s12355-019-00744-7</w:t>
      </w:r>
    </w:p>
    <w:p w14:paraId="6ABA26E1"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Srikanth, J. (2012). Managing pests in sugarcane: Issues and strategies. In N. V. Nair, D. Puthira Prathap, R. Viswanathan, J. Srikanth, &amp; Bhaskaran Bakshi Ram (Eds.), </w:t>
      </w:r>
      <w:r w:rsidRPr="00D85277">
        <w:rPr>
          <w:rFonts w:ascii="Arial" w:eastAsiaTheme="minorHAnsi" w:hAnsi="Arial" w:cs="Arial"/>
          <w:i/>
          <w:iCs/>
          <w:kern w:val="2"/>
          <w:sz w:val="20"/>
          <w:szCs w:val="20"/>
        </w:rPr>
        <w:t>Perspectives in Sugarcane Agriculture</w:t>
      </w:r>
      <w:r w:rsidRPr="00D85277">
        <w:rPr>
          <w:rFonts w:ascii="Arial" w:eastAsiaTheme="minorHAnsi" w:hAnsi="Arial" w:cs="Arial"/>
          <w:kern w:val="2"/>
          <w:sz w:val="20"/>
          <w:szCs w:val="20"/>
        </w:rPr>
        <w:t xml:space="preserve"> (pp. 207–228). SBI Centenary Publication No. 20. Society for Sugarcane Research &amp; Development, ICAR-Sugarcane Breeding Institute, Coimbatore, India.</w:t>
      </w:r>
    </w:p>
    <w:p w14:paraId="027262CE"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Srikanth, J. (2019). Glimpses of research on biocontrol of sugarcane pests in India: Retrospect and prospects. </w:t>
      </w:r>
      <w:r w:rsidRPr="00D85277">
        <w:rPr>
          <w:rFonts w:ascii="Arial" w:eastAsiaTheme="minorHAnsi" w:hAnsi="Arial" w:cs="Arial"/>
          <w:i/>
          <w:iCs/>
          <w:kern w:val="2"/>
          <w:sz w:val="20"/>
          <w:szCs w:val="20"/>
        </w:rPr>
        <w:t>Journal of Sugarcane Research, 9</w:t>
      </w:r>
      <w:r w:rsidRPr="00D85277">
        <w:rPr>
          <w:rFonts w:ascii="Arial" w:eastAsiaTheme="minorHAnsi" w:hAnsi="Arial" w:cs="Arial"/>
          <w:kern w:val="2"/>
          <w:sz w:val="20"/>
          <w:szCs w:val="20"/>
        </w:rPr>
        <w:t>(1), 1–28.</w:t>
      </w:r>
    </w:p>
    <w:p w14:paraId="79451CE0" w14:textId="5C7BC7EC"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lang w:val="sv-SE"/>
        </w:rPr>
      </w:pPr>
      <w:r w:rsidRPr="00D85277">
        <w:rPr>
          <w:rFonts w:ascii="Arial" w:eastAsiaTheme="minorHAnsi" w:hAnsi="Arial" w:cs="Arial"/>
          <w:kern w:val="2"/>
          <w:sz w:val="20"/>
          <w:szCs w:val="20"/>
          <w:lang w:val="sv-SE"/>
        </w:rPr>
        <w:t xml:space="preserve">Srikanth, J., &amp; Kurup, N. K. (2011). </w:t>
      </w:r>
      <w:r w:rsidRPr="00D85277">
        <w:rPr>
          <w:rFonts w:ascii="Arial" w:eastAsiaTheme="minorHAnsi" w:hAnsi="Arial" w:cs="Arial"/>
          <w:kern w:val="2"/>
          <w:sz w:val="20"/>
          <w:szCs w:val="20"/>
        </w:rPr>
        <w:t xml:space="preserve">Damage pattern of sugarcane internode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sacchariphagus</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indicus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Kapur</w:t>
      </w:r>
      <w:proofErr w:type="spellEnd"/>
      <w:r w:rsidRPr="00D85277">
        <w:rPr>
          <w:rFonts w:ascii="Arial" w:eastAsiaTheme="minorHAnsi" w:hAnsi="Arial" w:cs="Arial"/>
          <w:kern w:val="2"/>
          <w:sz w:val="20"/>
          <w:szCs w:val="20"/>
        </w:rPr>
        <w:t xml:space="preserve">) in Tamil Nadu State, southern India. </w:t>
      </w:r>
      <w:r w:rsidRPr="00D85277">
        <w:rPr>
          <w:rFonts w:ascii="Arial" w:eastAsiaTheme="minorHAnsi" w:hAnsi="Arial" w:cs="Arial"/>
          <w:i/>
          <w:iCs/>
          <w:kern w:val="2"/>
          <w:sz w:val="20"/>
          <w:szCs w:val="20"/>
          <w:lang w:val="sv-SE"/>
        </w:rPr>
        <w:t>International Sugar Journal, 113</w:t>
      </w:r>
      <w:r w:rsidRPr="00D85277">
        <w:rPr>
          <w:rFonts w:ascii="Arial" w:eastAsiaTheme="minorHAnsi" w:hAnsi="Arial" w:cs="Arial"/>
          <w:kern w:val="2"/>
          <w:sz w:val="20"/>
          <w:szCs w:val="20"/>
          <w:lang w:val="sv-SE"/>
        </w:rPr>
        <w:t>(1352), 590–594.</w:t>
      </w:r>
    </w:p>
    <w:p w14:paraId="6B71A560"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Srikanth, J., </w:t>
      </w:r>
      <w:proofErr w:type="spellStart"/>
      <w:r w:rsidRPr="00D85277">
        <w:rPr>
          <w:rFonts w:ascii="Arial" w:eastAsiaTheme="minorHAnsi" w:hAnsi="Arial" w:cs="Arial"/>
          <w:kern w:val="2"/>
          <w:sz w:val="20"/>
          <w:szCs w:val="20"/>
        </w:rPr>
        <w:t>Easwaramoorthy</w:t>
      </w:r>
      <w:proofErr w:type="spellEnd"/>
      <w:r w:rsidRPr="00D85277">
        <w:rPr>
          <w:rFonts w:ascii="Arial" w:eastAsiaTheme="minorHAnsi" w:hAnsi="Arial" w:cs="Arial"/>
          <w:kern w:val="2"/>
          <w:sz w:val="20"/>
          <w:szCs w:val="20"/>
        </w:rPr>
        <w:t xml:space="preserve">, S., &amp; Jalali, S. K. (2016). 100 years of biological control of sugarcane pests in India: Review and perspective. </w:t>
      </w:r>
      <w:r w:rsidRPr="00D85277">
        <w:rPr>
          <w:rFonts w:ascii="Arial" w:eastAsiaTheme="minorHAnsi" w:hAnsi="Arial" w:cs="Arial"/>
          <w:i/>
          <w:iCs/>
          <w:kern w:val="2"/>
          <w:sz w:val="20"/>
          <w:szCs w:val="20"/>
        </w:rPr>
        <w:t>CAB Reviews, 11</w:t>
      </w:r>
      <w:r w:rsidRPr="00D85277">
        <w:rPr>
          <w:rFonts w:ascii="Arial" w:eastAsiaTheme="minorHAnsi" w:hAnsi="Arial" w:cs="Arial"/>
          <w:kern w:val="2"/>
          <w:sz w:val="20"/>
          <w:szCs w:val="20"/>
        </w:rPr>
        <w:t>, No. 013. http://www.cabi.org/cabreviews</w:t>
      </w:r>
    </w:p>
    <w:p w14:paraId="01E2494B" w14:textId="77777777"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Srikanth, J., </w:t>
      </w:r>
      <w:proofErr w:type="spellStart"/>
      <w:r w:rsidRPr="00D85277">
        <w:rPr>
          <w:rFonts w:ascii="Arial" w:eastAsiaTheme="minorHAnsi" w:hAnsi="Arial" w:cs="Arial"/>
          <w:kern w:val="2"/>
          <w:sz w:val="20"/>
          <w:szCs w:val="20"/>
        </w:rPr>
        <w:t>Easwaramoorthy</w:t>
      </w:r>
      <w:proofErr w:type="spellEnd"/>
      <w:r w:rsidRPr="00D85277">
        <w:rPr>
          <w:rFonts w:ascii="Arial" w:eastAsiaTheme="minorHAnsi" w:hAnsi="Arial" w:cs="Arial"/>
          <w:kern w:val="2"/>
          <w:sz w:val="20"/>
          <w:szCs w:val="20"/>
        </w:rPr>
        <w:t xml:space="preserve">, S., &amp; Santhalakshmi, G. (2001). Seasonal fluctuations of natural enemies of sugarcane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In </w:t>
      </w:r>
      <w:r w:rsidRPr="00D85277">
        <w:rPr>
          <w:rFonts w:ascii="Arial" w:eastAsiaTheme="minorHAnsi" w:hAnsi="Arial" w:cs="Arial"/>
          <w:i/>
          <w:iCs/>
          <w:kern w:val="2"/>
          <w:sz w:val="20"/>
          <w:szCs w:val="20"/>
        </w:rPr>
        <w:t>Advances in Entomology, Proceedings of ENTOMOCONGRESS 2000: Perspectives for the New Millennium</w:t>
      </w:r>
      <w:r w:rsidRPr="00D85277">
        <w:rPr>
          <w:rFonts w:ascii="Arial" w:eastAsiaTheme="minorHAnsi" w:hAnsi="Arial" w:cs="Arial"/>
          <w:kern w:val="2"/>
          <w:sz w:val="20"/>
          <w:szCs w:val="20"/>
        </w:rPr>
        <w:t xml:space="preserve"> (pp. 76–79). Association for Advancement of Entomology, University of Kerala, Trivandrum, Kerala. </w:t>
      </w:r>
      <w:r w:rsidRPr="00D85277">
        <w:rPr>
          <w:rFonts w:ascii="Arial" w:eastAsiaTheme="minorHAnsi" w:hAnsi="Arial" w:cs="Arial"/>
          <w:i/>
          <w:iCs/>
          <w:kern w:val="2"/>
          <w:sz w:val="20"/>
          <w:szCs w:val="20"/>
        </w:rPr>
        <w:t>Entomon, 26</w:t>
      </w:r>
      <w:r w:rsidRPr="00D85277">
        <w:rPr>
          <w:rFonts w:ascii="Arial" w:eastAsiaTheme="minorHAnsi" w:hAnsi="Arial" w:cs="Arial"/>
          <w:kern w:val="2"/>
          <w:sz w:val="20"/>
          <w:szCs w:val="20"/>
        </w:rPr>
        <w:t xml:space="preserve"> (Special Issue).</w:t>
      </w:r>
    </w:p>
    <w:p w14:paraId="612267A2" w14:textId="412D5020" w:rsidR="004A60E0" w:rsidRPr="00D85277" w:rsidRDefault="004A60E0" w:rsidP="008E4A80">
      <w:pPr>
        <w:spacing w:beforeLines="20" w:before="48" w:after="0" w:line="240" w:lineRule="auto"/>
        <w:ind w:left="540" w:hanging="540"/>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Srikanth, J., Geetha, N., Kurup, N. K., &amp; Santhalakshmi, G. (2002). Density dependent natural control of sugarcane shoot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infuscatellus</w:t>
      </w:r>
      <w:proofErr w:type="spellEnd"/>
      <w:r w:rsidRPr="00D85277">
        <w:rPr>
          <w:rFonts w:ascii="Arial" w:eastAsiaTheme="minorHAnsi" w:hAnsi="Arial" w:cs="Arial"/>
          <w:kern w:val="2"/>
          <w:sz w:val="20"/>
          <w:szCs w:val="20"/>
        </w:rPr>
        <w:t xml:space="preserve"> </w:t>
      </w:r>
      <w:r w:rsidR="008E4A80"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Snellen</w:t>
      </w:r>
      <w:proofErr w:type="spellEnd"/>
      <w:r w:rsidRPr="00D85277">
        <w:rPr>
          <w:rFonts w:ascii="Arial" w:eastAsiaTheme="minorHAnsi" w:hAnsi="Arial" w:cs="Arial"/>
          <w:kern w:val="2"/>
          <w:sz w:val="20"/>
          <w:szCs w:val="20"/>
        </w:rPr>
        <w:t xml:space="preserve"> (Lepidoptera: </w:t>
      </w:r>
      <w:proofErr w:type="spellStart"/>
      <w:r w:rsidRPr="00D85277">
        <w:rPr>
          <w:rFonts w:ascii="Arial" w:eastAsiaTheme="minorHAnsi" w:hAnsi="Arial" w:cs="Arial"/>
          <w:kern w:val="2"/>
          <w:sz w:val="20"/>
          <w:szCs w:val="20"/>
        </w:rPr>
        <w:t>Pyralidae</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Crambidae</w:t>
      </w:r>
      <w:proofErr w:type="spellEnd"/>
      <w:r w:rsidRPr="00D85277">
        <w:rPr>
          <w:rFonts w:ascii="Arial" w:eastAsiaTheme="minorHAnsi" w:hAnsi="Arial" w:cs="Arial"/>
          <w:kern w:val="2"/>
          <w:sz w:val="20"/>
          <w:szCs w:val="20"/>
        </w:rPr>
        <w:t xml:space="preserve">). In K. P. Sanjayan, V. Mahalingam, &amp; M. C. </w:t>
      </w:r>
      <w:proofErr w:type="spellStart"/>
      <w:r w:rsidRPr="00D85277">
        <w:rPr>
          <w:rFonts w:ascii="Arial" w:eastAsiaTheme="minorHAnsi" w:hAnsi="Arial" w:cs="Arial"/>
          <w:kern w:val="2"/>
          <w:sz w:val="20"/>
          <w:szCs w:val="20"/>
        </w:rPr>
        <w:t>Muralirangan</w:t>
      </w:r>
      <w:proofErr w:type="spellEnd"/>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lastRenderedPageBreak/>
        <w:t xml:space="preserve">(Eds.), </w:t>
      </w:r>
      <w:r w:rsidRPr="00D85277">
        <w:rPr>
          <w:rFonts w:ascii="Arial" w:eastAsiaTheme="minorHAnsi" w:hAnsi="Arial" w:cs="Arial"/>
          <w:i/>
          <w:iCs/>
          <w:kern w:val="2"/>
          <w:sz w:val="20"/>
          <w:szCs w:val="20"/>
        </w:rPr>
        <w:t xml:space="preserve">Vistas of Entomological </w:t>
      </w:r>
      <w:r w:rsidR="008E4A80" w:rsidRPr="00D85277">
        <w:rPr>
          <w:rFonts w:ascii="Arial" w:eastAsiaTheme="minorHAnsi" w:hAnsi="Arial" w:cs="Arial"/>
          <w:i/>
          <w:iCs/>
          <w:kern w:val="2"/>
          <w:sz w:val="20"/>
          <w:szCs w:val="20"/>
        </w:rPr>
        <w:t xml:space="preserve">              </w:t>
      </w:r>
      <w:r w:rsidRPr="00D85277">
        <w:rPr>
          <w:rFonts w:ascii="Arial" w:eastAsiaTheme="minorHAnsi" w:hAnsi="Arial" w:cs="Arial"/>
          <w:i/>
          <w:iCs/>
          <w:kern w:val="2"/>
          <w:sz w:val="20"/>
          <w:szCs w:val="20"/>
        </w:rPr>
        <w:t>Research for the New Millennium: Proceedings of National Symposium</w:t>
      </w:r>
      <w:r w:rsidRPr="00D85277">
        <w:rPr>
          <w:rFonts w:ascii="Arial" w:eastAsiaTheme="minorHAnsi" w:hAnsi="Arial" w:cs="Arial"/>
          <w:kern w:val="2"/>
          <w:sz w:val="20"/>
          <w:szCs w:val="20"/>
        </w:rPr>
        <w:t xml:space="preserve"> (pp. 119–122). G.S. Gill Research Institute, Chennai, India.</w:t>
      </w:r>
    </w:p>
    <w:p w14:paraId="7FEEA431" w14:textId="77777777"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Srikanth, J., Geetha, N., Punithavalli, M., Mahesh, P., Saravanan, L., Singaravelu, B., Salin, K. P., &amp; Yogambal, C. (2022). </w:t>
      </w:r>
      <w:r w:rsidRPr="00D85277">
        <w:rPr>
          <w:rFonts w:ascii="Arial" w:eastAsiaTheme="minorHAnsi" w:hAnsi="Arial" w:cs="Arial"/>
          <w:kern w:val="2"/>
          <w:sz w:val="20"/>
          <w:szCs w:val="20"/>
        </w:rPr>
        <w:t>A reappraisal of internode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sacchariphagus</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indicus</w:t>
      </w:r>
      <w:proofErr w:type="spellEnd"/>
      <w:r w:rsidRPr="00D85277">
        <w:rPr>
          <w:rFonts w:ascii="Arial" w:eastAsiaTheme="minorHAnsi" w:hAnsi="Arial" w:cs="Arial"/>
          <w:kern w:val="2"/>
          <w:sz w:val="20"/>
          <w:szCs w:val="20"/>
        </w:rPr>
        <w:t xml:space="preserve">) impact on sugarcane. </w:t>
      </w:r>
      <w:r w:rsidRPr="00D85277">
        <w:rPr>
          <w:rFonts w:ascii="Arial" w:eastAsiaTheme="minorHAnsi" w:hAnsi="Arial" w:cs="Arial"/>
          <w:i/>
          <w:iCs/>
          <w:kern w:val="2"/>
          <w:sz w:val="20"/>
          <w:szCs w:val="20"/>
        </w:rPr>
        <w:t>Journal of Sugarcane Research, 12</w:t>
      </w:r>
      <w:r w:rsidRPr="00D85277">
        <w:rPr>
          <w:rFonts w:ascii="Arial" w:eastAsiaTheme="minorHAnsi" w:hAnsi="Arial" w:cs="Arial"/>
          <w:kern w:val="2"/>
          <w:sz w:val="20"/>
          <w:szCs w:val="20"/>
        </w:rPr>
        <w:t>, 92–102.</w:t>
      </w:r>
    </w:p>
    <w:p w14:paraId="011DE3B1" w14:textId="77777777"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lang w:val="sv-SE"/>
        </w:rPr>
      </w:pPr>
      <w:r w:rsidRPr="00D85277">
        <w:rPr>
          <w:rFonts w:ascii="Arial" w:eastAsiaTheme="minorHAnsi" w:hAnsi="Arial" w:cs="Arial"/>
          <w:kern w:val="2"/>
          <w:sz w:val="20"/>
          <w:szCs w:val="20"/>
          <w:lang w:val="sv-SE"/>
        </w:rPr>
        <w:t xml:space="preserve">Srikanth, J., Salin, K. P., Kurup, N. K., &amp; Subadra Bai, K. (2009). </w:t>
      </w:r>
      <w:r w:rsidRPr="00D85277">
        <w:rPr>
          <w:rFonts w:ascii="Arial" w:eastAsiaTheme="minorHAnsi" w:hAnsi="Arial" w:cs="Arial"/>
          <w:kern w:val="2"/>
          <w:sz w:val="20"/>
          <w:szCs w:val="20"/>
        </w:rPr>
        <w:t xml:space="preserve">Assessment of the tachinid </w:t>
      </w:r>
      <w:r w:rsidRPr="00D85277">
        <w:rPr>
          <w:rFonts w:ascii="Arial" w:eastAsiaTheme="minorHAnsi" w:hAnsi="Arial" w:cs="Arial"/>
          <w:i/>
          <w:iCs/>
          <w:kern w:val="2"/>
          <w:sz w:val="20"/>
          <w:szCs w:val="20"/>
        </w:rPr>
        <w:t>Sturmiopsis inferens</w:t>
      </w:r>
      <w:r w:rsidRPr="00D85277">
        <w:rPr>
          <w:rFonts w:ascii="Arial" w:eastAsiaTheme="minorHAnsi" w:hAnsi="Arial" w:cs="Arial"/>
          <w:kern w:val="2"/>
          <w:sz w:val="20"/>
          <w:szCs w:val="20"/>
        </w:rPr>
        <w:t xml:space="preserve"> as a natural and applied biological control agent of sugarcane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in southern India. </w:t>
      </w:r>
      <w:r w:rsidRPr="00D85277">
        <w:rPr>
          <w:rFonts w:ascii="Arial" w:eastAsiaTheme="minorHAnsi" w:hAnsi="Arial" w:cs="Arial"/>
          <w:i/>
          <w:iCs/>
          <w:kern w:val="2"/>
          <w:sz w:val="20"/>
          <w:szCs w:val="20"/>
          <w:lang w:val="sv-SE"/>
        </w:rPr>
        <w:t>Sugar Tech, 11</w:t>
      </w:r>
      <w:r w:rsidRPr="00D85277">
        <w:rPr>
          <w:rFonts w:ascii="Arial" w:eastAsiaTheme="minorHAnsi" w:hAnsi="Arial" w:cs="Arial"/>
          <w:kern w:val="2"/>
          <w:sz w:val="20"/>
          <w:szCs w:val="20"/>
          <w:lang w:val="sv-SE"/>
        </w:rPr>
        <w:t>(1), 51–59.</w:t>
      </w:r>
    </w:p>
    <w:p w14:paraId="72B4A263" w14:textId="77777777"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Sunilkumar, N. M., Hosamani, A., Shobharani, M., &amp; Jadhav, R. L. (2018). </w:t>
      </w:r>
      <w:r w:rsidRPr="00D85277">
        <w:rPr>
          <w:rFonts w:ascii="Arial" w:eastAsiaTheme="minorHAnsi" w:hAnsi="Arial" w:cs="Arial"/>
          <w:kern w:val="2"/>
          <w:sz w:val="20"/>
          <w:szCs w:val="20"/>
        </w:rPr>
        <w:t xml:space="preserve">Bio efficacy of new insecticide molecules chlorantraniliprole 35% WG against sugarcane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and internode borer </w:t>
      </w:r>
      <w:proofErr w:type="spellStart"/>
      <w:r w:rsidRPr="00D85277">
        <w:rPr>
          <w:rFonts w:ascii="Arial" w:eastAsiaTheme="minorHAnsi" w:hAnsi="Arial" w:cs="Arial"/>
          <w:i/>
          <w:iCs/>
          <w:kern w:val="2"/>
          <w:sz w:val="20"/>
          <w:szCs w:val="20"/>
        </w:rPr>
        <w:t>Chilo</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sacchariphagus</w:t>
      </w:r>
      <w:proofErr w:type="spellEnd"/>
      <w:r w:rsidRPr="00D85277">
        <w:rPr>
          <w:rFonts w:ascii="Arial" w:eastAsiaTheme="minorHAnsi" w:hAnsi="Arial" w:cs="Arial"/>
          <w:i/>
          <w:iCs/>
          <w:kern w:val="2"/>
          <w:sz w:val="20"/>
          <w:szCs w:val="20"/>
        </w:rPr>
        <w:t xml:space="preserve"> </w:t>
      </w:r>
      <w:proofErr w:type="spellStart"/>
      <w:r w:rsidRPr="00D85277">
        <w:rPr>
          <w:rFonts w:ascii="Arial" w:eastAsiaTheme="minorHAnsi" w:hAnsi="Arial" w:cs="Arial"/>
          <w:i/>
          <w:iCs/>
          <w:kern w:val="2"/>
          <w:sz w:val="20"/>
          <w:szCs w:val="20"/>
        </w:rPr>
        <w:t>indicus</w:t>
      </w:r>
      <w:proofErr w:type="spellEnd"/>
      <w:r w:rsidRPr="00D85277">
        <w:rPr>
          <w:rFonts w:ascii="Arial" w:eastAsiaTheme="minorHAnsi" w:hAnsi="Arial" w:cs="Arial"/>
          <w:kern w:val="2"/>
          <w:sz w:val="20"/>
          <w:szCs w:val="20"/>
        </w:rPr>
        <w:t xml:space="preserve"> (</w:t>
      </w:r>
      <w:proofErr w:type="spellStart"/>
      <w:r w:rsidRPr="00D85277">
        <w:rPr>
          <w:rFonts w:ascii="Arial" w:eastAsiaTheme="minorHAnsi" w:hAnsi="Arial" w:cs="Arial"/>
          <w:kern w:val="2"/>
          <w:sz w:val="20"/>
          <w:szCs w:val="20"/>
        </w:rPr>
        <w:t>Kapur</w:t>
      </w:r>
      <w:proofErr w:type="spellEnd"/>
      <w:r w:rsidRPr="00D85277">
        <w:rPr>
          <w:rFonts w:ascii="Arial" w:eastAsiaTheme="minorHAnsi" w:hAnsi="Arial" w:cs="Arial"/>
          <w:kern w:val="2"/>
          <w:sz w:val="20"/>
          <w:szCs w:val="20"/>
        </w:rPr>
        <w:t xml:space="preserve">). </w:t>
      </w:r>
      <w:r w:rsidRPr="00D85277">
        <w:rPr>
          <w:rFonts w:ascii="Arial" w:eastAsiaTheme="minorHAnsi" w:hAnsi="Arial" w:cs="Arial"/>
          <w:i/>
          <w:iCs/>
          <w:kern w:val="2"/>
          <w:sz w:val="20"/>
          <w:szCs w:val="20"/>
        </w:rPr>
        <w:t>International Journal of Current Microbiology and Applied Sciences, 7</w:t>
      </w:r>
      <w:r w:rsidRPr="00D85277">
        <w:rPr>
          <w:rFonts w:ascii="Arial" w:eastAsiaTheme="minorHAnsi" w:hAnsi="Arial" w:cs="Arial"/>
          <w:kern w:val="2"/>
          <w:sz w:val="20"/>
          <w:szCs w:val="20"/>
        </w:rPr>
        <w:t>(12), 3680–3685.</w:t>
      </w:r>
    </w:p>
    <w:p w14:paraId="16C6ACCD" w14:textId="6BC32ACB"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Umashankar, H. G., Patel, V. N., Nagaraja, T., Vijaykumar, L., &amp; Sugeetha, S. </w:t>
      </w:r>
      <w:r w:rsidR="008E4A80" w:rsidRPr="00D85277">
        <w:rPr>
          <w:rFonts w:ascii="Arial" w:eastAsiaTheme="minorHAnsi" w:hAnsi="Arial" w:cs="Arial"/>
          <w:kern w:val="2"/>
          <w:sz w:val="20"/>
          <w:szCs w:val="20"/>
          <w:lang w:val="sv-SE"/>
        </w:rPr>
        <w:t xml:space="preserve">               </w:t>
      </w:r>
      <w:r w:rsidRPr="00D85277">
        <w:rPr>
          <w:rFonts w:ascii="Arial" w:eastAsiaTheme="minorHAnsi" w:hAnsi="Arial" w:cs="Arial"/>
          <w:kern w:val="2"/>
          <w:sz w:val="20"/>
          <w:szCs w:val="20"/>
          <w:lang w:val="sv-SE"/>
        </w:rPr>
        <w:t xml:space="preserve">(2018). </w:t>
      </w:r>
      <w:r w:rsidRPr="00D85277">
        <w:rPr>
          <w:rFonts w:ascii="Arial" w:eastAsiaTheme="minorHAnsi" w:hAnsi="Arial" w:cs="Arial"/>
          <w:kern w:val="2"/>
          <w:sz w:val="20"/>
          <w:szCs w:val="20"/>
        </w:rPr>
        <w:t xml:space="preserve">Evaluation of new insecticide molecules for their effectiveness in the management of sugarcane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w:t>
      </w:r>
      <w:r w:rsidRPr="00D85277">
        <w:rPr>
          <w:rFonts w:ascii="Arial" w:eastAsiaTheme="minorHAnsi" w:hAnsi="Arial" w:cs="Arial"/>
          <w:i/>
          <w:iCs/>
          <w:kern w:val="2"/>
          <w:sz w:val="20"/>
          <w:szCs w:val="20"/>
        </w:rPr>
        <w:t>Journal of Applied and Natural Science, 10</w:t>
      </w:r>
      <w:r w:rsidRPr="00D85277">
        <w:rPr>
          <w:rFonts w:ascii="Arial" w:eastAsiaTheme="minorHAnsi" w:hAnsi="Arial" w:cs="Arial"/>
          <w:kern w:val="2"/>
          <w:sz w:val="20"/>
          <w:szCs w:val="20"/>
        </w:rPr>
        <w:t>(1), 434–438.</w:t>
      </w:r>
    </w:p>
    <w:p w14:paraId="5EDFE4A6" w14:textId="520EDD41"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lang w:val="sv-SE"/>
        </w:rPr>
        <w:t xml:space="preserve">Venugopala Rao, N., Narasimha Rao, Ch. V., Bhavani, B., &amp; Naidu, N. V. (2010). </w:t>
      </w:r>
      <w:r w:rsidRPr="00D85277">
        <w:rPr>
          <w:rFonts w:ascii="Arial" w:eastAsiaTheme="minorHAnsi" w:hAnsi="Arial" w:cs="Arial"/>
          <w:kern w:val="2"/>
          <w:sz w:val="20"/>
          <w:szCs w:val="20"/>
        </w:rPr>
        <w:t xml:space="preserve">Influence of intercrops on incidence of early shoot borer, </w:t>
      </w:r>
      <w:r w:rsidRPr="00D85277">
        <w:rPr>
          <w:rFonts w:ascii="Arial" w:eastAsiaTheme="minorHAnsi" w:hAnsi="Arial" w:cs="Arial"/>
          <w:i/>
          <w:iCs/>
          <w:kern w:val="2"/>
          <w:sz w:val="20"/>
          <w:szCs w:val="20"/>
        </w:rPr>
        <w:t>Chilo infuscatellus</w:t>
      </w:r>
      <w:r w:rsidRPr="00D85277">
        <w:rPr>
          <w:rFonts w:ascii="Arial" w:eastAsiaTheme="minorHAnsi" w:hAnsi="Arial" w:cs="Arial"/>
          <w:kern w:val="2"/>
          <w:sz w:val="20"/>
          <w:szCs w:val="20"/>
        </w:rPr>
        <w:t xml:space="preserve"> Snellen in sugarcane. </w:t>
      </w:r>
      <w:r w:rsidRPr="00D85277">
        <w:rPr>
          <w:rFonts w:ascii="Arial" w:eastAsiaTheme="minorHAnsi" w:hAnsi="Arial" w:cs="Arial"/>
          <w:i/>
          <w:iCs/>
          <w:kern w:val="2"/>
          <w:sz w:val="20"/>
          <w:szCs w:val="20"/>
        </w:rPr>
        <w:t>Journal of Entomological Research, 34</w:t>
      </w:r>
      <w:r w:rsidRPr="00D85277">
        <w:rPr>
          <w:rFonts w:ascii="Arial" w:eastAsiaTheme="minorHAnsi" w:hAnsi="Arial" w:cs="Arial"/>
          <w:kern w:val="2"/>
          <w:sz w:val="20"/>
          <w:szCs w:val="20"/>
        </w:rPr>
        <w:t>(3), 275–            276.</w:t>
      </w:r>
    </w:p>
    <w:p w14:paraId="4E53ACA4" w14:textId="652E4B03"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Visalakshi, M., &amp; Bhavani, B. (2020). </w:t>
      </w:r>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 xml:space="preserve">Effect of </w:t>
      </w:r>
      <w:proofErr w:type="spellStart"/>
      <w:r w:rsidRPr="00D85277">
        <w:rPr>
          <w:rFonts w:ascii="Arial" w:eastAsiaTheme="minorHAnsi" w:hAnsi="Arial" w:cs="Arial"/>
          <w:kern w:val="2"/>
          <w:sz w:val="20"/>
          <w:szCs w:val="20"/>
        </w:rPr>
        <w:t>inundative</w:t>
      </w:r>
      <w:proofErr w:type="spellEnd"/>
      <w:r w:rsidRPr="00D85277">
        <w:rPr>
          <w:rFonts w:ascii="Arial" w:eastAsiaTheme="minorHAnsi" w:hAnsi="Arial" w:cs="Arial"/>
          <w:kern w:val="2"/>
          <w:sz w:val="20"/>
          <w:szCs w:val="20"/>
        </w:rPr>
        <w:t xml:space="preserve"> releases of </w:t>
      </w:r>
      <w:proofErr w:type="spellStart"/>
      <w:r w:rsidRPr="00D85277">
        <w:rPr>
          <w:rFonts w:ascii="Arial" w:eastAsiaTheme="minorHAnsi" w:hAnsi="Arial" w:cs="Arial"/>
          <w:i/>
          <w:iCs/>
          <w:kern w:val="2"/>
          <w:sz w:val="20"/>
          <w:szCs w:val="20"/>
        </w:rPr>
        <w:t>Trichogramma</w:t>
      </w:r>
      <w:proofErr w:type="spellEnd"/>
      <w:r w:rsidRPr="00D85277">
        <w:rPr>
          <w:rFonts w:ascii="Arial" w:eastAsiaTheme="minorHAnsi" w:hAnsi="Arial" w:cs="Arial"/>
          <w:i/>
          <w:iCs/>
          <w:kern w:val="2"/>
          <w:sz w:val="20"/>
          <w:szCs w:val="20"/>
        </w:rPr>
        <w:t xml:space="preserve"> chilonis</w:t>
      </w:r>
      <w:r w:rsidRPr="00D85277">
        <w:rPr>
          <w:rFonts w:ascii="Arial" w:eastAsiaTheme="minorHAnsi" w:hAnsi="Arial" w:cs="Arial"/>
          <w:kern w:val="2"/>
          <w:sz w:val="20"/>
          <w:szCs w:val="20"/>
        </w:rPr>
        <w:t xml:space="preserve"> in sugarcane. </w:t>
      </w:r>
      <w:r w:rsidRPr="00D85277">
        <w:rPr>
          <w:rFonts w:ascii="Arial" w:eastAsiaTheme="minorHAnsi" w:hAnsi="Arial" w:cs="Arial"/>
          <w:i/>
          <w:iCs/>
          <w:kern w:val="2"/>
          <w:sz w:val="20"/>
          <w:szCs w:val="20"/>
        </w:rPr>
        <w:t>Journal of Biological Control, 34</w:t>
      </w:r>
      <w:r w:rsidRPr="00D85277">
        <w:rPr>
          <w:rFonts w:ascii="Arial" w:eastAsiaTheme="minorHAnsi" w:hAnsi="Arial" w:cs="Arial"/>
          <w:kern w:val="2"/>
          <w:sz w:val="20"/>
          <w:szCs w:val="20"/>
        </w:rPr>
        <w:t>(1), 47–51. https://doi.org/10.18311/jbc/2020/22829</w:t>
      </w:r>
    </w:p>
    <w:p w14:paraId="7B12DE79" w14:textId="2BF9518A" w:rsidR="004A60E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rPr>
        <w:t xml:space="preserve">Visalakshi, M., Bhavani, B., &amp; Rao, S. G. </w:t>
      </w:r>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 xml:space="preserve">(2016). Field evaluation of Trichogramma chilonis (Ishii) for the management </w:t>
      </w:r>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of shoot borers in sugarcane.</w:t>
      </w:r>
      <w:r w:rsidR="00EA5AD3" w:rsidRPr="00D85277">
        <w:rPr>
          <w:rFonts w:ascii="Arial" w:eastAsiaTheme="minorHAnsi" w:hAnsi="Arial" w:cs="Arial"/>
          <w:kern w:val="2"/>
          <w:sz w:val="20"/>
          <w:szCs w:val="20"/>
        </w:rPr>
        <w:t xml:space="preserve"> </w:t>
      </w:r>
      <w:r w:rsidR="008E4A80" w:rsidRPr="00D85277">
        <w:rPr>
          <w:rFonts w:ascii="Arial" w:eastAsiaTheme="minorHAnsi" w:hAnsi="Arial" w:cs="Arial"/>
          <w:kern w:val="2"/>
          <w:sz w:val="20"/>
          <w:szCs w:val="20"/>
        </w:rPr>
        <w:t xml:space="preserve">             </w:t>
      </w:r>
      <w:r w:rsidRPr="00D85277">
        <w:rPr>
          <w:rFonts w:ascii="Arial" w:eastAsiaTheme="minorHAnsi" w:hAnsi="Arial" w:cs="Arial"/>
          <w:i/>
          <w:iCs/>
          <w:kern w:val="2"/>
          <w:sz w:val="20"/>
          <w:szCs w:val="20"/>
        </w:rPr>
        <w:t>International Journal of Bio-resource</w:t>
      </w:r>
      <w:r w:rsidR="008E4A80" w:rsidRPr="00D85277">
        <w:rPr>
          <w:rFonts w:ascii="Arial" w:eastAsiaTheme="minorHAnsi" w:hAnsi="Arial" w:cs="Arial"/>
          <w:i/>
          <w:iCs/>
          <w:kern w:val="2"/>
          <w:sz w:val="20"/>
          <w:szCs w:val="20"/>
        </w:rPr>
        <w:t xml:space="preserve">                </w:t>
      </w:r>
      <w:r w:rsidRPr="00D85277">
        <w:rPr>
          <w:rFonts w:ascii="Arial" w:eastAsiaTheme="minorHAnsi" w:hAnsi="Arial" w:cs="Arial"/>
          <w:i/>
          <w:iCs/>
          <w:kern w:val="2"/>
          <w:sz w:val="20"/>
          <w:szCs w:val="20"/>
        </w:rPr>
        <w:t xml:space="preserve"> and Stress Management</w:t>
      </w:r>
      <w:r w:rsidRPr="00D85277">
        <w:rPr>
          <w:rFonts w:ascii="Arial" w:eastAsiaTheme="minorHAnsi" w:hAnsi="Arial" w:cs="Arial"/>
          <w:kern w:val="2"/>
          <w:sz w:val="20"/>
          <w:szCs w:val="20"/>
        </w:rPr>
        <w:t>,</w:t>
      </w:r>
      <w:r w:rsidR="008E4A80" w:rsidRPr="00D85277">
        <w:rPr>
          <w:rFonts w:ascii="Arial" w:eastAsiaTheme="minorHAnsi" w:hAnsi="Arial" w:cs="Arial"/>
          <w:kern w:val="2"/>
          <w:sz w:val="20"/>
          <w:szCs w:val="20"/>
        </w:rPr>
        <w:t xml:space="preserve"> </w:t>
      </w:r>
      <w:r w:rsidRPr="00D85277">
        <w:rPr>
          <w:rFonts w:ascii="Arial" w:eastAsiaTheme="minorHAnsi" w:hAnsi="Arial" w:cs="Arial"/>
          <w:i/>
          <w:iCs/>
          <w:kern w:val="2"/>
          <w:sz w:val="20"/>
          <w:szCs w:val="20"/>
        </w:rPr>
        <w:t>7</w:t>
      </w:r>
      <w:r w:rsidRPr="00D85277">
        <w:rPr>
          <w:rFonts w:ascii="Arial" w:eastAsiaTheme="minorHAnsi" w:hAnsi="Arial" w:cs="Arial"/>
          <w:kern w:val="2"/>
          <w:sz w:val="20"/>
          <w:szCs w:val="20"/>
        </w:rPr>
        <w:t>(4),</w:t>
      </w:r>
      <w:r w:rsidR="008E4A80" w:rsidRPr="00D85277">
        <w:rPr>
          <w:rFonts w:ascii="Arial" w:eastAsiaTheme="minorHAnsi" w:hAnsi="Arial" w:cs="Arial"/>
          <w:kern w:val="2"/>
          <w:sz w:val="20"/>
          <w:szCs w:val="20"/>
        </w:rPr>
        <w:t xml:space="preserve">               </w:t>
      </w:r>
      <w:r w:rsidRPr="00D85277">
        <w:rPr>
          <w:rFonts w:ascii="Arial" w:eastAsiaTheme="minorHAnsi" w:hAnsi="Arial" w:cs="Arial"/>
          <w:kern w:val="2"/>
          <w:sz w:val="20"/>
          <w:szCs w:val="20"/>
        </w:rPr>
        <w:t xml:space="preserve"> 915-918.</w:t>
      </w:r>
    </w:p>
    <w:p w14:paraId="43F18289" w14:textId="7844861C" w:rsidR="008E4A80" w:rsidRPr="00D85277" w:rsidRDefault="004A60E0" w:rsidP="008E4A80">
      <w:pPr>
        <w:spacing w:beforeLines="20" w:before="48" w:after="0" w:line="240" w:lineRule="auto"/>
        <w:ind w:left="547" w:hanging="547"/>
        <w:jc w:val="both"/>
        <w:rPr>
          <w:rFonts w:ascii="Arial" w:eastAsiaTheme="minorHAnsi" w:hAnsi="Arial" w:cs="Arial"/>
          <w:kern w:val="2"/>
          <w:sz w:val="20"/>
          <w:szCs w:val="20"/>
        </w:rPr>
      </w:pPr>
      <w:r w:rsidRPr="00D85277">
        <w:rPr>
          <w:rFonts w:ascii="Arial" w:eastAsiaTheme="minorHAnsi" w:hAnsi="Arial" w:cs="Arial"/>
          <w:kern w:val="2"/>
          <w:sz w:val="20"/>
          <w:szCs w:val="20"/>
        </w:rPr>
        <w:lastRenderedPageBreak/>
        <w:t xml:space="preserve">Yadav, P., &amp; Yadav, S. (2018). Improved management strategies for sustained sugarcane productivity and sugarcane </w:t>
      </w:r>
      <w:r w:rsidRPr="00D85277">
        <w:rPr>
          <w:rFonts w:ascii="Arial" w:eastAsiaTheme="minorHAnsi" w:hAnsi="Arial" w:cs="Arial"/>
          <w:kern w:val="2"/>
          <w:sz w:val="20"/>
          <w:szCs w:val="20"/>
        </w:rPr>
        <w:lastRenderedPageBreak/>
        <w:t xml:space="preserve">production of India. </w:t>
      </w:r>
      <w:r w:rsidRPr="00D85277">
        <w:rPr>
          <w:rFonts w:ascii="Arial" w:eastAsiaTheme="minorHAnsi" w:hAnsi="Arial" w:cs="Arial"/>
          <w:i/>
          <w:iCs/>
          <w:kern w:val="2"/>
          <w:sz w:val="20"/>
          <w:szCs w:val="20"/>
        </w:rPr>
        <w:t>Plant Archives, 18</w:t>
      </w:r>
      <w:r w:rsidRPr="00D85277">
        <w:rPr>
          <w:rFonts w:ascii="Arial" w:eastAsiaTheme="minorHAnsi" w:hAnsi="Arial" w:cs="Arial"/>
          <w:kern w:val="2"/>
          <w:sz w:val="20"/>
          <w:szCs w:val="20"/>
        </w:rPr>
        <w:t>(1), 398–400.</w:t>
      </w:r>
    </w:p>
    <w:bookmarkEnd w:id="18"/>
    <w:p w14:paraId="011D0301" w14:textId="77777777" w:rsidR="001D3E57" w:rsidRPr="00D85277" w:rsidRDefault="001D3E57" w:rsidP="000B4699">
      <w:pPr>
        <w:spacing w:after="0" w:line="240" w:lineRule="auto"/>
        <w:jc w:val="center"/>
        <w:rPr>
          <w:rFonts w:ascii="Arial" w:eastAsia="Times New Roman" w:hAnsi="Arial" w:cs="Arial"/>
          <w:bCs/>
          <w:sz w:val="20"/>
          <w:szCs w:val="20"/>
          <w:lang w:val="en"/>
        </w:rPr>
        <w:sectPr w:rsidR="001D3E57" w:rsidRPr="00D85277" w:rsidSect="001D3E57">
          <w:pgSz w:w="11909" w:h="16834" w:code="9"/>
          <w:pgMar w:top="1440" w:right="1440" w:bottom="1440" w:left="1440" w:header="720" w:footer="864" w:gutter="0"/>
          <w:cols w:num="2" w:space="288"/>
          <w:docGrid w:linePitch="360"/>
        </w:sectPr>
      </w:pPr>
    </w:p>
    <w:p w14:paraId="29BD8763" w14:textId="6A7BFCBC" w:rsidR="00F72EE4" w:rsidRPr="00D85277" w:rsidRDefault="00F72EE4" w:rsidP="000B4699">
      <w:pPr>
        <w:spacing w:after="0" w:line="240" w:lineRule="auto"/>
        <w:jc w:val="center"/>
        <w:rPr>
          <w:rFonts w:ascii="Arial" w:eastAsia="Times New Roman" w:hAnsi="Arial" w:cs="Arial"/>
          <w:bCs/>
          <w:sz w:val="20"/>
          <w:szCs w:val="20"/>
          <w:lang w:val="en"/>
        </w:rPr>
      </w:pPr>
    </w:p>
    <w:sectPr w:rsidR="00F72EE4" w:rsidRPr="00D85277" w:rsidSect="001D3E57">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Galoo" w:date="2025-08-27T16:01:00Z" w:initials="u">
    <w:p w14:paraId="1E55EA4C" w14:textId="77777777" w:rsidR="00B83D1B" w:rsidRDefault="00B83D1B" w:rsidP="00317274">
      <w:pPr>
        <w:spacing w:after="0" w:line="240" w:lineRule="auto"/>
        <w:ind w:left="1080" w:hanging="1080"/>
        <w:contextualSpacing/>
        <w:jc w:val="both"/>
        <w:rPr>
          <w:rFonts w:ascii="Arial" w:eastAsia="Times New Roman" w:hAnsi="Arial" w:cs="Arial"/>
          <w:i/>
          <w:sz w:val="20"/>
          <w:szCs w:val="20"/>
        </w:rPr>
      </w:pPr>
      <w:r>
        <w:rPr>
          <w:rStyle w:val="CommentReference"/>
        </w:rPr>
        <w:annotationRef/>
      </w:r>
      <w:r>
        <w:rPr>
          <w:rFonts w:ascii="Arial" w:eastAsia="Times New Roman" w:hAnsi="Arial" w:cs="Arial"/>
          <w:i/>
          <w:sz w:val="20"/>
          <w:szCs w:val="20"/>
        </w:rPr>
        <w:t>Make the Keywords in alphabetical order.as follows:</w:t>
      </w:r>
    </w:p>
    <w:p w14:paraId="6BB51E3D" w14:textId="610A1AE2" w:rsidR="00B83D1B" w:rsidRPr="00740F36" w:rsidRDefault="00B83D1B" w:rsidP="00317274">
      <w:pPr>
        <w:spacing w:after="0" w:line="240" w:lineRule="auto"/>
        <w:ind w:left="1080" w:hanging="1080"/>
        <w:contextualSpacing/>
        <w:jc w:val="both"/>
        <w:rPr>
          <w:rFonts w:ascii="Arial" w:eastAsia="Times New Roman" w:hAnsi="Arial" w:cs="Arial"/>
          <w:i/>
          <w:sz w:val="20"/>
          <w:szCs w:val="20"/>
        </w:rPr>
      </w:pPr>
      <w:r w:rsidRPr="00740F36">
        <w:rPr>
          <w:rFonts w:ascii="Arial" w:eastAsia="Times New Roman" w:hAnsi="Arial" w:cs="Arial"/>
          <w:i/>
          <w:sz w:val="20"/>
          <w:szCs w:val="20"/>
        </w:rPr>
        <w:t xml:space="preserve">Keywords: </w:t>
      </w:r>
      <w:r w:rsidRPr="00740F36">
        <w:rPr>
          <w:rFonts w:ascii="Arial" w:eastAsia="Times New Roman" w:hAnsi="Arial" w:cs="Arial"/>
          <w:i/>
          <w:sz w:val="20"/>
          <w:szCs w:val="20"/>
        </w:rPr>
        <w:tab/>
      </w:r>
      <w:r w:rsidRPr="00740F36">
        <w:rPr>
          <w:rFonts w:ascii="Arial" w:eastAsia="Times New Roman" w:hAnsi="Arial" w:cs="Arial"/>
          <w:bCs/>
          <w:i/>
          <w:iCs/>
          <w:sz w:val="20"/>
          <w:szCs w:val="20"/>
          <w:lang w:val="en"/>
        </w:rPr>
        <w:t xml:space="preserve">Assessment; </w:t>
      </w:r>
      <w:proofErr w:type="spellStart"/>
      <w:r w:rsidRPr="00740F36">
        <w:rPr>
          <w:rFonts w:ascii="Arial" w:eastAsia="Times New Roman" w:hAnsi="Arial" w:cs="Arial"/>
          <w:bCs/>
          <w:i/>
          <w:iCs/>
          <w:sz w:val="20"/>
          <w:szCs w:val="20"/>
          <w:lang w:val="en"/>
        </w:rPr>
        <w:t>Chlorantraniliprole</w:t>
      </w:r>
      <w:proofErr w:type="spellEnd"/>
      <w:r w:rsidRPr="00740F36">
        <w:rPr>
          <w:rFonts w:ascii="Arial" w:eastAsia="Times New Roman" w:hAnsi="Arial" w:cs="Arial"/>
          <w:bCs/>
          <w:i/>
          <w:iCs/>
          <w:sz w:val="20"/>
          <w:szCs w:val="20"/>
          <w:lang w:val="en"/>
        </w:rPr>
        <w:t xml:space="preserve">, Climate; Intercropping; IPM; Management; Pheromone traps;  Sugarcane borers; Trash mulching; </w:t>
      </w:r>
      <w:proofErr w:type="spellStart"/>
      <w:r w:rsidRPr="00740F36">
        <w:rPr>
          <w:rFonts w:ascii="Arial" w:eastAsia="Times New Roman" w:hAnsi="Arial" w:cs="Arial"/>
          <w:bCs/>
          <w:i/>
          <w:iCs/>
          <w:sz w:val="20"/>
          <w:szCs w:val="20"/>
          <w:lang w:val="en"/>
        </w:rPr>
        <w:t>Trichogramma</w:t>
      </w:r>
      <w:proofErr w:type="spellEnd"/>
      <w:r w:rsidRPr="00740F36">
        <w:rPr>
          <w:rFonts w:ascii="Arial" w:eastAsia="Times New Roman" w:hAnsi="Arial" w:cs="Arial"/>
          <w:bCs/>
          <w:i/>
          <w:iCs/>
          <w:sz w:val="20"/>
          <w:szCs w:val="20"/>
          <w:lang w:val="en"/>
        </w:rPr>
        <w:t xml:space="preserve"> </w:t>
      </w:r>
      <w:proofErr w:type="spellStart"/>
      <w:r w:rsidRPr="00740F36">
        <w:rPr>
          <w:rFonts w:ascii="Arial" w:eastAsia="Times New Roman" w:hAnsi="Arial" w:cs="Arial"/>
          <w:bCs/>
          <w:i/>
          <w:iCs/>
          <w:sz w:val="20"/>
          <w:szCs w:val="20"/>
          <w:lang w:val="en"/>
        </w:rPr>
        <w:t>chilonis</w:t>
      </w:r>
      <w:proofErr w:type="spellEnd"/>
      <w:r w:rsidRPr="00740F36">
        <w:rPr>
          <w:rFonts w:ascii="Arial" w:eastAsia="Times New Roman" w:hAnsi="Arial" w:cs="Arial"/>
          <w:bCs/>
          <w:i/>
          <w:iCs/>
          <w:sz w:val="20"/>
          <w:szCs w:val="20"/>
          <w:lang w:val="en"/>
        </w:rPr>
        <w:t xml:space="preserve">; Yield loss; </w:t>
      </w:r>
    </w:p>
    <w:p w14:paraId="5F8CB2FB" w14:textId="33BB3914" w:rsidR="00B83D1B" w:rsidRDefault="00B83D1B">
      <w:pPr>
        <w:pStyle w:val="CommentText"/>
      </w:pPr>
    </w:p>
  </w:comment>
  <w:comment w:id="4" w:author="Galoo" w:date="2025-08-27T16:10:00Z" w:initials="u">
    <w:p w14:paraId="66DD3D7E" w14:textId="349D39D5" w:rsidR="00B83D1B" w:rsidRDefault="00B83D1B">
      <w:pPr>
        <w:pStyle w:val="CommentText"/>
      </w:pPr>
      <w:r>
        <w:rPr>
          <w:rStyle w:val="CommentReference"/>
        </w:rPr>
        <w:annotationRef/>
      </w:r>
      <w:r>
        <w:t>Too Old citation. It is better to change with the latest one ranging in 5 -10 years after publication</w:t>
      </w:r>
      <w:proofErr w:type="gramStart"/>
      <w:r>
        <w:t>..</w:t>
      </w:r>
      <w:proofErr w:type="gramEnd"/>
    </w:p>
  </w:comment>
  <w:comment w:id="5" w:author="Galoo" w:date="2025-08-27T16:11:00Z" w:initials="u">
    <w:p w14:paraId="58248C50" w14:textId="0EC08024" w:rsidR="00B83D1B" w:rsidRDefault="00B83D1B">
      <w:pPr>
        <w:pStyle w:val="CommentText"/>
      </w:pPr>
      <w:r>
        <w:rPr>
          <w:rStyle w:val="CommentReference"/>
        </w:rPr>
        <w:annotationRef/>
      </w:r>
      <w:r>
        <w:t>Old citations. It is better to change with the latest citations ranging in 5-10 years after publication.</w:t>
      </w:r>
    </w:p>
  </w:comment>
  <w:comment w:id="6" w:author="Galoo" w:date="2025-08-27T16:11:00Z" w:initials="u">
    <w:p w14:paraId="5FCBD85A" w14:textId="0A009DCD" w:rsidR="00B83D1B" w:rsidRDefault="00B83D1B">
      <w:pPr>
        <w:pStyle w:val="CommentText"/>
      </w:pPr>
      <w:r>
        <w:rPr>
          <w:rStyle w:val="CommentReference"/>
        </w:rPr>
        <w:annotationRef/>
      </w:r>
      <w:r>
        <w:t>Old citations. It is better to change with the latest citations ranging in 5-10 years after publication.</w:t>
      </w:r>
    </w:p>
  </w:comment>
  <w:comment w:id="8" w:author="Galoo" w:date="2025-08-27T16:11:00Z" w:initials="u">
    <w:p w14:paraId="1E99161B" w14:textId="54B28834" w:rsidR="00B83D1B" w:rsidRDefault="00B83D1B">
      <w:pPr>
        <w:pStyle w:val="CommentText"/>
      </w:pPr>
      <w:r>
        <w:rPr>
          <w:rStyle w:val="CommentReference"/>
        </w:rPr>
        <w:annotationRef/>
      </w:r>
      <w:r>
        <w:t>Old citations. It is better to change with the latest citations ranging in 5-10 years after publication.</w:t>
      </w:r>
    </w:p>
  </w:comment>
  <w:comment w:id="9" w:author="Galoo" w:date="2025-08-27T16:09:00Z" w:initials="u">
    <w:p w14:paraId="22E38274" w14:textId="1366E91F" w:rsidR="00B83D1B" w:rsidRDefault="00B83D1B">
      <w:pPr>
        <w:pStyle w:val="CommentText"/>
      </w:pPr>
      <w:r>
        <w:rPr>
          <w:rStyle w:val="CommentReference"/>
        </w:rPr>
        <w:annotationRef/>
      </w:r>
      <w:r>
        <w:t>Old citations. It is better to change with the latest citations ranging in 5 years after publication.</w:t>
      </w:r>
    </w:p>
  </w:comment>
  <w:comment w:id="10" w:author="Galoo" w:date="2025-08-27T16:11:00Z" w:initials="u">
    <w:p w14:paraId="6E0A029B" w14:textId="60201EB6" w:rsidR="00B83D1B" w:rsidRDefault="00B83D1B">
      <w:pPr>
        <w:pStyle w:val="CommentText"/>
      </w:pPr>
      <w:r>
        <w:rPr>
          <w:rStyle w:val="CommentReference"/>
        </w:rPr>
        <w:annotationRef/>
      </w:r>
      <w:r>
        <w:t>Too Old citations. It is better to change with the latest citations ranging in 5-10 years after publication.</w:t>
      </w:r>
    </w:p>
  </w:comment>
  <w:comment w:id="14" w:author="Galoo" w:date="2025-08-27T20:44:00Z" w:initials="u">
    <w:p w14:paraId="1687AA3B" w14:textId="750D0167" w:rsidR="00B83D1B" w:rsidRDefault="00B83D1B">
      <w:pPr>
        <w:pStyle w:val="CommentText"/>
      </w:pPr>
      <w:r>
        <w:rPr>
          <w:rStyle w:val="CommentReference"/>
        </w:rPr>
        <w:annotationRef/>
      </w:r>
      <w:r>
        <w:t>It is better if Table 2 come to following to this at the end of 2023-</w:t>
      </w:r>
      <w:r w:rsidRPr="0009660A">
        <w:t xml:space="preserve"> </w:t>
      </w:r>
      <w:r>
        <w:t xml:space="preserve">24 research result before entering the result of 2024-25. </w:t>
      </w:r>
    </w:p>
  </w:comment>
  <w:comment w:id="15" w:author="Galoo" w:date="2025-08-27T20:57:00Z" w:initials="u">
    <w:p w14:paraId="096A9868" w14:textId="71C8B87F" w:rsidR="00B83D1B" w:rsidRDefault="00B83D1B">
      <w:pPr>
        <w:pStyle w:val="CommentText"/>
      </w:pPr>
      <w:r>
        <w:rPr>
          <w:rStyle w:val="CommentReference"/>
        </w:rPr>
        <w:annotationRef/>
      </w:r>
      <w:r>
        <w:t>Rather than using the word “module” better to use the standard word “treatment” throughout the manuscript</w:t>
      </w:r>
      <w:proofErr w:type="gramStart"/>
      <w:r>
        <w:t>..</w:t>
      </w:r>
      <w:proofErr w:type="gramEnd"/>
    </w:p>
  </w:comment>
  <w:comment w:id="16" w:author="Galoo" w:date="2025-08-27T21:08:00Z" w:initials="u">
    <w:p w14:paraId="6C72FF0B" w14:textId="31018BA3" w:rsidR="00824CFE" w:rsidRDefault="00824CFE">
      <w:pPr>
        <w:pStyle w:val="CommentText"/>
      </w:pPr>
      <w:r>
        <w:rPr>
          <w:rStyle w:val="CommentReference"/>
        </w:rPr>
        <w:annotationRef/>
      </w:r>
      <w:r>
        <w:t>The discussion part is short. It will be better if the author strive to expand it.</w:t>
      </w:r>
    </w:p>
  </w:comment>
  <w:comment w:id="17" w:author="Galoo" w:date="2025-08-27T21:27:00Z" w:initials="u">
    <w:p w14:paraId="2356B2E0" w14:textId="54BA1502" w:rsidR="00824CFE" w:rsidRDefault="00824CFE">
      <w:pPr>
        <w:pStyle w:val="CommentText"/>
      </w:pPr>
      <w:r>
        <w:rPr>
          <w:rStyle w:val="CommentReference"/>
        </w:rPr>
        <w:annotationRef/>
      </w:r>
      <w:r>
        <w:t xml:space="preserve">The Authors </w:t>
      </w:r>
      <w:r w:rsidR="00634124">
        <w:t xml:space="preserve">should have to </w:t>
      </w:r>
      <w:r w:rsidR="00B5203C">
        <w:t>check whether</w:t>
      </w:r>
      <w:r w:rsidR="00634124">
        <w:t xml:space="preserve"> they followed the publisher guideline or not.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85C87" w14:textId="77777777" w:rsidR="0098116A" w:rsidRDefault="0098116A" w:rsidP="00CD3A89">
      <w:pPr>
        <w:spacing w:after="0" w:line="240" w:lineRule="auto"/>
      </w:pPr>
      <w:r>
        <w:separator/>
      </w:r>
    </w:p>
  </w:endnote>
  <w:endnote w:type="continuationSeparator" w:id="0">
    <w:p w14:paraId="55D33C30" w14:textId="77777777" w:rsidR="0098116A" w:rsidRDefault="0098116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5CC28" w14:textId="77777777" w:rsidR="00B83D1B" w:rsidRDefault="00B83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3113"/>
      <w:docPartObj>
        <w:docPartGallery w:val="Page Numbers (Bottom of Page)"/>
        <w:docPartUnique/>
      </w:docPartObj>
    </w:sdtPr>
    <w:sdtContent>
      <w:p w14:paraId="716D5096" w14:textId="77777777" w:rsidR="00B83D1B" w:rsidRPr="00263AE4" w:rsidRDefault="00B83D1B">
        <w:pPr>
          <w:pStyle w:val="Footer"/>
          <w:jc w:val="center"/>
          <w:rPr>
            <w:rFonts w:ascii="Arial" w:hAnsi="Arial" w:cs="Arial"/>
            <w:sz w:val="28"/>
          </w:rPr>
        </w:pPr>
      </w:p>
      <w:p w14:paraId="09B98D2C" w14:textId="77777777" w:rsidR="00B83D1B" w:rsidRDefault="00B83D1B">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D158B9">
          <w:rPr>
            <w:rFonts w:ascii="Arial" w:hAnsi="Arial" w:cs="Arial"/>
            <w:noProof/>
            <w:sz w:val="20"/>
          </w:rPr>
          <w:t>25</w:t>
        </w:r>
        <w:r w:rsidRPr="00945900">
          <w:rPr>
            <w:rFonts w:ascii="Arial" w:hAnsi="Arial" w:cs="Arial"/>
            <w:sz w:val="20"/>
          </w:rPr>
          <w:fldChar w:fldCharType="end"/>
        </w:r>
      </w:p>
      <w:p w14:paraId="2E697C12" w14:textId="77777777" w:rsidR="00B83D1B" w:rsidRPr="00263AE4" w:rsidRDefault="00B83D1B">
        <w:pPr>
          <w:pStyle w:val="Footer"/>
          <w:jc w:val="center"/>
          <w:rPr>
            <w:rFonts w:ascii="Arial" w:hAnsi="Arial" w:cs="Arial"/>
            <w:sz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A6E0C" w14:textId="77777777" w:rsidR="00B83D1B" w:rsidRDefault="00B83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FCD31" w14:textId="77777777" w:rsidR="0098116A" w:rsidRDefault="0098116A" w:rsidP="00CD3A89">
      <w:pPr>
        <w:spacing w:after="0" w:line="240" w:lineRule="auto"/>
      </w:pPr>
      <w:r>
        <w:separator/>
      </w:r>
    </w:p>
  </w:footnote>
  <w:footnote w:type="continuationSeparator" w:id="0">
    <w:p w14:paraId="5A12B42E" w14:textId="77777777" w:rsidR="0098116A" w:rsidRDefault="0098116A" w:rsidP="00CD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3074C" w14:textId="71894B38" w:rsidR="00B83D1B" w:rsidRDefault="00B83D1B">
    <w:pPr>
      <w:pStyle w:val="Header"/>
    </w:pPr>
    <w:r>
      <w:rPr>
        <w:noProof/>
      </w:rPr>
      <w:pict w14:anchorId="6EC0B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0251"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EC05" w14:textId="4F148871" w:rsidR="00B83D1B" w:rsidRPr="00171FBC" w:rsidRDefault="00B83D1B"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DA14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0252"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3786791" w14:textId="77777777" w:rsidR="00B83D1B" w:rsidRPr="00171FBC" w:rsidRDefault="00B83D1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D29E0CB" w14:textId="77777777" w:rsidR="00B83D1B" w:rsidRPr="00171FBC" w:rsidRDefault="00B83D1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AA1B1A7" w14:textId="77777777" w:rsidR="00B83D1B" w:rsidRPr="00171FBC" w:rsidRDefault="00B83D1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931E60B" w14:textId="77777777" w:rsidR="00B83D1B" w:rsidRPr="00171FBC" w:rsidRDefault="00B83D1B" w:rsidP="00171FBC">
    <w:pPr>
      <w:tabs>
        <w:tab w:val="center" w:pos="4320"/>
        <w:tab w:val="right" w:pos="8640"/>
      </w:tabs>
      <w:spacing w:after="0" w:line="240" w:lineRule="auto"/>
      <w:jc w:val="right"/>
      <w:rPr>
        <w:rFonts w:ascii="Arial" w:eastAsia="Times New Roman" w:hAnsi="Arial" w:cs="Arial"/>
        <w:i/>
        <w:sz w:val="16"/>
        <w:szCs w:val="20"/>
      </w:rPr>
    </w:pPr>
  </w:p>
  <w:p w14:paraId="6A531853" w14:textId="77777777" w:rsidR="00B83D1B" w:rsidRPr="00171FBC" w:rsidRDefault="00B83D1B"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7813" w14:textId="59D05CC9" w:rsidR="00B83D1B" w:rsidRDefault="00B83D1B">
    <w:pPr>
      <w:pStyle w:val="Header"/>
    </w:pPr>
    <w:r>
      <w:rPr>
        <w:noProof/>
      </w:rPr>
      <w:pict w14:anchorId="6E129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0250"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tDAxNjAyNjK3NLU0NjVU0lEKTi0uzszPAykwrAUA+0RcuiwAAAA="/>
  </w:docVars>
  <w:rsids>
    <w:rsidRoot w:val="00C13266"/>
    <w:rsid w:val="00012B70"/>
    <w:rsid w:val="00013185"/>
    <w:rsid w:val="000140EA"/>
    <w:rsid w:val="00017886"/>
    <w:rsid w:val="000217CF"/>
    <w:rsid w:val="00021CE8"/>
    <w:rsid w:val="00031499"/>
    <w:rsid w:val="00034ECF"/>
    <w:rsid w:val="00036D29"/>
    <w:rsid w:val="000372DB"/>
    <w:rsid w:val="00041716"/>
    <w:rsid w:val="00041B56"/>
    <w:rsid w:val="00064ED7"/>
    <w:rsid w:val="000803D1"/>
    <w:rsid w:val="000844EE"/>
    <w:rsid w:val="0009660A"/>
    <w:rsid w:val="000A1EF6"/>
    <w:rsid w:val="000A2031"/>
    <w:rsid w:val="000B4699"/>
    <w:rsid w:val="000C2408"/>
    <w:rsid w:val="000C32DE"/>
    <w:rsid w:val="000C74D2"/>
    <w:rsid w:val="000D673F"/>
    <w:rsid w:val="001004BF"/>
    <w:rsid w:val="00100B40"/>
    <w:rsid w:val="0010611F"/>
    <w:rsid w:val="00106971"/>
    <w:rsid w:val="00117484"/>
    <w:rsid w:val="00124A37"/>
    <w:rsid w:val="00126A3E"/>
    <w:rsid w:val="0013012E"/>
    <w:rsid w:val="00134842"/>
    <w:rsid w:val="00135831"/>
    <w:rsid w:val="001458EB"/>
    <w:rsid w:val="00146BE5"/>
    <w:rsid w:val="00150C7B"/>
    <w:rsid w:val="00150CE4"/>
    <w:rsid w:val="0015419E"/>
    <w:rsid w:val="00156528"/>
    <w:rsid w:val="00163BBA"/>
    <w:rsid w:val="00171FBC"/>
    <w:rsid w:val="0017217A"/>
    <w:rsid w:val="0017218E"/>
    <w:rsid w:val="00190C2D"/>
    <w:rsid w:val="00195242"/>
    <w:rsid w:val="001964D7"/>
    <w:rsid w:val="001978AF"/>
    <w:rsid w:val="001A4A55"/>
    <w:rsid w:val="001A69A3"/>
    <w:rsid w:val="001A79B1"/>
    <w:rsid w:val="001B111C"/>
    <w:rsid w:val="001B6A97"/>
    <w:rsid w:val="001D00F5"/>
    <w:rsid w:val="001D3E57"/>
    <w:rsid w:val="0020209B"/>
    <w:rsid w:val="00203E4F"/>
    <w:rsid w:val="00205B59"/>
    <w:rsid w:val="002136DF"/>
    <w:rsid w:val="00220A21"/>
    <w:rsid w:val="00244D42"/>
    <w:rsid w:val="00250135"/>
    <w:rsid w:val="002573C9"/>
    <w:rsid w:val="00260707"/>
    <w:rsid w:val="00263401"/>
    <w:rsid w:val="00263AE4"/>
    <w:rsid w:val="0026467F"/>
    <w:rsid w:val="00275084"/>
    <w:rsid w:val="00285C5D"/>
    <w:rsid w:val="0028695F"/>
    <w:rsid w:val="00295B92"/>
    <w:rsid w:val="00297CC0"/>
    <w:rsid w:val="002A041A"/>
    <w:rsid w:val="002A078A"/>
    <w:rsid w:val="002A635B"/>
    <w:rsid w:val="002A66BF"/>
    <w:rsid w:val="002B02E7"/>
    <w:rsid w:val="002B1E98"/>
    <w:rsid w:val="002B46D2"/>
    <w:rsid w:val="002C4533"/>
    <w:rsid w:val="002C7DF4"/>
    <w:rsid w:val="002D06CB"/>
    <w:rsid w:val="002D6E70"/>
    <w:rsid w:val="002E2356"/>
    <w:rsid w:val="002E7DC1"/>
    <w:rsid w:val="002F1036"/>
    <w:rsid w:val="003139C6"/>
    <w:rsid w:val="0031517D"/>
    <w:rsid w:val="00316FA3"/>
    <w:rsid w:val="00317274"/>
    <w:rsid w:val="00335947"/>
    <w:rsid w:val="00340E80"/>
    <w:rsid w:val="00343691"/>
    <w:rsid w:val="0036228D"/>
    <w:rsid w:val="003655E5"/>
    <w:rsid w:val="00370C0D"/>
    <w:rsid w:val="0037297D"/>
    <w:rsid w:val="00376494"/>
    <w:rsid w:val="00376E56"/>
    <w:rsid w:val="00380ACB"/>
    <w:rsid w:val="00381F13"/>
    <w:rsid w:val="00395C86"/>
    <w:rsid w:val="003B2B85"/>
    <w:rsid w:val="003B4704"/>
    <w:rsid w:val="003C3705"/>
    <w:rsid w:val="003C5872"/>
    <w:rsid w:val="003D0DD7"/>
    <w:rsid w:val="003D2BA0"/>
    <w:rsid w:val="003D6D5F"/>
    <w:rsid w:val="003D6D66"/>
    <w:rsid w:val="003E6D74"/>
    <w:rsid w:val="003F47A0"/>
    <w:rsid w:val="00400222"/>
    <w:rsid w:val="00400E41"/>
    <w:rsid w:val="00407DAB"/>
    <w:rsid w:val="00424421"/>
    <w:rsid w:val="0042500B"/>
    <w:rsid w:val="0043035E"/>
    <w:rsid w:val="00441E47"/>
    <w:rsid w:val="00454377"/>
    <w:rsid w:val="00455B14"/>
    <w:rsid w:val="004573F9"/>
    <w:rsid w:val="00463042"/>
    <w:rsid w:val="00463FC5"/>
    <w:rsid w:val="00467802"/>
    <w:rsid w:val="004743E7"/>
    <w:rsid w:val="004810B0"/>
    <w:rsid w:val="00485F13"/>
    <w:rsid w:val="0048681C"/>
    <w:rsid w:val="00490A64"/>
    <w:rsid w:val="00490BF8"/>
    <w:rsid w:val="0049430A"/>
    <w:rsid w:val="004963A2"/>
    <w:rsid w:val="004967C9"/>
    <w:rsid w:val="004A60E0"/>
    <w:rsid w:val="004B0269"/>
    <w:rsid w:val="004B0F7E"/>
    <w:rsid w:val="004B582C"/>
    <w:rsid w:val="004B60EC"/>
    <w:rsid w:val="004C0D95"/>
    <w:rsid w:val="004C5940"/>
    <w:rsid w:val="004C5D40"/>
    <w:rsid w:val="004D1486"/>
    <w:rsid w:val="004E094F"/>
    <w:rsid w:val="004E27C9"/>
    <w:rsid w:val="004F0C26"/>
    <w:rsid w:val="004F16AB"/>
    <w:rsid w:val="004F18FA"/>
    <w:rsid w:val="004F2085"/>
    <w:rsid w:val="004F2706"/>
    <w:rsid w:val="004F57C2"/>
    <w:rsid w:val="00503560"/>
    <w:rsid w:val="00511743"/>
    <w:rsid w:val="00512B30"/>
    <w:rsid w:val="0051528E"/>
    <w:rsid w:val="00516DCC"/>
    <w:rsid w:val="00536BCB"/>
    <w:rsid w:val="00537280"/>
    <w:rsid w:val="00537A9D"/>
    <w:rsid w:val="00540A23"/>
    <w:rsid w:val="0054300F"/>
    <w:rsid w:val="00552F33"/>
    <w:rsid w:val="00562C90"/>
    <w:rsid w:val="00565BF9"/>
    <w:rsid w:val="005722FD"/>
    <w:rsid w:val="005734C1"/>
    <w:rsid w:val="00576041"/>
    <w:rsid w:val="0058198B"/>
    <w:rsid w:val="005855D2"/>
    <w:rsid w:val="00585E94"/>
    <w:rsid w:val="00591FA0"/>
    <w:rsid w:val="005A1751"/>
    <w:rsid w:val="005A62EF"/>
    <w:rsid w:val="005C26C6"/>
    <w:rsid w:val="005C63EE"/>
    <w:rsid w:val="005D016E"/>
    <w:rsid w:val="005D05D3"/>
    <w:rsid w:val="005E1E6E"/>
    <w:rsid w:val="00604FB0"/>
    <w:rsid w:val="00611C26"/>
    <w:rsid w:val="00620231"/>
    <w:rsid w:val="00634124"/>
    <w:rsid w:val="0064293C"/>
    <w:rsid w:val="00647361"/>
    <w:rsid w:val="006637C7"/>
    <w:rsid w:val="006642C2"/>
    <w:rsid w:val="00677844"/>
    <w:rsid w:val="00682F1A"/>
    <w:rsid w:val="006853A4"/>
    <w:rsid w:val="0068719D"/>
    <w:rsid w:val="006972B9"/>
    <w:rsid w:val="006A2F45"/>
    <w:rsid w:val="006A3FCB"/>
    <w:rsid w:val="006B54FB"/>
    <w:rsid w:val="006C667C"/>
    <w:rsid w:val="006C7C39"/>
    <w:rsid w:val="006D658B"/>
    <w:rsid w:val="006D711F"/>
    <w:rsid w:val="006F5DA9"/>
    <w:rsid w:val="007017E2"/>
    <w:rsid w:val="00703125"/>
    <w:rsid w:val="00703F98"/>
    <w:rsid w:val="007137FB"/>
    <w:rsid w:val="00721737"/>
    <w:rsid w:val="007240A8"/>
    <w:rsid w:val="007277E6"/>
    <w:rsid w:val="007323FC"/>
    <w:rsid w:val="00736B45"/>
    <w:rsid w:val="0073748B"/>
    <w:rsid w:val="00747D62"/>
    <w:rsid w:val="007536B4"/>
    <w:rsid w:val="007622EE"/>
    <w:rsid w:val="00771C18"/>
    <w:rsid w:val="0078302E"/>
    <w:rsid w:val="00785993"/>
    <w:rsid w:val="007A185C"/>
    <w:rsid w:val="007B380F"/>
    <w:rsid w:val="007B5F3A"/>
    <w:rsid w:val="007B63EC"/>
    <w:rsid w:val="007C2D53"/>
    <w:rsid w:val="007C49C7"/>
    <w:rsid w:val="007E02F8"/>
    <w:rsid w:val="007E4345"/>
    <w:rsid w:val="007F504C"/>
    <w:rsid w:val="00807ED0"/>
    <w:rsid w:val="00812548"/>
    <w:rsid w:val="008168E1"/>
    <w:rsid w:val="00823055"/>
    <w:rsid w:val="00824CFE"/>
    <w:rsid w:val="00841A88"/>
    <w:rsid w:val="00842D76"/>
    <w:rsid w:val="00843678"/>
    <w:rsid w:val="0085267C"/>
    <w:rsid w:val="00853DC1"/>
    <w:rsid w:val="00870538"/>
    <w:rsid w:val="00873867"/>
    <w:rsid w:val="00873A5C"/>
    <w:rsid w:val="008776D1"/>
    <w:rsid w:val="0088024C"/>
    <w:rsid w:val="008857A7"/>
    <w:rsid w:val="008C23A9"/>
    <w:rsid w:val="008C3188"/>
    <w:rsid w:val="008C3497"/>
    <w:rsid w:val="008E4A80"/>
    <w:rsid w:val="008F0448"/>
    <w:rsid w:val="008F3AD1"/>
    <w:rsid w:val="008F67E8"/>
    <w:rsid w:val="008F7DE3"/>
    <w:rsid w:val="00903441"/>
    <w:rsid w:val="009108DB"/>
    <w:rsid w:val="00942BF1"/>
    <w:rsid w:val="009431AE"/>
    <w:rsid w:val="00945230"/>
    <w:rsid w:val="00945900"/>
    <w:rsid w:val="00946291"/>
    <w:rsid w:val="00951D84"/>
    <w:rsid w:val="00953210"/>
    <w:rsid w:val="0095578E"/>
    <w:rsid w:val="00962251"/>
    <w:rsid w:val="0096436E"/>
    <w:rsid w:val="00965D0D"/>
    <w:rsid w:val="00971390"/>
    <w:rsid w:val="00974577"/>
    <w:rsid w:val="00974CF3"/>
    <w:rsid w:val="0098116A"/>
    <w:rsid w:val="0098174A"/>
    <w:rsid w:val="00982102"/>
    <w:rsid w:val="00982184"/>
    <w:rsid w:val="009837E0"/>
    <w:rsid w:val="00984737"/>
    <w:rsid w:val="00987FC7"/>
    <w:rsid w:val="009921B5"/>
    <w:rsid w:val="00992E85"/>
    <w:rsid w:val="00993466"/>
    <w:rsid w:val="009B0B88"/>
    <w:rsid w:val="009B6A28"/>
    <w:rsid w:val="009B782C"/>
    <w:rsid w:val="009C2F8A"/>
    <w:rsid w:val="009D5065"/>
    <w:rsid w:val="009E1EFB"/>
    <w:rsid w:val="009E5656"/>
    <w:rsid w:val="00A0172A"/>
    <w:rsid w:val="00A0275B"/>
    <w:rsid w:val="00A10DAB"/>
    <w:rsid w:val="00A22248"/>
    <w:rsid w:val="00A22308"/>
    <w:rsid w:val="00A30A6F"/>
    <w:rsid w:val="00A313DC"/>
    <w:rsid w:val="00A324F0"/>
    <w:rsid w:val="00A32C28"/>
    <w:rsid w:val="00A44C1C"/>
    <w:rsid w:val="00A45FAE"/>
    <w:rsid w:val="00A50C7B"/>
    <w:rsid w:val="00A52754"/>
    <w:rsid w:val="00A5393A"/>
    <w:rsid w:val="00A5640A"/>
    <w:rsid w:val="00A61B2E"/>
    <w:rsid w:val="00A6662D"/>
    <w:rsid w:val="00A67F87"/>
    <w:rsid w:val="00A706F7"/>
    <w:rsid w:val="00A82EE3"/>
    <w:rsid w:val="00A846AA"/>
    <w:rsid w:val="00A86446"/>
    <w:rsid w:val="00A90597"/>
    <w:rsid w:val="00A90DA5"/>
    <w:rsid w:val="00AA0D41"/>
    <w:rsid w:val="00AA6DC4"/>
    <w:rsid w:val="00AA74B3"/>
    <w:rsid w:val="00AB15A7"/>
    <w:rsid w:val="00AB7D38"/>
    <w:rsid w:val="00AC3409"/>
    <w:rsid w:val="00AC5767"/>
    <w:rsid w:val="00AD2DC0"/>
    <w:rsid w:val="00AE1DC2"/>
    <w:rsid w:val="00AF47AA"/>
    <w:rsid w:val="00B07944"/>
    <w:rsid w:val="00B11256"/>
    <w:rsid w:val="00B13C93"/>
    <w:rsid w:val="00B15404"/>
    <w:rsid w:val="00B168F5"/>
    <w:rsid w:val="00B237B7"/>
    <w:rsid w:val="00B414F6"/>
    <w:rsid w:val="00B44881"/>
    <w:rsid w:val="00B5203C"/>
    <w:rsid w:val="00B635EC"/>
    <w:rsid w:val="00B7605E"/>
    <w:rsid w:val="00B83D1B"/>
    <w:rsid w:val="00B8786D"/>
    <w:rsid w:val="00B87F18"/>
    <w:rsid w:val="00B926FB"/>
    <w:rsid w:val="00B950C8"/>
    <w:rsid w:val="00B95F1C"/>
    <w:rsid w:val="00B976CC"/>
    <w:rsid w:val="00BA1088"/>
    <w:rsid w:val="00BB5B87"/>
    <w:rsid w:val="00BC40C6"/>
    <w:rsid w:val="00BD060A"/>
    <w:rsid w:val="00BE0C36"/>
    <w:rsid w:val="00BE79DC"/>
    <w:rsid w:val="00BF1481"/>
    <w:rsid w:val="00BF3AB2"/>
    <w:rsid w:val="00C01722"/>
    <w:rsid w:val="00C109C2"/>
    <w:rsid w:val="00C11417"/>
    <w:rsid w:val="00C13266"/>
    <w:rsid w:val="00C14467"/>
    <w:rsid w:val="00C14909"/>
    <w:rsid w:val="00C32323"/>
    <w:rsid w:val="00C333AF"/>
    <w:rsid w:val="00C40E4B"/>
    <w:rsid w:val="00C47C47"/>
    <w:rsid w:val="00C56D42"/>
    <w:rsid w:val="00C70BB1"/>
    <w:rsid w:val="00C767F5"/>
    <w:rsid w:val="00C82250"/>
    <w:rsid w:val="00C8379B"/>
    <w:rsid w:val="00C972F4"/>
    <w:rsid w:val="00CA783B"/>
    <w:rsid w:val="00CB0A4D"/>
    <w:rsid w:val="00CD3A89"/>
    <w:rsid w:val="00CD5E65"/>
    <w:rsid w:val="00CE3E7D"/>
    <w:rsid w:val="00CF245B"/>
    <w:rsid w:val="00CF6DFC"/>
    <w:rsid w:val="00CF722D"/>
    <w:rsid w:val="00D00627"/>
    <w:rsid w:val="00D158B9"/>
    <w:rsid w:val="00D20C8C"/>
    <w:rsid w:val="00D210BB"/>
    <w:rsid w:val="00D25A4D"/>
    <w:rsid w:val="00D438F3"/>
    <w:rsid w:val="00D51808"/>
    <w:rsid w:val="00D61E1D"/>
    <w:rsid w:val="00D62442"/>
    <w:rsid w:val="00D706B3"/>
    <w:rsid w:val="00D720CF"/>
    <w:rsid w:val="00D851AD"/>
    <w:rsid w:val="00D85277"/>
    <w:rsid w:val="00D9224D"/>
    <w:rsid w:val="00D931D5"/>
    <w:rsid w:val="00DA23C6"/>
    <w:rsid w:val="00DB6A8C"/>
    <w:rsid w:val="00DC27D4"/>
    <w:rsid w:val="00DC646E"/>
    <w:rsid w:val="00DE434D"/>
    <w:rsid w:val="00DE494D"/>
    <w:rsid w:val="00DE5E5F"/>
    <w:rsid w:val="00DF3074"/>
    <w:rsid w:val="00E15477"/>
    <w:rsid w:val="00E17D85"/>
    <w:rsid w:val="00E214BA"/>
    <w:rsid w:val="00E21543"/>
    <w:rsid w:val="00E2233D"/>
    <w:rsid w:val="00E26BDD"/>
    <w:rsid w:val="00E27EA5"/>
    <w:rsid w:val="00E33AE0"/>
    <w:rsid w:val="00E4411C"/>
    <w:rsid w:val="00E448E0"/>
    <w:rsid w:val="00E46D35"/>
    <w:rsid w:val="00E51A67"/>
    <w:rsid w:val="00E531CD"/>
    <w:rsid w:val="00E60624"/>
    <w:rsid w:val="00E67F2D"/>
    <w:rsid w:val="00E702F4"/>
    <w:rsid w:val="00E7093B"/>
    <w:rsid w:val="00E72385"/>
    <w:rsid w:val="00E73D8F"/>
    <w:rsid w:val="00E743C6"/>
    <w:rsid w:val="00E76C09"/>
    <w:rsid w:val="00E8718E"/>
    <w:rsid w:val="00E913AF"/>
    <w:rsid w:val="00E96D27"/>
    <w:rsid w:val="00EA5AD3"/>
    <w:rsid w:val="00EB1005"/>
    <w:rsid w:val="00EB740E"/>
    <w:rsid w:val="00EB7881"/>
    <w:rsid w:val="00EC09B7"/>
    <w:rsid w:val="00ED2E63"/>
    <w:rsid w:val="00ED334A"/>
    <w:rsid w:val="00ED402E"/>
    <w:rsid w:val="00ED56A4"/>
    <w:rsid w:val="00ED6468"/>
    <w:rsid w:val="00EE37BD"/>
    <w:rsid w:val="00EF3322"/>
    <w:rsid w:val="00F02170"/>
    <w:rsid w:val="00F0322C"/>
    <w:rsid w:val="00F12432"/>
    <w:rsid w:val="00F12A20"/>
    <w:rsid w:val="00F12D09"/>
    <w:rsid w:val="00F24A54"/>
    <w:rsid w:val="00F54FF1"/>
    <w:rsid w:val="00F55591"/>
    <w:rsid w:val="00F62C79"/>
    <w:rsid w:val="00F6450F"/>
    <w:rsid w:val="00F656D4"/>
    <w:rsid w:val="00F725F3"/>
    <w:rsid w:val="00F72EE4"/>
    <w:rsid w:val="00F838B2"/>
    <w:rsid w:val="00FA5946"/>
    <w:rsid w:val="00FA6E5A"/>
    <w:rsid w:val="00FB1F56"/>
    <w:rsid w:val="00FC4254"/>
    <w:rsid w:val="00FE419C"/>
    <w:rsid w:val="00FF70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30"/>
        <o:r id="V:Rule2" type="connector" idref="#_x0000_s1029"/>
      </o:rules>
    </o:shapelayout>
  </w:shapeDefaults>
  <w:decimalSymbol w:val="."/>
  <w:listSeparator w:val=","/>
  <w14:docId w14:val="2018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5E"/>
  </w:style>
  <w:style w:type="paragraph" w:styleId="Heading1">
    <w:name w:val="heading 1"/>
    <w:basedOn w:val="Normal"/>
    <w:next w:val="Normal"/>
    <w:link w:val="Heading1Char"/>
    <w:uiPriority w:val="9"/>
    <w:qFormat/>
    <w:rsid w:val="00540A2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725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85E9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7217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40A2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725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85E9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7217A"/>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4B582C"/>
    <w:rPr>
      <w:color w:val="605E5C"/>
      <w:shd w:val="clear" w:color="auto" w:fill="E1DFDD"/>
    </w:rPr>
  </w:style>
  <w:style w:type="table" w:styleId="TableGrid">
    <w:name w:val="Table Grid"/>
    <w:basedOn w:val="TableNormal"/>
    <w:uiPriority w:val="59"/>
    <w:rsid w:val="0003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31499"/>
    <w:rPr>
      <w:color w:val="666666"/>
    </w:rPr>
  </w:style>
  <w:style w:type="character" w:styleId="CommentReference">
    <w:name w:val="annotation reference"/>
    <w:basedOn w:val="DefaultParagraphFont"/>
    <w:uiPriority w:val="99"/>
    <w:semiHidden/>
    <w:unhideWhenUsed/>
    <w:rsid w:val="00A45FAE"/>
    <w:rPr>
      <w:sz w:val="16"/>
      <w:szCs w:val="16"/>
    </w:rPr>
  </w:style>
  <w:style w:type="paragraph" w:styleId="CommentText">
    <w:name w:val="annotation text"/>
    <w:basedOn w:val="Normal"/>
    <w:link w:val="CommentTextChar"/>
    <w:uiPriority w:val="99"/>
    <w:unhideWhenUsed/>
    <w:rsid w:val="00A45FAE"/>
    <w:pPr>
      <w:spacing w:line="240" w:lineRule="auto"/>
    </w:pPr>
    <w:rPr>
      <w:sz w:val="20"/>
      <w:szCs w:val="20"/>
    </w:rPr>
  </w:style>
  <w:style w:type="character" w:customStyle="1" w:styleId="CommentTextChar">
    <w:name w:val="Comment Text Char"/>
    <w:basedOn w:val="DefaultParagraphFont"/>
    <w:link w:val="CommentText"/>
    <w:uiPriority w:val="99"/>
    <w:rsid w:val="00A45FAE"/>
    <w:rPr>
      <w:sz w:val="20"/>
      <w:szCs w:val="20"/>
    </w:rPr>
  </w:style>
  <w:style w:type="paragraph" w:styleId="CommentSubject">
    <w:name w:val="annotation subject"/>
    <w:basedOn w:val="CommentText"/>
    <w:next w:val="CommentText"/>
    <w:link w:val="CommentSubjectChar"/>
    <w:uiPriority w:val="99"/>
    <w:semiHidden/>
    <w:unhideWhenUsed/>
    <w:rsid w:val="00A45FAE"/>
    <w:rPr>
      <w:b/>
      <w:bCs/>
    </w:rPr>
  </w:style>
  <w:style w:type="character" w:customStyle="1" w:styleId="CommentSubjectChar">
    <w:name w:val="Comment Subject Char"/>
    <w:basedOn w:val="CommentTextChar"/>
    <w:link w:val="CommentSubject"/>
    <w:uiPriority w:val="99"/>
    <w:semiHidden/>
    <w:rsid w:val="00A45FAE"/>
    <w:rPr>
      <w:b/>
      <w:bCs/>
      <w:sz w:val="20"/>
      <w:szCs w:val="20"/>
    </w:rPr>
  </w:style>
  <w:style w:type="paragraph" w:customStyle="1" w:styleId="FrameContents">
    <w:name w:val="Frame Contents"/>
    <w:basedOn w:val="Normal"/>
    <w:qFormat/>
    <w:rsid w:val="00163B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2222">
      <w:bodyDiv w:val="1"/>
      <w:marLeft w:val="0"/>
      <w:marRight w:val="0"/>
      <w:marTop w:val="0"/>
      <w:marBottom w:val="0"/>
      <w:divBdr>
        <w:top w:val="none" w:sz="0" w:space="0" w:color="auto"/>
        <w:left w:val="none" w:sz="0" w:space="0" w:color="auto"/>
        <w:bottom w:val="none" w:sz="0" w:space="0" w:color="auto"/>
        <w:right w:val="none" w:sz="0" w:space="0" w:color="auto"/>
      </w:divBdr>
    </w:div>
    <w:div w:id="221798285">
      <w:bodyDiv w:val="1"/>
      <w:marLeft w:val="0"/>
      <w:marRight w:val="0"/>
      <w:marTop w:val="0"/>
      <w:marBottom w:val="0"/>
      <w:divBdr>
        <w:top w:val="none" w:sz="0" w:space="0" w:color="auto"/>
        <w:left w:val="none" w:sz="0" w:space="0" w:color="auto"/>
        <w:bottom w:val="none" w:sz="0" w:space="0" w:color="auto"/>
        <w:right w:val="none" w:sz="0" w:space="0" w:color="auto"/>
      </w:divBdr>
    </w:div>
    <w:div w:id="337343152">
      <w:bodyDiv w:val="1"/>
      <w:marLeft w:val="0"/>
      <w:marRight w:val="0"/>
      <w:marTop w:val="0"/>
      <w:marBottom w:val="0"/>
      <w:divBdr>
        <w:top w:val="none" w:sz="0" w:space="0" w:color="auto"/>
        <w:left w:val="none" w:sz="0" w:space="0" w:color="auto"/>
        <w:bottom w:val="none" w:sz="0" w:space="0" w:color="auto"/>
        <w:right w:val="none" w:sz="0" w:space="0" w:color="auto"/>
      </w:divBdr>
    </w:div>
    <w:div w:id="516892006">
      <w:bodyDiv w:val="1"/>
      <w:marLeft w:val="0"/>
      <w:marRight w:val="0"/>
      <w:marTop w:val="0"/>
      <w:marBottom w:val="0"/>
      <w:divBdr>
        <w:top w:val="none" w:sz="0" w:space="0" w:color="auto"/>
        <w:left w:val="none" w:sz="0" w:space="0" w:color="auto"/>
        <w:bottom w:val="none" w:sz="0" w:space="0" w:color="auto"/>
        <w:right w:val="none" w:sz="0" w:space="0" w:color="auto"/>
      </w:divBdr>
    </w:div>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758454017">
      <w:bodyDiv w:val="1"/>
      <w:marLeft w:val="0"/>
      <w:marRight w:val="0"/>
      <w:marTop w:val="0"/>
      <w:marBottom w:val="0"/>
      <w:divBdr>
        <w:top w:val="none" w:sz="0" w:space="0" w:color="auto"/>
        <w:left w:val="none" w:sz="0" w:space="0" w:color="auto"/>
        <w:bottom w:val="none" w:sz="0" w:space="0" w:color="auto"/>
        <w:right w:val="none" w:sz="0" w:space="0" w:color="auto"/>
      </w:divBdr>
    </w:div>
    <w:div w:id="1058435789">
      <w:bodyDiv w:val="1"/>
      <w:marLeft w:val="0"/>
      <w:marRight w:val="0"/>
      <w:marTop w:val="0"/>
      <w:marBottom w:val="0"/>
      <w:divBdr>
        <w:top w:val="none" w:sz="0" w:space="0" w:color="auto"/>
        <w:left w:val="none" w:sz="0" w:space="0" w:color="auto"/>
        <w:bottom w:val="none" w:sz="0" w:space="0" w:color="auto"/>
        <w:right w:val="none" w:sz="0" w:space="0" w:color="auto"/>
      </w:divBdr>
    </w:div>
    <w:div w:id="1484926799">
      <w:bodyDiv w:val="1"/>
      <w:marLeft w:val="0"/>
      <w:marRight w:val="0"/>
      <w:marTop w:val="0"/>
      <w:marBottom w:val="0"/>
      <w:divBdr>
        <w:top w:val="none" w:sz="0" w:space="0" w:color="auto"/>
        <w:left w:val="none" w:sz="0" w:space="0" w:color="auto"/>
        <w:bottom w:val="none" w:sz="0" w:space="0" w:color="auto"/>
        <w:right w:val="none" w:sz="0" w:space="0" w:color="auto"/>
      </w:divBdr>
    </w:div>
    <w:div w:id="1586304443">
      <w:bodyDiv w:val="1"/>
      <w:marLeft w:val="0"/>
      <w:marRight w:val="0"/>
      <w:marTop w:val="0"/>
      <w:marBottom w:val="0"/>
      <w:divBdr>
        <w:top w:val="none" w:sz="0" w:space="0" w:color="auto"/>
        <w:left w:val="none" w:sz="0" w:space="0" w:color="auto"/>
        <w:bottom w:val="none" w:sz="0" w:space="0" w:color="auto"/>
        <w:right w:val="none" w:sz="0" w:space="0" w:color="auto"/>
      </w:divBdr>
    </w:div>
    <w:div w:id="1649550639">
      <w:bodyDiv w:val="1"/>
      <w:marLeft w:val="0"/>
      <w:marRight w:val="0"/>
      <w:marTop w:val="0"/>
      <w:marBottom w:val="0"/>
      <w:divBdr>
        <w:top w:val="none" w:sz="0" w:space="0" w:color="auto"/>
        <w:left w:val="none" w:sz="0" w:space="0" w:color="auto"/>
        <w:bottom w:val="none" w:sz="0" w:space="0" w:color="auto"/>
        <w:right w:val="none" w:sz="0" w:space="0" w:color="auto"/>
      </w:divBdr>
      <w:divsChild>
        <w:div w:id="353188904">
          <w:marLeft w:val="0"/>
          <w:marRight w:val="0"/>
          <w:marTop w:val="0"/>
          <w:marBottom w:val="0"/>
          <w:divBdr>
            <w:top w:val="none" w:sz="0" w:space="0" w:color="auto"/>
            <w:left w:val="none" w:sz="0" w:space="0" w:color="auto"/>
            <w:bottom w:val="none" w:sz="0" w:space="0" w:color="auto"/>
            <w:right w:val="none" w:sz="0" w:space="0" w:color="auto"/>
          </w:divBdr>
          <w:divsChild>
            <w:div w:id="1632442934">
              <w:marLeft w:val="0"/>
              <w:marRight w:val="0"/>
              <w:marTop w:val="0"/>
              <w:marBottom w:val="0"/>
              <w:divBdr>
                <w:top w:val="none" w:sz="0" w:space="0" w:color="auto"/>
                <w:left w:val="none" w:sz="0" w:space="0" w:color="auto"/>
                <w:bottom w:val="none" w:sz="0" w:space="0" w:color="auto"/>
                <w:right w:val="none" w:sz="0" w:space="0" w:color="auto"/>
              </w:divBdr>
              <w:divsChild>
                <w:div w:id="39667753">
                  <w:marLeft w:val="0"/>
                  <w:marRight w:val="0"/>
                  <w:marTop w:val="0"/>
                  <w:marBottom w:val="0"/>
                  <w:divBdr>
                    <w:top w:val="none" w:sz="0" w:space="0" w:color="auto"/>
                    <w:left w:val="none" w:sz="0" w:space="0" w:color="auto"/>
                    <w:bottom w:val="none" w:sz="0" w:space="0" w:color="auto"/>
                    <w:right w:val="none" w:sz="0" w:space="0" w:color="auto"/>
                  </w:divBdr>
                  <w:divsChild>
                    <w:div w:id="8635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84808">
      <w:bodyDiv w:val="1"/>
      <w:marLeft w:val="0"/>
      <w:marRight w:val="0"/>
      <w:marTop w:val="0"/>
      <w:marBottom w:val="0"/>
      <w:divBdr>
        <w:top w:val="none" w:sz="0" w:space="0" w:color="auto"/>
        <w:left w:val="none" w:sz="0" w:space="0" w:color="auto"/>
        <w:bottom w:val="none" w:sz="0" w:space="0" w:color="auto"/>
        <w:right w:val="none" w:sz="0" w:space="0" w:color="auto"/>
      </w:divBdr>
    </w:div>
    <w:div w:id="1918442631">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 w:id="1997807276">
      <w:bodyDiv w:val="1"/>
      <w:marLeft w:val="0"/>
      <w:marRight w:val="0"/>
      <w:marTop w:val="0"/>
      <w:marBottom w:val="0"/>
      <w:divBdr>
        <w:top w:val="none" w:sz="0" w:space="0" w:color="auto"/>
        <w:left w:val="none" w:sz="0" w:space="0" w:color="auto"/>
        <w:bottom w:val="none" w:sz="0" w:space="0" w:color="auto"/>
        <w:right w:val="none" w:sz="0" w:space="0" w:color="auto"/>
      </w:divBdr>
    </w:div>
    <w:div w:id="20624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hara\OneDrive\BNW%20Weather%20correlation\Desktop\ZREAC2025\Assessment%20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hara\OneDrive\BNW%20Weather%20correlation\Desktop\ZREAC2025\Assessment%20char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Sheet1!$D$21</c:f>
              <c:strCache>
                <c:ptCount val="1"/>
                <c:pt idx="0">
                  <c:v>ESB incidence (%DH)</c:v>
                </c:pt>
              </c:strCache>
            </c:strRef>
          </c:tx>
          <c:spPr>
            <a:solidFill>
              <a:schemeClr val="accent1"/>
            </a:solidFill>
            <a:ln>
              <a:noFill/>
            </a:ln>
            <a:effectLst/>
          </c:spPr>
          <c:invertIfNegative val="0"/>
          <c:cat>
            <c:strRef>
              <c:f>(Sheet1!$C$22,Sheet1!$C$24,Sheet1!$C$26,Sheet1!$C$28)</c:f>
              <c:strCache>
                <c:ptCount val="4"/>
                <c:pt idx="0">
                  <c:v>Chemical module</c:v>
                </c:pt>
                <c:pt idx="1">
                  <c:v>Non chemical module</c:v>
                </c:pt>
                <c:pt idx="2">
                  <c:v>IPM  module</c:v>
                </c:pt>
                <c:pt idx="3">
                  <c:v>Unprotected Control</c:v>
                </c:pt>
              </c:strCache>
              <c:extLst xmlns:c16r2="http://schemas.microsoft.com/office/drawing/2015/06/chart"/>
            </c:strRef>
          </c:cat>
          <c:val>
            <c:numRef>
              <c:f>(Sheet1!$D$22,Sheet1!$D$24,Sheet1!$D$26,Sheet1!$D$28)</c:f>
              <c:numCache>
                <c:formatCode>General</c:formatCode>
                <c:ptCount val="4"/>
                <c:pt idx="0">
                  <c:v>11.75</c:v>
                </c:pt>
                <c:pt idx="1">
                  <c:v>16.3</c:v>
                </c:pt>
                <c:pt idx="2">
                  <c:v>9.5500000000000007</c:v>
                </c:pt>
                <c:pt idx="3">
                  <c:v>33.32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B828-46A1-99F2-6B4104B0ECE8}"/>
            </c:ext>
          </c:extLst>
        </c:ser>
        <c:ser>
          <c:idx val="1"/>
          <c:order val="1"/>
          <c:tx>
            <c:strRef>
              <c:f>Sheet1!$E$21</c:f>
              <c:strCache>
                <c:ptCount val="1"/>
                <c:pt idx="0">
                  <c:v>INB incidence (%)</c:v>
                </c:pt>
              </c:strCache>
            </c:strRef>
          </c:tx>
          <c:spPr>
            <a:solidFill>
              <a:schemeClr val="accent2"/>
            </a:solidFill>
            <a:ln>
              <a:noFill/>
            </a:ln>
            <a:effectLst/>
          </c:spPr>
          <c:invertIfNegative val="0"/>
          <c:cat>
            <c:strRef>
              <c:f>(Sheet1!$C$22,Sheet1!$C$24,Sheet1!$C$26,Sheet1!$C$28)</c:f>
              <c:strCache>
                <c:ptCount val="4"/>
                <c:pt idx="0">
                  <c:v>Chemical module</c:v>
                </c:pt>
                <c:pt idx="1">
                  <c:v>Non chemical module</c:v>
                </c:pt>
                <c:pt idx="2">
                  <c:v>IPM  module</c:v>
                </c:pt>
                <c:pt idx="3">
                  <c:v>Unprotected Control</c:v>
                </c:pt>
              </c:strCache>
              <c:extLst xmlns:c16r2="http://schemas.microsoft.com/office/drawing/2015/06/chart"/>
            </c:strRef>
          </c:cat>
          <c:val>
            <c:numRef>
              <c:f>(Sheet1!$E$22,Sheet1!$E$24,Sheet1!$E$26,Sheet1!$E$28)</c:f>
              <c:numCache>
                <c:formatCode>General</c:formatCode>
                <c:ptCount val="4"/>
                <c:pt idx="0">
                  <c:v>81</c:v>
                </c:pt>
                <c:pt idx="1">
                  <c:v>66</c:v>
                </c:pt>
                <c:pt idx="2">
                  <c:v>53.25</c:v>
                </c:pt>
                <c:pt idx="3">
                  <c:v>100</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B828-46A1-99F2-6B4104B0ECE8}"/>
            </c:ext>
          </c:extLst>
        </c:ser>
        <c:ser>
          <c:idx val="2"/>
          <c:order val="2"/>
          <c:tx>
            <c:strRef>
              <c:f>Sheet1!$F$21</c:f>
              <c:strCache>
                <c:ptCount val="1"/>
                <c:pt idx="0">
                  <c:v>INB intensity (%)</c:v>
                </c:pt>
              </c:strCache>
            </c:strRef>
          </c:tx>
          <c:spPr>
            <a:solidFill>
              <a:schemeClr val="accent3"/>
            </a:solidFill>
            <a:ln>
              <a:noFill/>
            </a:ln>
            <a:effectLst/>
          </c:spPr>
          <c:invertIfNegative val="0"/>
          <c:cat>
            <c:strRef>
              <c:f>(Sheet1!$C$22,Sheet1!$C$24,Sheet1!$C$26,Sheet1!$C$28)</c:f>
              <c:strCache>
                <c:ptCount val="4"/>
                <c:pt idx="0">
                  <c:v>Chemical module</c:v>
                </c:pt>
                <c:pt idx="1">
                  <c:v>Non chemical module</c:v>
                </c:pt>
                <c:pt idx="2">
                  <c:v>IPM  module</c:v>
                </c:pt>
                <c:pt idx="3">
                  <c:v>Unprotected Control</c:v>
                </c:pt>
              </c:strCache>
              <c:extLst xmlns:c16r2="http://schemas.microsoft.com/office/drawing/2015/06/chart"/>
            </c:strRef>
          </c:cat>
          <c:val>
            <c:numRef>
              <c:f>(Sheet1!$F$22,Sheet1!$F$24,Sheet1!$F$26,Sheet1!$F$28)</c:f>
              <c:numCache>
                <c:formatCode>General</c:formatCode>
                <c:ptCount val="4"/>
                <c:pt idx="0">
                  <c:v>11.95</c:v>
                </c:pt>
                <c:pt idx="1">
                  <c:v>11.65</c:v>
                </c:pt>
                <c:pt idx="2">
                  <c:v>7.6</c:v>
                </c:pt>
                <c:pt idx="3">
                  <c:v>23.5</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B828-46A1-99F2-6B4104B0ECE8}"/>
            </c:ext>
          </c:extLst>
        </c:ser>
        <c:dLbls>
          <c:showLegendKey val="0"/>
          <c:showVal val="0"/>
          <c:showCatName val="0"/>
          <c:showSerName val="0"/>
          <c:showPercent val="0"/>
          <c:showBubbleSize val="0"/>
        </c:dLbls>
        <c:gapWidth val="150"/>
        <c:axId val="288948608"/>
        <c:axId val="288950912"/>
      </c:barChart>
      <c:catAx>
        <c:axId val="2889486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88950912"/>
        <c:crosses val="autoZero"/>
        <c:auto val="1"/>
        <c:lblAlgn val="ctr"/>
        <c:lblOffset val="100"/>
        <c:noMultiLvlLbl val="0"/>
      </c:catAx>
      <c:valAx>
        <c:axId val="288950912"/>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48608"/>
        <c:crosses val="autoZero"/>
        <c:crossBetween val="between"/>
        <c:majorUnit val="10"/>
      </c:valAx>
      <c:spPr>
        <a:noFill/>
        <a:ln>
          <a:noFill/>
        </a:ln>
        <a:effectLst/>
      </c:spPr>
    </c:plotArea>
    <c:legend>
      <c:legendPos val="b"/>
      <c:overlay val="0"/>
      <c:spPr>
        <a:pattFill prst="pct5">
          <a:fgClr>
            <a:schemeClr val="accent1"/>
          </a:fgClr>
          <a:bgClr>
            <a:schemeClr val="bg1"/>
          </a:bgClr>
        </a:patt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pct5">
      <a:fgClr>
        <a:schemeClr val="tx1"/>
      </a:fgClr>
      <a:bgClr>
        <a:schemeClr val="bg1"/>
      </a:bgClr>
    </a:patt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20"/>
      <c:rAngAx val="1"/>
    </c:view3D>
    <c:floor>
      <c:thickness val="0"/>
      <c:spPr>
        <a:noFill/>
        <a:ln>
          <a:noFill/>
        </a:ln>
        <a:effectLst/>
        <a:sp3d/>
      </c:spPr>
    </c:floor>
    <c:sideWall>
      <c:thickness val="0"/>
      <c:spPr>
        <a:noFill/>
        <a:ln>
          <a:solidFill>
            <a:srgbClr val="EE0000"/>
          </a:solidFill>
        </a:ln>
        <a:effectLst/>
        <a:sp3d>
          <a:contourClr>
            <a:srgbClr val="EE0000"/>
          </a:contourClr>
        </a:sp3d>
      </c:spPr>
    </c:sideWall>
    <c:backWall>
      <c:thickness val="0"/>
      <c:spPr>
        <a:noFill/>
        <a:ln>
          <a:solidFill>
            <a:srgbClr val="EE0000"/>
          </a:solidFill>
        </a:ln>
        <a:effectLst/>
        <a:sp3d>
          <a:contourClr>
            <a:srgbClr val="EE0000"/>
          </a:contourClr>
        </a:sp3d>
      </c:spPr>
    </c:backWall>
    <c:plotArea>
      <c:layout>
        <c:manualLayout>
          <c:layoutTarget val="inner"/>
          <c:xMode val="edge"/>
          <c:yMode val="edge"/>
          <c:x val="9.0343102716556045E-2"/>
          <c:y val="0.2125030887076847"/>
          <c:w val="0.76313675076329757"/>
          <c:h val="0.50551803708005738"/>
        </c:manualLayout>
      </c:layout>
      <c:bar3DChart>
        <c:barDir val="col"/>
        <c:grouping val="clustered"/>
        <c:varyColors val="0"/>
        <c:ser>
          <c:idx val="0"/>
          <c:order val="0"/>
          <c:tx>
            <c:strRef>
              <c:f>Sheet1!$D$4</c:f>
              <c:strCache>
                <c:ptCount val="1"/>
                <c:pt idx="0">
                  <c:v>NMC (000'/ha)</c:v>
                </c:pt>
              </c:strCache>
            </c:strRef>
          </c:tx>
          <c:spPr>
            <a:solidFill>
              <a:schemeClr val="accent1"/>
            </a:solidFill>
            <a:ln>
              <a:noFill/>
            </a:ln>
            <a:effectLst/>
            <a:sp3d/>
          </c:spPr>
          <c:invertIfNegative val="0"/>
          <c:cat>
            <c:strRef>
              <c:f>Sheet1!$C$5:$C$9</c:f>
              <c:strCache>
                <c:ptCount val="5"/>
                <c:pt idx="1">
                  <c:v>Chemical module</c:v>
                </c:pt>
                <c:pt idx="2">
                  <c:v>Non chemical module</c:v>
                </c:pt>
                <c:pt idx="3">
                  <c:v>IPM  module</c:v>
                </c:pt>
                <c:pt idx="4">
                  <c:v>Unprotected Control</c:v>
                </c:pt>
              </c:strCache>
            </c:strRef>
          </c:cat>
          <c:val>
            <c:numRef>
              <c:f>Sheet1!$D$5:$D$9</c:f>
              <c:numCache>
                <c:formatCode>General</c:formatCode>
                <c:ptCount val="5"/>
                <c:pt idx="1">
                  <c:v>70.13</c:v>
                </c:pt>
                <c:pt idx="2">
                  <c:v>68.34</c:v>
                </c:pt>
                <c:pt idx="3">
                  <c:v>72</c:v>
                </c:pt>
                <c:pt idx="4">
                  <c:v>61.06</c:v>
                </c:pt>
              </c:numCache>
            </c:numRef>
          </c:val>
          <c:extLst xmlns:c16r2="http://schemas.microsoft.com/office/drawing/2015/06/chart">
            <c:ext xmlns:c16="http://schemas.microsoft.com/office/drawing/2014/chart" uri="{C3380CC4-5D6E-409C-BE32-E72D297353CC}">
              <c16:uniqueId val="{00000000-C427-4550-859A-D3497FC1BC56}"/>
            </c:ext>
          </c:extLst>
        </c:ser>
        <c:ser>
          <c:idx val="1"/>
          <c:order val="1"/>
          <c:tx>
            <c:strRef>
              <c:f>Sheet1!$E$4</c:f>
              <c:strCache>
                <c:ptCount val="1"/>
                <c:pt idx="0">
                  <c:v>Cane yield (t/ha)</c:v>
                </c:pt>
              </c:strCache>
            </c:strRef>
          </c:tx>
          <c:spPr>
            <a:solidFill>
              <a:schemeClr val="accent2"/>
            </a:solidFill>
            <a:ln>
              <a:noFill/>
            </a:ln>
            <a:effectLst/>
            <a:sp3d/>
          </c:spPr>
          <c:invertIfNegative val="0"/>
          <c:cat>
            <c:strRef>
              <c:f>Sheet1!$C$5:$C$9</c:f>
              <c:strCache>
                <c:ptCount val="5"/>
                <c:pt idx="1">
                  <c:v>Chemical module</c:v>
                </c:pt>
                <c:pt idx="2">
                  <c:v>Non chemical module</c:v>
                </c:pt>
                <c:pt idx="3">
                  <c:v>IPM  module</c:v>
                </c:pt>
                <c:pt idx="4">
                  <c:v>Unprotected Control</c:v>
                </c:pt>
              </c:strCache>
            </c:strRef>
          </c:cat>
          <c:val>
            <c:numRef>
              <c:f>Sheet1!$E$5:$E$9</c:f>
              <c:numCache>
                <c:formatCode>General</c:formatCode>
                <c:ptCount val="5"/>
                <c:pt idx="1">
                  <c:v>84.14</c:v>
                </c:pt>
                <c:pt idx="2">
                  <c:v>81.900000000000006</c:v>
                </c:pt>
                <c:pt idx="3">
                  <c:v>86.4</c:v>
                </c:pt>
                <c:pt idx="4">
                  <c:v>70.2</c:v>
                </c:pt>
              </c:numCache>
            </c:numRef>
          </c:val>
          <c:extLst xmlns:c16r2="http://schemas.microsoft.com/office/drawing/2015/06/chart">
            <c:ext xmlns:c16="http://schemas.microsoft.com/office/drawing/2014/chart" uri="{C3380CC4-5D6E-409C-BE32-E72D297353CC}">
              <c16:uniqueId val="{00000001-C427-4550-859A-D3497FC1BC56}"/>
            </c:ext>
          </c:extLst>
        </c:ser>
        <c:dLbls>
          <c:showLegendKey val="0"/>
          <c:showVal val="0"/>
          <c:showCatName val="0"/>
          <c:showSerName val="0"/>
          <c:showPercent val="0"/>
          <c:showBubbleSize val="0"/>
        </c:dLbls>
        <c:gapWidth val="219"/>
        <c:shape val="box"/>
        <c:axId val="156866048"/>
        <c:axId val="156867584"/>
        <c:axId val="0"/>
      </c:bar3DChart>
      <c:catAx>
        <c:axId val="15686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56867584"/>
        <c:crosses val="autoZero"/>
        <c:auto val="1"/>
        <c:lblAlgn val="ctr"/>
        <c:lblOffset val="100"/>
        <c:noMultiLvlLbl val="0"/>
      </c:catAx>
      <c:valAx>
        <c:axId val="15686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686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pct5">
      <a:fgClr>
        <a:schemeClr val="accent1"/>
      </a:fgClr>
      <a:bgClr>
        <a:schemeClr val="bg1"/>
      </a:bgClr>
    </a:pattFill>
    <a:ln w="9525" cap="flat" cmpd="sng" algn="ctr">
      <a:solidFill>
        <a:srgbClr val="EE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50F7D-FAB3-47C1-9236-85FAD8A2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5885</Words>
  <Characters>33550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Galoo</cp:lastModifiedBy>
  <cp:revision>58</cp:revision>
  <dcterms:created xsi:type="dcterms:W3CDTF">2025-08-01T13:31:00Z</dcterms:created>
  <dcterms:modified xsi:type="dcterms:W3CDTF">2025-08-27T19:15:00Z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bd600b08-e69c-4e39-8081-d404326fc80b</vt:lpwstr>
  </property>
</Properties>
</file>