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76994" w14:paraId="7059A077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3878081" w14:textId="77777777" w:rsidR="00602F7D" w:rsidRPr="00B7699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76994" w14:paraId="1422BE98" w14:textId="77777777" w:rsidTr="00F33C84">
        <w:trPr>
          <w:trHeight w:val="413"/>
        </w:trPr>
        <w:tc>
          <w:tcPr>
            <w:tcW w:w="1234" w:type="pct"/>
          </w:tcPr>
          <w:p w14:paraId="396DD9A3" w14:textId="77777777" w:rsidR="0000007A" w:rsidRPr="00B7699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7699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304FA" w14:textId="77777777" w:rsidR="0000007A" w:rsidRPr="00B76994" w:rsidRDefault="00A909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7699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B76994" w14:paraId="5CA4BA7A" w14:textId="77777777" w:rsidTr="002E7787">
        <w:trPr>
          <w:trHeight w:val="290"/>
        </w:trPr>
        <w:tc>
          <w:tcPr>
            <w:tcW w:w="1234" w:type="pct"/>
          </w:tcPr>
          <w:p w14:paraId="13F6838B" w14:textId="77777777" w:rsidR="0000007A" w:rsidRPr="00B769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396B" w14:textId="77777777" w:rsidR="0000007A" w:rsidRPr="00B7699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20FC8"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6109</w:t>
            </w:r>
          </w:p>
        </w:tc>
      </w:tr>
      <w:tr w:rsidR="0000007A" w:rsidRPr="00B76994" w14:paraId="37842A21" w14:textId="77777777" w:rsidTr="002109D6">
        <w:trPr>
          <w:trHeight w:val="331"/>
        </w:trPr>
        <w:tc>
          <w:tcPr>
            <w:tcW w:w="1234" w:type="pct"/>
          </w:tcPr>
          <w:p w14:paraId="3692B6DC" w14:textId="77777777" w:rsidR="0000007A" w:rsidRPr="00B769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D5E9" w14:textId="77777777" w:rsidR="0000007A" w:rsidRPr="00B76994" w:rsidRDefault="00EE65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76994">
              <w:rPr>
                <w:rFonts w:ascii="Arial" w:hAnsi="Arial" w:cs="Arial"/>
                <w:b/>
                <w:sz w:val="20"/>
                <w:szCs w:val="20"/>
                <w:lang w:val="en-GB"/>
              </w:rPr>
              <w:t>On enclosure Norwegian style</w:t>
            </w:r>
          </w:p>
        </w:tc>
      </w:tr>
      <w:tr w:rsidR="00CF0BBB" w:rsidRPr="00B76994" w14:paraId="2ABA4398" w14:textId="77777777" w:rsidTr="002E7787">
        <w:trPr>
          <w:trHeight w:val="332"/>
        </w:trPr>
        <w:tc>
          <w:tcPr>
            <w:tcW w:w="1234" w:type="pct"/>
          </w:tcPr>
          <w:p w14:paraId="64510FB3" w14:textId="77777777" w:rsidR="00CF0BBB" w:rsidRPr="00B7699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42C75" w14:textId="77777777" w:rsidR="00CF0BBB" w:rsidRPr="00B76994" w:rsidRDefault="00820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6BFF5CF" w14:textId="77777777" w:rsidR="00037D52" w:rsidRPr="00B7699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45ED00" w14:textId="77777777" w:rsidR="00605952" w:rsidRPr="00B7699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794320" w14:textId="77777777" w:rsidR="00626025" w:rsidRPr="00B7699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7699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B10D74D" w14:textId="77777777" w:rsidR="007B54A4" w:rsidRPr="00B7699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020730D" w14:textId="77777777" w:rsidR="007B54A4" w:rsidRPr="00B7699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7699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7EA778A" w14:textId="77777777" w:rsidR="00640538" w:rsidRPr="00B7699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7699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638DF49">
          <v:rect id="_x0000_s2050" style="position:absolute;left:0;text-align:left;margin-left:-9.6pt;margin-top:14.25pt;width:1071.35pt;height:124.75pt;z-index:251658240">
            <v:textbox>
              <w:txbxContent>
                <w:p w14:paraId="58551EE0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48E67B1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62CD5D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1150342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E2AC695" w14:textId="77777777" w:rsidR="00E03C32" w:rsidRDefault="00B84D7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4D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the Commons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84D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533–551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1A11002C" w14:textId="77777777" w:rsidR="00E03C32" w:rsidRPr="007B54A4" w:rsidRDefault="00B84D70" w:rsidP="00B84D7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4D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10.18352/ijc.482</w:t>
                  </w:r>
                </w:p>
              </w:txbxContent>
            </v:textbox>
          </v:rect>
        </w:pict>
      </w:r>
    </w:p>
    <w:p w14:paraId="08F8BD5B" w14:textId="77777777" w:rsidR="00D9392F" w:rsidRPr="00B7699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7699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98505D4" w14:textId="77777777" w:rsidR="00D27A79" w:rsidRPr="00B7699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76994" w14:paraId="4C5E924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F3D7195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699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7699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33B1342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6994" w14:paraId="728A8A81" w14:textId="77777777" w:rsidTr="007222C8">
        <w:tc>
          <w:tcPr>
            <w:tcW w:w="1265" w:type="pct"/>
            <w:noWrap/>
          </w:tcPr>
          <w:p w14:paraId="631FB78A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2D116FA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6994">
              <w:rPr>
                <w:rFonts w:ascii="Arial" w:hAnsi="Arial" w:cs="Arial"/>
                <w:lang w:val="en-GB"/>
              </w:rPr>
              <w:t>Reviewer’s comment</w:t>
            </w:r>
          </w:p>
          <w:p w14:paraId="3A6B5999" w14:textId="77777777" w:rsidR="00421DBF" w:rsidRPr="00B7699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359282F" w14:textId="77777777" w:rsidR="00421DBF" w:rsidRPr="00B7699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E67789A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6994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76994">
              <w:rPr>
                <w:rFonts w:ascii="Arial" w:hAnsi="Arial" w:cs="Arial"/>
                <w:lang w:val="en-GB"/>
              </w:rPr>
              <w:t>Feedback</w:t>
            </w:r>
            <w:r w:rsidRPr="00B76994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76994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B76994" w14:paraId="6DEE3365" w14:textId="77777777" w:rsidTr="007222C8">
        <w:trPr>
          <w:trHeight w:val="1264"/>
        </w:trPr>
        <w:tc>
          <w:tcPr>
            <w:tcW w:w="1265" w:type="pct"/>
            <w:noWrap/>
          </w:tcPr>
          <w:p w14:paraId="47F0598B" w14:textId="77777777" w:rsidR="00F1171E" w:rsidRPr="00B769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AA80BE0" w14:textId="77777777" w:rsidR="00F1171E" w:rsidRPr="00B7699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DC7D2C" w14:textId="77777777" w:rsidR="00F1171E" w:rsidRPr="00B76994" w:rsidRDefault="001E64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sz w:val="20"/>
                <w:szCs w:val="20"/>
              </w:rPr>
              <w:t xml:space="preserve">This manuscript offers an in-depth historical and institutional analysis of the gradual loss of customary rights within Norwegian private commons, using the case of </w:t>
            </w:r>
            <w:proofErr w:type="spellStart"/>
            <w:r w:rsidRPr="00B76994">
              <w:rPr>
                <w:rFonts w:ascii="Arial" w:hAnsi="Arial" w:cs="Arial"/>
                <w:sz w:val="20"/>
                <w:szCs w:val="20"/>
              </w:rPr>
              <w:t>Follafoss</w:t>
            </w:r>
            <w:proofErr w:type="spellEnd"/>
            <w:r w:rsidRPr="00B76994">
              <w:rPr>
                <w:rFonts w:ascii="Arial" w:hAnsi="Arial" w:cs="Arial"/>
                <w:sz w:val="20"/>
                <w:szCs w:val="20"/>
              </w:rPr>
              <w:t xml:space="preserve"> as a focal point. It provides valuable insights into the mechanisms of “enclosure” in Norway, a topic underexplored compared to similar processes in England.</w:t>
            </w:r>
          </w:p>
        </w:tc>
        <w:tc>
          <w:tcPr>
            <w:tcW w:w="1523" w:type="pct"/>
          </w:tcPr>
          <w:p w14:paraId="64BAD0EE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6994" w14:paraId="4DD6EB3C" w14:textId="77777777" w:rsidTr="007222C8">
        <w:trPr>
          <w:trHeight w:val="1262"/>
        </w:trPr>
        <w:tc>
          <w:tcPr>
            <w:tcW w:w="1265" w:type="pct"/>
            <w:noWrap/>
          </w:tcPr>
          <w:p w14:paraId="663689F9" w14:textId="77777777" w:rsidR="00F1171E" w:rsidRPr="00B769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557FF08" w14:textId="77777777" w:rsidR="00F1171E" w:rsidRPr="00B769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BDFAD20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016896" w14:textId="77777777" w:rsidR="00F1171E" w:rsidRPr="00B76994" w:rsidRDefault="001E6403" w:rsidP="001E64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sz w:val="20"/>
                <w:szCs w:val="20"/>
              </w:rPr>
              <w:t>Yes. It is concise, contextually appropriate, and captures both the geographical and thematic focus.</w:t>
            </w:r>
          </w:p>
        </w:tc>
        <w:tc>
          <w:tcPr>
            <w:tcW w:w="1523" w:type="pct"/>
          </w:tcPr>
          <w:p w14:paraId="341612AB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6994" w14:paraId="27B508A0" w14:textId="77777777" w:rsidTr="007222C8">
        <w:trPr>
          <w:trHeight w:val="1262"/>
        </w:trPr>
        <w:tc>
          <w:tcPr>
            <w:tcW w:w="1265" w:type="pct"/>
            <w:noWrap/>
          </w:tcPr>
          <w:p w14:paraId="490B30B7" w14:textId="77777777" w:rsidR="00F1171E" w:rsidRPr="00B769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7699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D58C71A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1DB1C7D" w14:textId="77777777" w:rsidR="00F1171E" w:rsidRPr="00B76994" w:rsidRDefault="001E6403" w:rsidP="001E64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proofErr w:type="gramStart"/>
            <w:r w:rsidRPr="00B76994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B76994">
              <w:rPr>
                <w:rFonts w:ascii="Arial" w:hAnsi="Arial" w:cs="Arial"/>
                <w:sz w:val="20"/>
                <w:szCs w:val="20"/>
              </w:rPr>
              <w:t xml:space="preserve"> abstract effectively summarizes the historical trajectory and central argument, but it could benefit from a brief mention of the theoretical framework (Mahoney &amp; Thelen’s modes of institutional change) and the concept of “structural amnesia” as analytical tools.</w:t>
            </w:r>
          </w:p>
        </w:tc>
        <w:tc>
          <w:tcPr>
            <w:tcW w:w="1523" w:type="pct"/>
          </w:tcPr>
          <w:p w14:paraId="2DE0E4C4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6994" w14:paraId="0B31BEE9" w14:textId="77777777" w:rsidTr="007222C8">
        <w:trPr>
          <w:trHeight w:val="859"/>
        </w:trPr>
        <w:tc>
          <w:tcPr>
            <w:tcW w:w="1265" w:type="pct"/>
            <w:noWrap/>
          </w:tcPr>
          <w:p w14:paraId="6718984C" w14:textId="77777777" w:rsidR="00F1171E" w:rsidRPr="00B7699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59781F6" w14:textId="77777777" w:rsidR="00F1171E" w:rsidRPr="00B76994" w:rsidRDefault="001E64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06198DB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6994" w14:paraId="18551B00" w14:textId="77777777" w:rsidTr="007222C8">
        <w:trPr>
          <w:trHeight w:val="703"/>
        </w:trPr>
        <w:tc>
          <w:tcPr>
            <w:tcW w:w="1265" w:type="pct"/>
            <w:noWrap/>
          </w:tcPr>
          <w:p w14:paraId="0E75B0B6" w14:textId="77777777" w:rsidR="00F1171E" w:rsidRPr="00B769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408F535" w14:textId="77777777" w:rsidR="00F1171E" w:rsidRPr="00B769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699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6B3C9D8" w14:textId="77777777" w:rsidR="00F1171E" w:rsidRPr="00B76994" w:rsidRDefault="00097EA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sz w:val="20"/>
                <w:szCs w:val="20"/>
              </w:rPr>
              <w:t>T</w:t>
            </w:r>
            <w:r w:rsidR="001E6403" w:rsidRPr="00B76994">
              <w:rPr>
                <w:rFonts w:ascii="Arial" w:hAnsi="Arial" w:cs="Arial"/>
                <w:sz w:val="20"/>
                <w:szCs w:val="20"/>
              </w:rPr>
              <w:t>he references are appropriate and include primary legal sources and seminal theoretical works. However, the most recent references are from 2015; inclusion of more recent scholarship on commons governance or Norwegian land rights (post-2015) could strengthen the contemporary relevance.</w:t>
            </w:r>
          </w:p>
        </w:tc>
        <w:tc>
          <w:tcPr>
            <w:tcW w:w="1523" w:type="pct"/>
          </w:tcPr>
          <w:p w14:paraId="6A534A45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6994" w14:paraId="33E3D0CF" w14:textId="77777777" w:rsidTr="007222C8">
        <w:trPr>
          <w:trHeight w:val="386"/>
        </w:trPr>
        <w:tc>
          <w:tcPr>
            <w:tcW w:w="1265" w:type="pct"/>
            <w:noWrap/>
          </w:tcPr>
          <w:p w14:paraId="13F991FD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8625938" w14:textId="77777777" w:rsidR="00F1171E" w:rsidRPr="00B769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7699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005B008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3EF1F5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D50FAF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C77195" w14:textId="77777777" w:rsidR="00F1171E" w:rsidRPr="00B76994" w:rsidRDefault="00B847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sz w:val="20"/>
                <w:szCs w:val="20"/>
              </w:rPr>
              <w:t>Yes. The language is clear, formal, and suitable for an academic audience. Occasional long sentences could be broken for improved readability.</w:t>
            </w:r>
          </w:p>
          <w:p w14:paraId="605D4621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585A7E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994934D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6994" w14:paraId="1142CC92" w14:textId="77777777" w:rsidTr="007222C8">
        <w:trPr>
          <w:trHeight w:val="1178"/>
        </w:trPr>
        <w:tc>
          <w:tcPr>
            <w:tcW w:w="1265" w:type="pct"/>
            <w:noWrap/>
          </w:tcPr>
          <w:p w14:paraId="45CE54E3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76994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B76994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B7699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79B7171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15BC1E2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29E007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846014" w14:textId="77777777" w:rsidR="00FE2F69" w:rsidRPr="00B76994" w:rsidRDefault="00FE2F69" w:rsidP="00FE2F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sz w:val="20"/>
                <w:szCs w:val="20"/>
              </w:rPr>
              <w:t>Minor Revision (primarily for adding minor theoretical clarifications and potentially updating references).</w:t>
            </w:r>
          </w:p>
          <w:p w14:paraId="6666E310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21CA23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5454B6" w14:textId="77777777" w:rsidR="00F1171E" w:rsidRPr="00B769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AEB9A8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1539D9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590F2D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A806EB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1E297B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2A31CB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C517FA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35CCDB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00AAED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AA16DF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3C3B83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C3C38A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3172C0" w14:textId="77777777" w:rsidR="00F1171E" w:rsidRPr="00B769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76994" w14:paraId="788ABDE2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2611" w14:textId="77777777" w:rsidR="00F1171E" w:rsidRPr="00B769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7699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541D0662" w14:textId="77777777" w:rsidR="00F1171E" w:rsidRPr="00B769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76994" w14:paraId="520DC28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37099" w14:textId="77777777" w:rsidR="00F1171E" w:rsidRPr="00B769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9433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699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9F90A52" w14:textId="77777777" w:rsidR="00F1171E" w:rsidRPr="00B769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6994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76994">
              <w:rPr>
                <w:rFonts w:ascii="Arial" w:hAnsi="Arial" w:cs="Arial"/>
                <w:lang w:val="en-GB"/>
              </w:rPr>
              <w:t>comment</w:t>
            </w:r>
            <w:r w:rsidRPr="00B76994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76994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B76994" w14:paraId="7025E0C1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DBF76" w14:textId="77777777" w:rsidR="00F1171E" w:rsidRPr="00B769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FD71810" w14:textId="77777777" w:rsidR="00F1171E" w:rsidRPr="00B769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03F0" w14:textId="77777777" w:rsidR="00F1171E" w:rsidRPr="00B76994" w:rsidRDefault="00B8475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699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297AFE22" w14:textId="77777777" w:rsidR="00F1171E" w:rsidRPr="00B769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6E742010" w14:textId="77777777" w:rsidR="00F1171E" w:rsidRPr="00B769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FEEB1D" w14:textId="77777777" w:rsidR="00F1171E" w:rsidRPr="00B769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8EA78E" w14:textId="77777777" w:rsidR="00F1171E" w:rsidRPr="00B769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BEBB57" w14:textId="77777777" w:rsidR="00F1171E" w:rsidRPr="00B769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347D812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1118FC9" w14:textId="77777777" w:rsidR="00B76994" w:rsidRPr="00334406" w:rsidRDefault="00B76994" w:rsidP="00B7699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34406">
        <w:rPr>
          <w:rFonts w:ascii="Arial" w:hAnsi="Arial" w:cs="Arial"/>
          <w:b/>
          <w:u w:val="single"/>
        </w:rPr>
        <w:t>Reviewer details:</w:t>
      </w:r>
    </w:p>
    <w:p w14:paraId="59C5E68A" w14:textId="77777777" w:rsidR="00B76994" w:rsidRPr="00334406" w:rsidRDefault="00B76994" w:rsidP="00B7699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34406">
        <w:rPr>
          <w:rFonts w:ascii="Arial" w:hAnsi="Arial" w:cs="Arial"/>
          <w:b/>
          <w:color w:val="000000"/>
        </w:rPr>
        <w:t xml:space="preserve">Pushpa </w:t>
      </w:r>
      <w:proofErr w:type="gramStart"/>
      <w:r w:rsidRPr="00334406">
        <w:rPr>
          <w:rFonts w:ascii="Arial" w:hAnsi="Arial" w:cs="Arial"/>
          <w:b/>
          <w:color w:val="000000"/>
        </w:rPr>
        <w:t>Rani ,</w:t>
      </w:r>
      <w:proofErr w:type="gramEnd"/>
      <w:r w:rsidRPr="00334406">
        <w:rPr>
          <w:rFonts w:ascii="Arial" w:hAnsi="Arial" w:cs="Arial"/>
          <w:b/>
          <w:color w:val="000000"/>
        </w:rPr>
        <w:t xml:space="preserve"> Maharshi Dayanand University, India</w:t>
      </w:r>
    </w:p>
    <w:p w14:paraId="3B0F6D1C" w14:textId="77777777" w:rsidR="00B76994" w:rsidRPr="00B76994" w:rsidRDefault="00B76994">
      <w:pPr>
        <w:rPr>
          <w:rFonts w:ascii="Arial" w:hAnsi="Arial" w:cs="Arial"/>
          <w:b/>
          <w:sz w:val="20"/>
          <w:szCs w:val="20"/>
        </w:rPr>
      </w:pPr>
    </w:p>
    <w:sectPr w:rsidR="00B76994" w:rsidRPr="00B7699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4EB8" w14:textId="77777777" w:rsidR="0067527A" w:rsidRPr="0000007A" w:rsidRDefault="0067527A" w:rsidP="0099583E">
      <w:r>
        <w:separator/>
      </w:r>
    </w:p>
  </w:endnote>
  <w:endnote w:type="continuationSeparator" w:id="0">
    <w:p w14:paraId="5C79FA53" w14:textId="77777777" w:rsidR="0067527A" w:rsidRPr="0000007A" w:rsidRDefault="006752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46A2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CBA71" w14:textId="77777777" w:rsidR="0067527A" w:rsidRPr="0000007A" w:rsidRDefault="0067527A" w:rsidP="0099583E">
      <w:r>
        <w:separator/>
      </w:r>
    </w:p>
  </w:footnote>
  <w:footnote w:type="continuationSeparator" w:id="0">
    <w:p w14:paraId="0E425367" w14:textId="77777777" w:rsidR="0067527A" w:rsidRPr="0000007A" w:rsidRDefault="006752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508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AC1980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FF1B6E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F0E63"/>
    <w:multiLevelType w:val="hybridMultilevel"/>
    <w:tmpl w:val="19867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34D39"/>
    <w:multiLevelType w:val="hybridMultilevel"/>
    <w:tmpl w:val="3A7E64B2"/>
    <w:lvl w:ilvl="0" w:tplc="A4A6FF9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786410">
    <w:abstractNumId w:val="3"/>
  </w:num>
  <w:num w:numId="2" w16cid:durableId="1607880934">
    <w:abstractNumId w:val="8"/>
  </w:num>
  <w:num w:numId="3" w16cid:durableId="521431763">
    <w:abstractNumId w:val="7"/>
  </w:num>
  <w:num w:numId="4" w16cid:durableId="1844977198">
    <w:abstractNumId w:val="9"/>
  </w:num>
  <w:num w:numId="5" w16cid:durableId="1187255990">
    <w:abstractNumId w:val="6"/>
  </w:num>
  <w:num w:numId="6" w16cid:durableId="529993492">
    <w:abstractNumId w:val="0"/>
  </w:num>
  <w:num w:numId="7" w16cid:durableId="118844618">
    <w:abstractNumId w:val="1"/>
  </w:num>
  <w:num w:numId="8" w16cid:durableId="1173489320">
    <w:abstractNumId w:val="11"/>
  </w:num>
  <w:num w:numId="9" w16cid:durableId="1769698108">
    <w:abstractNumId w:val="10"/>
  </w:num>
  <w:num w:numId="10" w16cid:durableId="983267589">
    <w:abstractNumId w:val="2"/>
  </w:num>
  <w:num w:numId="11" w16cid:durableId="1191068166">
    <w:abstractNumId w:val="4"/>
  </w:num>
  <w:num w:numId="12" w16cid:durableId="1972396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EAD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6403"/>
    <w:rsid w:val="001F24FF"/>
    <w:rsid w:val="001F2913"/>
    <w:rsid w:val="001F707F"/>
    <w:rsid w:val="002011F3"/>
    <w:rsid w:val="0020154B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2D54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1C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88A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27A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6C0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B62"/>
    <w:rsid w:val="007F5873"/>
    <w:rsid w:val="008126B7"/>
    <w:rsid w:val="00815F94"/>
    <w:rsid w:val="00820FC8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ED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685"/>
    <w:rsid w:val="00A65C50"/>
    <w:rsid w:val="00A8290F"/>
    <w:rsid w:val="00A909A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111B"/>
    <w:rsid w:val="00B53059"/>
    <w:rsid w:val="00B562D2"/>
    <w:rsid w:val="00B62087"/>
    <w:rsid w:val="00B62F41"/>
    <w:rsid w:val="00B63782"/>
    <w:rsid w:val="00B66599"/>
    <w:rsid w:val="00B760E1"/>
    <w:rsid w:val="00B76994"/>
    <w:rsid w:val="00B82FFC"/>
    <w:rsid w:val="00B8475E"/>
    <w:rsid w:val="00B84D70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AE6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46F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50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7C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F69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A74CE44"/>
  <w15:docId w15:val="{78FBF210-CC02-4206-80D1-65D87FB6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E2F6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7699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2025-08-14T12:09:00Z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