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DF68D5" w:rsidRPr="00381941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DF68D5" w:rsidRPr="00381941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DF68D5" w:rsidRPr="00381941" w:rsidRDefault="00CE18B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DF68D5" w:rsidRPr="00381941" w:rsidRDefault="00CE18B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8194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DF68D5" w:rsidRPr="00381941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DF68D5" w:rsidRPr="00381941" w:rsidRDefault="00CE18B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Ms_BPR_6304</w:t>
            </w:r>
          </w:p>
        </w:tc>
      </w:tr>
      <w:tr w:rsidR="00DF68D5" w:rsidRPr="00381941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DF68D5" w:rsidRPr="00381941" w:rsidRDefault="00CE18B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819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Bioactive Treasures of Crotalaria </w:t>
            </w:r>
            <w:proofErr w:type="spellStart"/>
            <w:r w:rsidRPr="00381941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b/>
                <w:sz w:val="20"/>
                <w:szCs w:val="20"/>
                <w:lang w:val="en-GB"/>
              </w:rPr>
              <w:t>: Cultivating Sustainable Medicine for Tomorrow</w:t>
            </w:r>
          </w:p>
        </w:tc>
      </w:tr>
      <w:tr w:rsidR="00DF68D5" w:rsidRPr="00381941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DF68D5" w:rsidRPr="00381941" w:rsidRDefault="00CE18B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DF68D5" w:rsidRPr="00381941" w:rsidRDefault="00DF68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DF68D5" w:rsidRPr="00381941" w:rsidRDefault="00DF68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DF68D5" w:rsidRPr="00381941" w:rsidRDefault="00DF68D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DF68D5" w:rsidRPr="00381941" w:rsidRDefault="00CE18B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8194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DF68D5" w:rsidRPr="00381941" w:rsidRDefault="00DF68D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DF68D5" w:rsidRPr="00381941" w:rsidRDefault="00CE18B1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8194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DF68D5" w:rsidRPr="00381941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8194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0784B021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DF68D5" w:rsidRDefault="00CE18B1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DF68D5" w:rsidRDefault="00DF68D5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DF68D5" w:rsidRDefault="00CE18B1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DF68D5" w:rsidRDefault="00DF68D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DF68D5" w:rsidRDefault="00CE18B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Disease and Global Health, 18(2): 157-169, 2025.</w:t>
                  </w:r>
                </w:p>
                <w:p w14:paraId="57E24C8C" w14:textId="77777777" w:rsidR="00DF68D5" w:rsidRDefault="00CE18B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jodagh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/2025/v18i29608 </w:t>
                  </w:r>
                </w:p>
              </w:txbxContent>
            </v:textbox>
          </v:rect>
        </w:pict>
      </w:r>
    </w:p>
    <w:p w14:paraId="40641486" w14:textId="77777777" w:rsidR="00DF68D5" w:rsidRPr="00381941" w:rsidRDefault="00CE18B1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8194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F68D5" w:rsidRPr="00381941" w:rsidRDefault="00DF68D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DF68D5" w:rsidRPr="00381941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DF68D5" w:rsidRPr="00381941" w:rsidRDefault="00CE18B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19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819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F68D5" w:rsidRPr="00381941" w14:paraId="5EA12279" w14:textId="77777777">
        <w:tc>
          <w:tcPr>
            <w:tcW w:w="1265" w:type="pct"/>
            <w:noWrap/>
          </w:tcPr>
          <w:p w14:paraId="7AE9682F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DF68D5" w:rsidRPr="00381941" w:rsidRDefault="00CE18B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194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DF68D5" w:rsidRPr="00381941" w:rsidRDefault="00CE18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DF68D5" w:rsidRPr="00381941" w:rsidRDefault="00CE18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1941">
              <w:rPr>
                <w:rFonts w:ascii="Arial" w:hAnsi="Arial" w:cs="Arial"/>
                <w:lang w:val="en-GB"/>
              </w:rPr>
              <w:t>Author’s Feedback</w:t>
            </w:r>
            <w:r w:rsidRPr="003819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194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F68D5" w:rsidRPr="00381941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DF68D5" w:rsidRPr="00381941" w:rsidRDefault="00CE18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DF68D5" w:rsidRPr="00381941" w:rsidRDefault="00DF68D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DF68D5" w:rsidRPr="00381941" w:rsidRDefault="00CE18B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81941">
              <w:rPr>
                <w:rFonts w:ascii="Arial" w:eastAsia="SimSun" w:hAnsi="Arial" w:cs="Arial"/>
                <w:sz w:val="20"/>
                <w:szCs w:val="20"/>
              </w:rPr>
              <w:t>This manuscript fills a clear knowledge gap by consolidating the botany, ethnomedicine, phytochemistry, and putative pharmacology of the under</w:t>
            </w:r>
            <w:r w:rsidRPr="00381941">
              <w:rPr>
                <w:rFonts w:ascii="Arial" w:eastAsia="SimSun" w:hAnsi="Arial" w:cs="Arial"/>
                <w:sz w:val="20"/>
                <w:szCs w:val="20"/>
                <w:lang w:val="en-IN"/>
              </w:rPr>
              <w:t xml:space="preserve"> </w:t>
            </w:r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explored, endangered legume </w:t>
            </w:r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 xml:space="preserve">Crotalaria </w:t>
            </w:r>
            <w:proofErr w:type="spellStart"/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—a species with significant therapeutic promise yet limited modern study. It couples that synthesis with a sustainability lens, outlining green extraction and biotechnological routes that can unlock </w:t>
            </w:r>
            <w:proofErr w:type="spellStart"/>
            <w:r w:rsidRPr="00381941">
              <w:rPr>
                <w:rFonts w:ascii="Arial" w:eastAsia="SimSun" w:hAnsi="Arial" w:cs="Arial"/>
                <w:sz w:val="20"/>
                <w:szCs w:val="20"/>
              </w:rPr>
              <w:t>bioactives</w:t>
            </w:r>
            <w:proofErr w:type="spellEnd"/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 while conserving biodiversity and reducing environmental footprint. By foregrounding safety (e.g., pyrrolizidine alkaloids), standardization, and concrete research priorities, it offers a practical road</w:t>
            </w:r>
            <w:r w:rsidRPr="00381941">
              <w:rPr>
                <w:rFonts w:ascii="Arial" w:eastAsia="SimSun" w:hAnsi="Arial" w:cs="Arial"/>
                <w:sz w:val="20"/>
                <w:szCs w:val="20"/>
                <w:lang w:val="en-IN"/>
              </w:rPr>
              <w:t xml:space="preserve"> </w:t>
            </w:r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map for rigorous, reproducible </w:t>
            </w:r>
            <w:proofErr w:type="spellStart"/>
            <w:r w:rsidRPr="00381941">
              <w:rPr>
                <w:rFonts w:ascii="Arial" w:eastAsia="SimSun" w:hAnsi="Arial" w:cs="Arial"/>
                <w:sz w:val="20"/>
                <w:szCs w:val="20"/>
              </w:rPr>
              <w:t>phytotherapeutic</w:t>
            </w:r>
            <w:proofErr w:type="spellEnd"/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 development. As interest grows in eco-responsible drug discovery and the validation of traditional knowledge, this work provides timely guidance for interdisciplinary teams, funders, and policymakers</w:t>
            </w:r>
            <w:r w:rsidRPr="00381941">
              <w:rPr>
                <w:rFonts w:ascii="Arial" w:eastAsia="SimSun" w:hAnsi="Arial" w:cs="Arial"/>
                <w:sz w:val="20"/>
                <w:szCs w:val="20"/>
                <w:lang w:val="en-IN"/>
              </w:rPr>
              <w:t>.</w:t>
            </w:r>
          </w:p>
        </w:tc>
        <w:tc>
          <w:tcPr>
            <w:tcW w:w="1523" w:type="pct"/>
          </w:tcPr>
          <w:p w14:paraId="462A339C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F68D5" w:rsidRPr="00381941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DF68D5" w:rsidRPr="00381941" w:rsidRDefault="00CE18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F68D5" w:rsidRPr="00381941" w:rsidRDefault="00CE18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40A55CB" w:rsidR="00DF68D5" w:rsidRPr="00381941" w:rsidRDefault="00CE18B1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81941">
              <w:rPr>
                <w:rFonts w:ascii="Arial" w:eastAsia="SimSun" w:hAnsi="Arial" w:cs="Arial"/>
                <w:sz w:val="20"/>
                <w:szCs w:val="20"/>
              </w:rPr>
              <w:t>The current title</w:t>
            </w:r>
            <w:proofErr w:type="gramStart"/>
            <w:r w:rsidRPr="00381941">
              <w:rPr>
                <w:rFonts w:ascii="Arial" w:eastAsia="SimSun" w:hAnsi="Arial" w:cs="Arial"/>
                <w:sz w:val="20"/>
                <w:szCs w:val="20"/>
              </w:rPr>
              <w:t>—“</w:t>
            </w:r>
            <w:proofErr w:type="gramEnd"/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Bioactive Treasures of </w:t>
            </w:r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 xml:space="preserve">Crotalaria </w:t>
            </w:r>
            <w:proofErr w:type="spellStart"/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eastAsia="SimSun" w:hAnsi="Arial" w:cs="Arial"/>
                <w:sz w:val="20"/>
                <w:szCs w:val="20"/>
              </w:rPr>
              <w:t>: Cultivating Sustainable Medicine for Tomorrow”—is catchy, yet many journals prefer precise, descriptive titles rich in indexable terms</w:t>
            </w:r>
            <w:r w:rsidRPr="00381941">
              <w:rPr>
                <w:rFonts w:ascii="Arial" w:eastAsia="SimSun" w:hAnsi="Arial" w:cs="Arial"/>
                <w:sz w:val="20"/>
                <w:szCs w:val="20"/>
                <w:lang w:val="en-IN"/>
              </w:rPr>
              <w:t xml:space="preserve">. Suggested </w:t>
            </w:r>
            <w:proofErr w:type="gramStart"/>
            <w:r w:rsidRPr="00381941">
              <w:rPr>
                <w:rFonts w:ascii="Arial" w:eastAsia="SimSun" w:hAnsi="Arial" w:cs="Arial"/>
                <w:sz w:val="20"/>
                <w:szCs w:val="20"/>
                <w:lang w:val="en-IN"/>
              </w:rPr>
              <w:t>title:</w:t>
            </w:r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>Crotalaria</w:t>
            </w:r>
            <w:proofErr w:type="gramEnd"/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 xml:space="preserve"> </w:t>
            </w:r>
            <w:proofErr w:type="spellStart"/>
            <w:r w:rsidRPr="00381941">
              <w:rPr>
                <w:rStyle w:val="Emphasis"/>
                <w:rFonts w:ascii="Arial" w:eastAsia="SimSun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eastAsia="SimSun" w:hAnsi="Arial" w:cs="Arial"/>
                <w:sz w:val="20"/>
                <w:szCs w:val="20"/>
              </w:rPr>
              <w:t xml:space="preserve"> (Fabaceae): Botany, Ethnomedicine, Phytochemistry and Pharmacology within a Sustainable Therapeutics Framework.</w:t>
            </w:r>
          </w:p>
        </w:tc>
        <w:tc>
          <w:tcPr>
            <w:tcW w:w="1523" w:type="pct"/>
          </w:tcPr>
          <w:p w14:paraId="405B6701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F68D5" w:rsidRPr="00381941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DF68D5" w:rsidRPr="00381941" w:rsidRDefault="00CE18B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81941">
              <w:rPr>
                <w:rFonts w:ascii="Arial" w:hAnsi="Arial" w:cs="Arial"/>
                <w:lang w:val="en-GB"/>
              </w:rPr>
              <w:lastRenderedPageBreak/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00C2736" w14:textId="5C5FBAD0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Overall</w:t>
            </w:r>
            <w:r w:rsidRPr="00381941">
              <w:rPr>
                <w:rFonts w:ascii="Arial" w:hAnsi="Arial" w:cs="Arial"/>
                <w:sz w:val="20"/>
                <w:szCs w:val="20"/>
              </w:rPr>
              <w:br/>
              <w:t>Clear scope and good emphasis on “green” approaches, but it reads more like a mini-introduct</w:t>
            </w:r>
            <w:r w:rsidR="0080618E" w:rsidRPr="00381941">
              <w:rPr>
                <w:rFonts w:ascii="Arial" w:hAnsi="Arial" w:cs="Arial"/>
                <w:sz w:val="20"/>
                <w:szCs w:val="20"/>
              </w:rPr>
              <w:t>ion than an abstract. It lacks (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>) a one-line “what we did/how we did it” (even for a nar</w:t>
            </w:r>
            <w:r w:rsidR="0080618E" w:rsidRPr="00381941">
              <w:rPr>
                <w:rFonts w:ascii="Arial" w:hAnsi="Arial" w:cs="Arial"/>
                <w:sz w:val="20"/>
                <w:szCs w:val="20"/>
              </w:rPr>
              <w:t>rative review), and (i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i) 1–2 specific headline takeaways. It’s also a bit long and includes detail better suited to the main text. </w:t>
            </w:r>
          </w:p>
          <w:p w14:paraId="303958FD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One line on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approach/scope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(e.g., narrative synthesis across botany, ethnomedicine, phytochemistry, pharmacology, and green extraction). </w:t>
            </w:r>
          </w:p>
          <w:p w14:paraId="3414760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A safety 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note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 on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pyrrolizidine alkaloids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/toxicology priorities (your body text flags this—surface it in the abstract). </w:t>
            </w:r>
          </w:p>
          <w:p w14:paraId="351E7C6A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Conservation context (endangered,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Western Ghats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endemic) to justify urgency. </w:t>
            </w:r>
          </w:p>
          <w:p w14:paraId="23CD2BF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1–2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key takeaways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(e.g., green extraction pathways most promising; immediate research gaps to close). </w:t>
            </w:r>
          </w:p>
          <w:p w14:paraId="6F8B82F4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 xml:space="preserve">Trim or </w:t>
            </w:r>
            <w:proofErr w:type="spellStart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move</w:t>
            </w:r>
            <w:r w:rsidRPr="0038194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long list of ailments and preparation forms—summarize in one clause; keep specifics in the ethnomedicine section. </w:t>
            </w:r>
          </w:p>
          <w:p w14:paraId="42E363D9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The rhetorical closing line (“fusion of ancestral wisdom…”)—nice, but fits better in the conclusion. </w:t>
            </w:r>
          </w:p>
          <w:p w14:paraId="2D56059A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Align keywords</w:t>
            </w:r>
          </w:p>
          <w:p w14:paraId="534B693A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Your keywords include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“heavy metals,”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but the abstract doesn’t mention this; either mention phytoremediation/contaminant context briefly or swap the keyword for something central (e.g., “phytochemistry,” “green extraction,” “pyrrolizidine alkaloids”). </w:t>
            </w:r>
          </w:p>
          <w:p w14:paraId="4D11BB42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Style nits</w:t>
            </w:r>
          </w:p>
          <w:p w14:paraId="3982814F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>Italicize species names (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Crotalaria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) consistently in the abstract. </w:t>
            </w:r>
          </w:p>
          <w:p w14:paraId="7CB15CB9" w14:textId="77777777" w:rsidR="00DF68D5" w:rsidRPr="00381941" w:rsidRDefault="00CE18B1">
            <w:pPr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>A tightened abstract you can use (≈170 words)</w:t>
            </w:r>
          </w:p>
          <w:p w14:paraId="0407FC9E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Background: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Crotalaria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, an endangered Fabaceae endemic to India’s Western Ghats, is underexplored despite ethnomedicinal use and a rich secondary-metabolite repertoire.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Aim: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We narratively synthesize current knowledge on its botany, ethnomedicine, phytochemistry, and pharmacology, and frame a sustainability-first path to development.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Content: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Reported activities across Crotalaria spp. suggest anti-inflammatory, antimicrobial, antioxidant, and anticancer potential; putative drivers include flavonoids, phenolics, terpenoids, and pyrrolizidine alkaloids. We highlight green-extraction options (e.g., supercritical CO</w:t>
            </w:r>
            <w:r w:rsidRPr="00381941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, subcritical water, microwave/ultrasound-assisted methods) that reduce solvent burden and preserve labile 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bioactives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, and we outline biotechnological routes for scalable, conservation-compatible production.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Safety &amp; gaps: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Given pyrrolizidine-alkaloid liability, targeted toxicology (cytotoxicity/hepatotoxicity), rigorous standardization, and part-wise/seasonal profiling are immediate priorities.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Conclusion: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By integrating conservation, green processing, and safety-led pharmacology,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can serve as a model for sustainable 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phytotherapeutics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and a focused research agenda spanning chemistry, toxicology, and translational evaluation.</w:t>
            </w:r>
          </w:p>
          <w:p w14:paraId="0FB7E83A" w14:textId="77777777" w:rsidR="00DF68D5" w:rsidRPr="00381941" w:rsidRDefault="00DF68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F68D5" w:rsidRPr="00381941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DF68D5" w:rsidRPr="00381941" w:rsidRDefault="00CE18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7B3E9AB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I recommend a few scientific 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tightenings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F14B0A0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SFE scope (minor correction):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You state that supercritical CO</w:t>
            </w:r>
            <w:r w:rsidRPr="00381941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is “particularly valuable” when targeting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alkaloids and flavonoids</w:t>
            </w:r>
            <w:r w:rsidRPr="00381941">
              <w:rPr>
                <w:rFonts w:ascii="Arial" w:hAnsi="Arial" w:cs="Arial"/>
                <w:sz w:val="20"/>
                <w:szCs w:val="20"/>
              </w:rPr>
              <w:t>. Neat CO</w:t>
            </w:r>
            <w:r w:rsidRPr="00381941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is non-polar; many alkaloids/flavonoids require a polar modifier (e.g., ethanol) or are better addressed by SCWE/NADES/MAE/UAE. Rephrase to: “SFE efficiently recovers non-polar to moderately polar constituents; alkaloids/flavonoids may require co-solvents or alternative green methods.” </w:t>
            </w:r>
          </w:p>
          <w:p w14:paraId="1E61C54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Genus → species inference: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You already note that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lacks direct pharmacology and infer potential from congeners. Keep all such statements hedged (“may/likely”) and avoid implying efficacy for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until shown. The “Relevance” subsection models this well—apply that tone consistently. </w:t>
            </w:r>
          </w:p>
          <w:p w14:paraId="02B081F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Conservation/IUCN phrasing: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Where you write “assessed as Endangered under IUCN criteria,” ensure the citation reflects a formal Red List assessment; if it’s a study applying IUCN criteria locally, say “assessed as Endangered using IUCN criteria by [ref].” </w:t>
            </w:r>
          </w:p>
          <w:p w14:paraId="2019DA73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Nitrogen fixation &amp; phytoremediation: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These are framed as presumptions or genus-level functions; keep them explicitly provisional for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C.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multibracteata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unless you add species-specific data. </w:t>
            </w:r>
          </w:p>
          <w:p w14:paraId="47611871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Keyword–text alignment: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“Heavy metals” appears as a keyword but receives only passing mention. Either expand a brief, referenced note on phytoremediation/contaminant safety in the text, or replace the keyword with a core theme (e.g., “green extraction,” “pyrrolizidine alkaloids”). </w:t>
            </w:r>
          </w:p>
          <w:p w14:paraId="0BC44B73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Safety emphasis: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Your PA/toxicity cautions are appropriate; consider pulling one sentence into the abstract and conclusions to make the safety posture unmistakable. </w:t>
            </w:r>
          </w:p>
          <w:p w14:paraId="2B5A7721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Reference granularity: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Tables summarizing activities across congeners are helpful—just ensure each </w:t>
            </w:r>
            <w:r w:rsidRPr="00381941">
              <w:rPr>
                <w:rFonts w:ascii="Arial" w:hAnsi="Arial" w:cs="Arial"/>
                <w:sz w:val="20"/>
                <w:szCs w:val="20"/>
              </w:rPr>
              <w:lastRenderedPageBreak/>
              <w:t>claim maps cleanly to a primary study (species, part, extract, assay)</w:t>
            </w:r>
          </w:p>
        </w:tc>
        <w:tc>
          <w:tcPr>
            <w:tcW w:w="1523" w:type="pct"/>
          </w:tcPr>
          <w:p w14:paraId="4898F764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F68D5" w:rsidRPr="00381941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DF68D5" w:rsidRPr="00381941" w:rsidRDefault="00CE18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F68D5" w:rsidRPr="00381941" w:rsidRDefault="00CE18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19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8927D33" w14:textId="1DD41CCC" w:rsidR="00DF68D5" w:rsidRPr="00381941" w:rsidRDefault="008061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Solid </w:t>
            </w:r>
            <w:r w:rsidR="00CE18B1" w:rsidRPr="00381941">
              <w:rPr>
                <w:rFonts w:ascii="Arial" w:hAnsi="Arial" w:cs="Arial"/>
                <w:sz w:val="20"/>
                <w:szCs w:val="20"/>
              </w:rPr>
              <w:t xml:space="preserve">base but not fully up-to-date for a 2025 review. The list mixes classic, still-useful sources (e.g., Fu 2004 on PA toxicology; </w:t>
            </w:r>
            <w:proofErr w:type="spellStart"/>
            <w:r w:rsidR="00CE18B1" w:rsidRPr="00381941">
              <w:rPr>
                <w:rFonts w:ascii="Arial" w:hAnsi="Arial" w:cs="Arial"/>
                <w:sz w:val="20"/>
                <w:szCs w:val="20"/>
              </w:rPr>
              <w:t>Chemat</w:t>
            </w:r>
            <w:proofErr w:type="spellEnd"/>
            <w:r w:rsidR="00CE18B1" w:rsidRPr="00381941">
              <w:rPr>
                <w:rFonts w:ascii="Arial" w:hAnsi="Arial" w:cs="Arial"/>
                <w:sz w:val="20"/>
                <w:szCs w:val="20"/>
              </w:rPr>
              <w:t xml:space="preserve"> 2012 on green extraction) with some recent items (2018–2023), but there are obvious recency gaps and a few duplicates to clean up. </w:t>
            </w:r>
            <w:r w:rsidR="00CE18B1" w:rsidRPr="00381941">
              <w:rPr>
                <w:rFonts w:ascii="Arial" w:hAnsi="Arial" w:cs="Arial"/>
                <w:sz w:val="20"/>
                <w:szCs w:val="20"/>
              </w:rPr>
              <w:br/>
              <w:t xml:space="preserve">Also note that Saba 2020, Khan 2022 and Saidu 2018 appear more than once; please deduplicate. </w:t>
            </w:r>
          </w:p>
          <w:p w14:paraId="5775B46C" w14:textId="77777777" w:rsidR="00DF68D5" w:rsidRPr="00381941" w:rsidRDefault="00CE18B1">
            <w:pPr>
              <w:pStyle w:val="Heading3"/>
              <w:spacing w:beforeAutospacing="0" w:afterAutospacing="0"/>
              <w:rPr>
                <w:rFonts w:ascii="Arial" w:hAnsi="Arial" w:cs="Arial" w:hint="default"/>
                <w:sz w:val="20"/>
                <w:szCs w:val="20"/>
              </w:rPr>
            </w:pPr>
            <w:r w:rsidRPr="00381941">
              <w:rPr>
                <w:rFonts w:ascii="Arial" w:hAnsi="Arial" w:cs="Arial" w:hint="default"/>
                <w:sz w:val="20"/>
                <w:szCs w:val="20"/>
              </w:rPr>
              <w:t>What to add (recent, high-impact)</w:t>
            </w:r>
          </w:p>
          <w:p w14:paraId="7C063741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Pyrrolizidine alkaloids (safety/regulatory, 2023–2025):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add at least one current review and one regulatory risk assessment to anchor your safety statements. Examples: 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Jayawickreme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2023 (human toxicity &amp; pharmacology); EFSA Scientific Opinion (risk to consumers; foundational even if 2017); 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plus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 a 2024 update on PA levels/analytical methods. </w:t>
            </w:r>
            <w:hyperlink r:id="rId8" w:tgtFrame="C:\Users\rlman\AppData\Local\Temp\_blank" w:history="1">
              <w:proofErr w:type="spellStart"/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</w:t>
              </w:r>
            </w:hyperlink>
            <w:hyperlink r:id="rId9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European</w:t>
              </w:r>
              <w:proofErr w:type="spellEnd"/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Food Safety </w:t>
              </w:r>
              <w:proofErr w:type="spellStart"/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Authority</w:t>
              </w:r>
            </w:hyperlink>
            <w:hyperlink r:id="rId10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MDPI</w:t>
              </w:r>
              <w:proofErr w:type="spellEnd"/>
            </w:hyperlink>
          </w:p>
          <w:p w14:paraId="52F858E1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Green extraction updates (2023–2025):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complement 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Chemat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2012 with recent comparative reviews on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SFE/SC-CO</w:t>
            </w:r>
            <w:r w:rsidRPr="00381941">
              <w:rPr>
                <w:rStyle w:val="Strong"/>
                <w:rFonts w:ascii="Cambria Math" w:hAnsi="Cambria Math" w:cs="Cambria Math"/>
                <w:sz w:val="20"/>
                <w:szCs w:val="20"/>
              </w:rPr>
              <w:t>₂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subcritical water extraction (SCWE/SWE)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NADES/DES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to match your “sustainability-first” framing. </w:t>
            </w:r>
            <w:hyperlink r:id="rId11" w:tgtFrame="C:\Users\rlman\AppData\Local\Temp\_blank" w:history="1">
              <w:proofErr w:type="spellStart"/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</w:t>
              </w:r>
            </w:hyperlink>
            <w:hyperlink r:id="rId12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ScienceDirect</w:t>
              </w:r>
            </w:hyperlink>
            <w:hyperlink r:id="rId13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MDPI</w:t>
              </w:r>
            </w:hyperlink>
            <w:hyperlink r:id="rId14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Frontiers</w:t>
              </w:r>
              <w:proofErr w:type="spellEnd"/>
            </w:hyperlink>
          </w:p>
          <w:p w14:paraId="6090986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Method nuance for alkaloids: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include a modern note on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co-solvent needs in SC-CO</w:t>
            </w:r>
            <w:r w:rsidRPr="00381941">
              <w:rPr>
                <w:rStyle w:val="Strong"/>
                <w:rFonts w:ascii="Cambria Math" w:hAnsi="Cambria Math" w:cs="Cambria Math"/>
                <w:sz w:val="20"/>
                <w:szCs w:val="20"/>
              </w:rPr>
              <w:t>₂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and advances in </w:t>
            </w:r>
            <w:proofErr w:type="spellStart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pressurised</w:t>
            </w:r>
            <w:proofErr w:type="spellEnd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 xml:space="preserve"> liquid extraction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applicable to alkaloids/flavonoids. </w:t>
            </w:r>
            <w:hyperlink r:id="rId15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PMC+1</w:t>
              </w:r>
            </w:hyperlink>
          </w:p>
          <w:p w14:paraId="158A09F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Biotechnological production/conservation (2022–2024):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cite recent reviews on tissue culture/biotech routes for secondary metabolites to support your “green/scale” section. </w:t>
            </w:r>
            <w:hyperlink r:id="rId16" w:tgtFrame="C:\Users\rlman\AppData\Local\Temp\_blank" w:history="1">
              <w:proofErr w:type="spellStart"/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Frontiers</w:t>
              </w:r>
            </w:hyperlink>
            <w:hyperlink r:id="rId17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Wiley</w:t>
              </w:r>
              <w:proofErr w:type="spellEnd"/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Online Library</w:t>
              </w:r>
            </w:hyperlink>
          </w:p>
          <w:p w14:paraId="2DA66CDC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Taxonomy/endemic context: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keep Wagh et al. 2014 and Rather et al. 2018, but add a stable checklist/nomenclatural backbone (e.g., Kew’s Plants of the World Online or World Flora Online) to future-proof names/synonyms. </w:t>
            </w:r>
            <w:hyperlink r:id="rId18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</w:t>
              </w:r>
            </w:hyperlink>
            <w:hyperlink r:id="rId19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POWO</w:t>
              </w:r>
            </w:hyperlink>
          </w:p>
          <w:p w14:paraId="0F7F89B0" w14:textId="77777777" w:rsidR="00DF68D5" w:rsidRPr="00381941" w:rsidRDefault="00CE18B1">
            <w:pPr>
              <w:pStyle w:val="Heading3"/>
              <w:spacing w:beforeAutospacing="0" w:afterAutospacing="0"/>
              <w:rPr>
                <w:rFonts w:ascii="Arial" w:hAnsi="Arial" w:cs="Arial" w:hint="default"/>
                <w:sz w:val="20"/>
                <w:szCs w:val="20"/>
              </w:rPr>
            </w:pPr>
            <w:r w:rsidRPr="00381941">
              <w:rPr>
                <w:rFonts w:ascii="Arial" w:hAnsi="Arial" w:cs="Arial" w:hint="default"/>
                <w:sz w:val="20"/>
                <w:szCs w:val="20"/>
              </w:rPr>
              <w:t>Suggested additions (examples you can paste into References)</w:t>
            </w:r>
          </w:p>
          <w:p w14:paraId="1C32ADBE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Jayawickreme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K,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Pyrrolizidine Alkaloids—Pros and Cons for Pharmaceutical Applications.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Toxins.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2023;15(11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):…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 (comprehensive human-centric PA overview). </w:t>
            </w:r>
            <w:hyperlink r:id="rId20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</w:t>
              </w:r>
            </w:hyperlink>
          </w:p>
          <w:p w14:paraId="127425BD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European Food Safety Authority (EFSA).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Risks for human health related to the presence of PAs in honey, tea, herbal infusions and supplements.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EFSA Journal.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2017;15(7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):e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04908 (regulatory baseline still cited). </w:t>
            </w:r>
            <w:hyperlink r:id="rId21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European Food Safety Authority</w:t>
              </w:r>
            </w:hyperlink>
          </w:p>
          <w:p w14:paraId="3D4E694B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Lu Y-S,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Levels, Toxic Effects, and Risk Assessment of PAs.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Foods.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2024;13(4):536 (recent surveillance + methods). </w:t>
            </w:r>
            <w:hyperlink r:id="rId22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</w:t>
              </w:r>
            </w:hyperlink>
          </w:p>
          <w:p w14:paraId="53AD47B5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>Lis-</w:t>
            </w: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Cieplak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A,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 xml:space="preserve">PAs as Hazardous Toxins in Natural </w:t>
            </w:r>
            <w:proofErr w:type="spellStart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Products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Molecules</w:t>
            </w:r>
            <w:proofErr w:type="spellEnd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2024;29(14):3269 (occurrence + analytics update). </w:t>
            </w:r>
            <w:hyperlink r:id="rId23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MDPI</w:t>
              </w:r>
            </w:hyperlink>
          </w:p>
          <w:p w14:paraId="5A6706DC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1941">
              <w:rPr>
                <w:rFonts w:ascii="Arial" w:hAnsi="Arial" w:cs="Arial"/>
                <w:sz w:val="20"/>
                <w:szCs w:val="20"/>
              </w:rPr>
              <w:t>Herzyk</w:t>
            </w:r>
            <w:proofErr w:type="spellEnd"/>
            <w:r w:rsidRPr="00381941">
              <w:rPr>
                <w:rFonts w:ascii="Arial" w:hAnsi="Arial" w:cs="Arial"/>
                <w:sz w:val="20"/>
                <w:szCs w:val="20"/>
              </w:rPr>
              <w:t xml:space="preserve"> F,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 xml:space="preserve">Supercritical Extraction Techniques for </w:t>
            </w:r>
            <w:proofErr w:type="spellStart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Bioactives</w:t>
            </w:r>
            <w:proofErr w:type="spellEnd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Appl Sci.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2024;14(…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):…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 (modern SFE state-of-the-art). </w:t>
            </w:r>
            <w:hyperlink r:id="rId24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PMC</w:t>
              </w:r>
            </w:hyperlink>
          </w:p>
          <w:p w14:paraId="642DDE2B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Díaz-Reinoso B,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Subcritical water extraction of plant oils/EOs: a green trend.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 xml:space="preserve">J. </w:t>
            </w:r>
            <w:proofErr w:type="spellStart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Supercrit</w:t>
            </w:r>
            <w:proofErr w:type="spellEnd"/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. Fluids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(or equivalent) 2023 (SCWE fundamentals and applications). </w:t>
            </w:r>
            <w:hyperlink r:id="rId25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ScienceDirect</w:t>
              </w:r>
            </w:hyperlink>
          </w:p>
          <w:p w14:paraId="190EB75F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Gómez-Contreras P-A,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 xml:space="preserve">Applying Subcritical Water Extraction to Obtain </w:t>
            </w:r>
            <w:proofErr w:type="spellStart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Bioactives</w:t>
            </w:r>
            <w:proofErr w:type="spellEnd"/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Molecules.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2024;29(20):4897 (practical SWE parameters). </w:t>
            </w:r>
            <w:hyperlink r:id="rId26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MDPI</w:t>
              </w:r>
            </w:hyperlink>
          </w:p>
          <w:p w14:paraId="1EA165A4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García-Roldán A,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Natural Deep Eutectic Solvents as Green Extractants.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Front Plant Sci.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2023;13:1072592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 (NADES principles and plant examples). </w:t>
            </w:r>
            <w:hyperlink r:id="rId27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Frontiers</w:t>
              </w:r>
            </w:hyperlink>
          </w:p>
          <w:p w14:paraId="38FB071D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Özyiğit II, et al.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Production of Secondary Metabolites via Tissue Culture.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941">
              <w:rPr>
                <w:rStyle w:val="Emphasis"/>
                <w:rFonts w:ascii="Arial" w:hAnsi="Arial" w:cs="Arial"/>
                <w:sz w:val="20"/>
                <w:szCs w:val="20"/>
              </w:rPr>
              <w:t>Front Plant Sci.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81941">
              <w:rPr>
                <w:rFonts w:ascii="Arial" w:hAnsi="Arial" w:cs="Arial"/>
                <w:sz w:val="20"/>
                <w:szCs w:val="20"/>
              </w:rPr>
              <w:t>2023;14:1132555</w:t>
            </w:r>
            <w:proofErr w:type="gramEnd"/>
            <w:r w:rsidRPr="00381941">
              <w:rPr>
                <w:rFonts w:ascii="Arial" w:hAnsi="Arial" w:cs="Arial"/>
                <w:sz w:val="20"/>
                <w:szCs w:val="20"/>
              </w:rPr>
              <w:t xml:space="preserve"> (biotech pathway for scale &amp; conservation). </w:t>
            </w:r>
            <w:hyperlink r:id="rId28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Frontiers</w:t>
              </w:r>
            </w:hyperlink>
          </w:p>
          <w:p w14:paraId="3A97CE1A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Fonts w:ascii="Arial" w:hAnsi="Arial" w:cs="Arial"/>
                <w:sz w:val="20"/>
                <w:szCs w:val="20"/>
              </w:rPr>
              <w:t xml:space="preserve">Plants of the World Online (Kew).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Crotalaria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(genus page; for nomenclatural stability &amp; synonymy cross-checks). </w:t>
            </w:r>
            <w:hyperlink r:id="rId29" w:tgtFrame="C:\Users\rlman\AppData\Local\Temp\_blank" w:history="1">
              <w:r w:rsidRPr="00381941">
                <w:rPr>
                  <w:rStyle w:val="Hyperlink"/>
                  <w:rFonts w:ascii="Arial" w:hAnsi="Arial" w:cs="Arial"/>
                  <w:sz w:val="20"/>
                  <w:szCs w:val="20"/>
                </w:rPr>
                <w:t>POWO</w:t>
              </w:r>
            </w:hyperlink>
          </w:p>
          <w:p w14:paraId="597616D0" w14:textId="77777777" w:rsidR="00DF68D5" w:rsidRPr="00381941" w:rsidRDefault="00CE18B1">
            <w:pPr>
              <w:pStyle w:val="Heading3"/>
              <w:spacing w:beforeAutospacing="0" w:afterAutospacing="0"/>
              <w:rPr>
                <w:rFonts w:ascii="Arial" w:hAnsi="Arial" w:cs="Arial" w:hint="default"/>
                <w:sz w:val="20"/>
                <w:szCs w:val="20"/>
              </w:rPr>
            </w:pPr>
            <w:r w:rsidRPr="00381941">
              <w:rPr>
                <w:rFonts w:ascii="Arial" w:hAnsi="Arial" w:cs="Arial" w:hint="default"/>
                <w:sz w:val="20"/>
                <w:szCs w:val="20"/>
              </w:rPr>
              <w:t>Bottom line</w:t>
            </w:r>
          </w:p>
          <w:p w14:paraId="5EE5B8FA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Sufficiency: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adequate for a narrative overview, but </w:t>
            </w: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needs 6–10 recent (2023–2025)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additions in safety/regulation and green-extraction/biotech to meet current reviewer expectations.</w:t>
            </w:r>
          </w:p>
          <w:p w14:paraId="1F23C834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81941">
              <w:rPr>
                <w:rStyle w:val="Strong"/>
                <w:rFonts w:ascii="Arial" w:hAnsi="Arial" w:cs="Arial"/>
                <w:sz w:val="20"/>
                <w:szCs w:val="20"/>
              </w:rPr>
              <w:t>Clean-up:</w:t>
            </w:r>
            <w:r w:rsidRPr="00381941">
              <w:rPr>
                <w:rFonts w:ascii="Arial" w:hAnsi="Arial" w:cs="Arial"/>
                <w:sz w:val="20"/>
                <w:szCs w:val="20"/>
              </w:rPr>
              <w:t xml:space="preserve"> remove duplicates and ensure every table entry maps to a primary study; keep older “classics” but pair each with at least one 2020s companion reference. </w:t>
            </w:r>
          </w:p>
          <w:p w14:paraId="24FE0567" w14:textId="77777777" w:rsidR="00DF68D5" w:rsidRPr="00381941" w:rsidRDefault="00DF68D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F68D5" w:rsidRPr="00381941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F68D5" w:rsidRPr="00381941" w:rsidRDefault="00CE18B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819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BCDC769" w:rsidR="00DF68D5" w:rsidRPr="00381941" w:rsidRDefault="0080618E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81941">
              <w:rPr>
                <w:rFonts w:ascii="Arial" w:hAnsi="Arial" w:cs="Arial"/>
                <w:sz w:val="20"/>
                <w:szCs w:val="20"/>
                <w:lang w:val="en-IN"/>
              </w:rPr>
              <w:t>Yes</w:t>
            </w:r>
          </w:p>
          <w:p w14:paraId="297F52DB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F68D5" w:rsidRPr="00381941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DF68D5" w:rsidRPr="00381941" w:rsidRDefault="00CE18B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8194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8194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819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F68D5" w:rsidRPr="00381941" w:rsidRDefault="00DF68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F68D5" w:rsidRPr="00381941" w:rsidRDefault="00DF68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DF68D5" w:rsidRPr="00381941" w:rsidRDefault="00DF68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DF68D5" w:rsidRPr="00381941" w:rsidRDefault="00DF68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DF68D5" w:rsidRPr="00381941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8194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8194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DF68D5" w:rsidRPr="00381941" w:rsidRDefault="00DF68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F68D5" w:rsidRPr="00381941" w14:paraId="5356501F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DF68D5" w:rsidRPr="00381941" w:rsidRDefault="00DF68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DF68D5" w:rsidRPr="00381941" w:rsidRDefault="00CE18B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194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6F48B50B" w14:textId="77777777" w:rsidR="00DF68D5" w:rsidRPr="00381941" w:rsidRDefault="00CE18B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1941">
              <w:rPr>
                <w:rFonts w:ascii="Arial" w:hAnsi="Arial" w:cs="Arial"/>
                <w:lang w:val="en-GB"/>
              </w:rPr>
              <w:t>Author’s comment</w:t>
            </w:r>
            <w:r w:rsidRPr="003819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194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F68D5" w:rsidRPr="00381941" w14:paraId="3944C8A3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19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DF68D5" w:rsidRPr="00381941" w:rsidRDefault="00DF68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819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819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8194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DF68D5" w:rsidRPr="00381941" w:rsidRDefault="00DF68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DF68D5" w:rsidRPr="00381941" w:rsidRDefault="00CE18B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381941">
              <w:rPr>
                <w:rFonts w:ascii="Arial" w:hAnsi="Arial" w:cs="Arial"/>
                <w:sz w:val="20"/>
                <w:szCs w:val="20"/>
                <w:lang w:val="en-IN"/>
              </w:rPr>
              <w:t>no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780A9F8E" w14:textId="77777777" w:rsidR="00DF68D5" w:rsidRPr="00381941" w:rsidRDefault="00DF68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DF68D5" w:rsidRPr="00381941" w:rsidRDefault="00DF68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DF68D5" w:rsidRPr="00381941" w:rsidRDefault="00DF68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DF68D5" w:rsidRPr="00381941" w:rsidRDefault="00DF68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DF68D5" w:rsidRDefault="00DF68D5">
      <w:pPr>
        <w:rPr>
          <w:rFonts w:ascii="Arial" w:hAnsi="Arial" w:cs="Arial"/>
          <w:b/>
          <w:sz w:val="20"/>
          <w:szCs w:val="20"/>
          <w:lang w:val="en-GB"/>
        </w:rPr>
      </w:pPr>
    </w:p>
    <w:p w14:paraId="0F0C4648" w14:textId="77777777" w:rsidR="00381941" w:rsidRPr="00EA0EE2" w:rsidRDefault="00381941" w:rsidP="003819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A0EE2">
        <w:rPr>
          <w:rFonts w:ascii="Arial" w:hAnsi="Arial" w:cs="Arial"/>
          <w:b/>
          <w:u w:val="single"/>
        </w:rPr>
        <w:t>Reviewer details:</w:t>
      </w:r>
    </w:p>
    <w:p w14:paraId="64F0E556" w14:textId="77777777" w:rsidR="00381941" w:rsidRPr="00EA0EE2" w:rsidRDefault="00381941" w:rsidP="0038194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EA0EE2">
        <w:rPr>
          <w:rFonts w:ascii="Arial" w:hAnsi="Arial" w:cs="Arial"/>
          <w:b/>
          <w:color w:val="000000"/>
        </w:rPr>
        <w:t>Rajaputana</w:t>
      </w:r>
      <w:proofErr w:type="spellEnd"/>
      <w:r w:rsidRPr="00EA0EE2">
        <w:rPr>
          <w:rFonts w:ascii="Arial" w:hAnsi="Arial" w:cs="Arial"/>
          <w:b/>
          <w:color w:val="000000"/>
        </w:rPr>
        <w:t xml:space="preserve"> Lakshmi Manisha, Osmania University, India</w:t>
      </w:r>
    </w:p>
    <w:p w14:paraId="6E6E0D97" w14:textId="77777777" w:rsidR="00381941" w:rsidRPr="00381941" w:rsidRDefault="00381941">
      <w:pPr>
        <w:rPr>
          <w:rFonts w:ascii="Arial" w:hAnsi="Arial" w:cs="Arial"/>
          <w:b/>
          <w:sz w:val="20"/>
          <w:szCs w:val="20"/>
        </w:rPr>
      </w:pPr>
    </w:p>
    <w:sectPr w:rsidR="00381941" w:rsidRPr="00381941">
      <w:headerReference w:type="default" r:id="rId30"/>
      <w:footerReference w:type="default" r:id="rId31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E5A7" w14:textId="77777777" w:rsidR="00FF45CF" w:rsidRDefault="00FF45CF">
      <w:r>
        <w:separator/>
      </w:r>
    </w:p>
  </w:endnote>
  <w:endnote w:type="continuationSeparator" w:id="0">
    <w:p w14:paraId="1965B70E" w14:textId="77777777" w:rsidR="00FF45CF" w:rsidRDefault="00FF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DF68D5" w:rsidRDefault="00CE18B1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7F007" w14:textId="77777777" w:rsidR="00FF45CF" w:rsidRDefault="00FF45CF">
      <w:r>
        <w:separator/>
      </w:r>
    </w:p>
  </w:footnote>
  <w:footnote w:type="continuationSeparator" w:id="0">
    <w:p w14:paraId="4AE738CF" w14:textId="77777777" w:rsidR="00FF45CF" w:rsidRDefault="00FF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DF68D5" w:rsidRDefault="00DF68D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DF68D5" w:rsidRDefault="00DF68D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DF68D5" w:rsidRDefault="00CE18B1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N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36F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F0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CC9"/>
    <w:rsid w:val="00374F93"/>
    <w:rsid w:val="00377F1D"/>
    <w:rsid w:val="00381941"/>
    <w:rsid w:val="00394901"/>
    <w:rsid w:val="003A04E7"/>
    <w:rsid w:val="003A1C45"/>
    <w:rsid w:val="003A4991"/>
    <w:rsid w:val="003A5C65"/>
    <w:rsid w:val="003A6E1A"/>
    <w:rsid w:val="003B1D0B"/>
    <w:rsid w:val="003B2172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9C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A9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18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8B1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31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8D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87A"/>
    <w:rsid w:val="00EB3E91"/>
    <w:rsid w:val="00EB6E15"/>
    <w:rsid w:val="00EC6894"/>
    <w:rsid w:val="00ED6B12"/>
    <w:rsid w:val="00ED7400"/>
    <w:rsid w:val="00EF326D"/>
    <w:rsid w:val="00EF53FE"/>
    <w:rsid w:val="00F10AD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5CF"/>
    <w:rsid w:val="5C18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2474E88E"/>
  <w15:docId w15:val="{E0AB6C60-791D-41EF-ADD8-A579DF23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819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dpi.com/1420-3049/29/20/4897?utm_source=chatgpt.com" TargetMode="External"/><Relationship Id="rId18" Type="http://schemas.openxmlformats.org/officeDocument/2006/relationships/hyperlink" Target="https://pmc.ncbi.nlm.nih.gov/articles/PMC5813922/?utm_source=chatgpt.com" TargetMode="External"/><Relationship Id="rId26" Type="http://schemas.openxmlformats.org/officeDocument/2006/relationships/hyperlink" Target="https://www.mdpi.com/1420-3049/29/20/4897?utm_source=chatgp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fsa.europa.eu/en/efsajournal/pub/4908?utm_source=chatgpt.com" TargetMode="Externa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hyperlink" Target="https://www.sciencedirect.com/science/article/pii/S2352554123003662?utm_source=chatgpt.com" TargetMode="External"/><Relationship Id="rId17" Type="http://schemas.openxmlformats.org/officeDocument/2006/relationships/hyperlink" Target="https://onlinelibrary.wiley.com/doi/10.1111/ppl.14400?utm_source=chatgpt.com" TargetMode="External"/><Relationship Id="rId25" Type="http://schemas.openxmlformats.org/officeDocument/2006/relationships/hyperlink" Target="https://www.sciencedirect.com/science/article/pii/S2352554123003662?utm_source=chatgpt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rontiersin.org/journals/plant-science/articles/10.3389/fpls.2023.1132555/full?utm_source=chatgpt.com" TargetMode="External"/><Relationship Id="rId20" Type="http://schemas.openxmlformats.org/officeDocument/2006/relationships/hyperlink" Target="https://pmc.ncbi.nlm.nih.gov/articles/PMC10706944/?utm_source=chatgpt.com" TargetMode="External"/><Relationship Id="rId29" Type="http://schemas.openxmlformats.org/officeDocument/2006/relationships/hyperlink" Target="https://powo.science.kew.org/results?q=Crotalaria&amp;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mc.ncbi.nlm.nih.gov/articles/PMC11171758/?utm_source=chatgpt.com" TargetMode="External"/><Relationship Id="rId24" Type="http://schemas.openxmlformats.org/officeDocument/2006/relationships/hyperlink" Target="https://pmc.ncbi.nlm.nih.gov/articles/PMC11171758/?utm_source=chatgpt.co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mc.ncbi.nlm.nih.gov/articles/PMC11171758/?utm_source=chatgpt.com" TargetMode="External"/><Relationship Id="rId23" Type="http://schemas.openxmlformats.org/officeDocument/2006/relationships/hyperlink" Target="https://www.mdpi.com/1420-3049/29/14/3269?utm_source=chatgpt.com" TargetMode="External"/><Relationship Id="rId28" Type="http://schemas.openxmlformats.org/officeDocument/2006/relationships/hyperlink" Target="https://www.frontiersin.org/journals/plant-science/articles/10.3389/fpls.2023.1132555/full?utm_source=chatgpt.com" TargetMode="External"/><Relationship Id="rId10" Type="http://schemas.openxmlformats.org/officeDocument/2006/relationships/hyperlink" Target="https://www.mdpi.com/2072-6651/16/2/79?utm_source=chatgpt.com" TargetMode="External"/><Relationship Id="rId19" Type="http://schemas.openxmlformats.org/officeDocument/2006/relationships/hyperlink" Target="https://powo.science.kew.org/results?q=Crotalaria&amp;utm_source=chatgpt.com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fsa.europa.eu/en/efsajournal/pub/4908?utm_source=chatgpt.com" TargetMode="External"/><Relationship Id="rId14" Type="http://schemas.openxmlformats.org/officeDocument/2006/relationships/hyperlink" Target="https://www.frontiersin.org/journals/plant-science/articles/10.3389/fpls.2022.1072592/full?utm_source=chatgpt.com" TargetMode="External"/><Relationship Id="rId22" Type="http://schemas.openxmlformats.org/officeDocument/2006/relationships/hyperlink" Target="https://pmc.ncbi.nlm.nih.gov/articles/PMC10888194/?utm_source=chatgpt.com" TargetMode="External"/><Relationship Id="rId27" Type="http://schemas.openxmlformats.org/officeDocument/2006/relationships/hyperlink" Target="https://www.frontiersin.org/journals/plant-science/articles/10.3389/fpls.2022.1072592/full?utm_source=chatgpt.com" TargetMode="External"/><Relationship Id="rId30" Type="http://schemas.openxmlformats.org/officeDocument/2006/relationships/header" Target="header1.xml"/><Relationship Id="rId8" Type="http://schemas.openxmlformats.org/officeDocument/2006/relationships/hyperlink" Target="https://pmc.ncbi.nlm.nih.gov/articles/PMC10706944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2174</Words>
  <Characters>12396</Characters>
  <Application>Microsoft Office Word</Application>
  <DocSecurity>0</DocSecurity>
  <Lines>103</Lines>
  <Paragraphs>29</Paragraphs>
  <ScaleCrop>false</ScaleCrop>
  <Company>HP</Company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2025-09-03T07:44:00Z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1033-12.2.0.21931</vt:lpwstr>
  </property>
  <property fmtid="{D5CDD505-2E9C-101B-9397-08002B2CF9AE}" pid="4" name="ICV">
    <vt:lpwstr>93BDDF4F17884E87A163E05EBB2FB3F9_12</vt:lpwstr>
  </property>
</Properties>
</file>