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22E" w:rsidRDefault="00A8522E">
      <w:pPr>
        <w:rPr>
          <w:sz w:val="20"/>
        </w:rPr>
      </w:pPr>
    </w:p>
    <w:p w:rsidR="00A8522E" w:rsidRDefault="00A8522E">
      <w:pPr>
        <w:rPr>
          <w:sz w:val="20"/>
        </w:rPr>
      </w:pPr>
    </w:p>
    <w:p w:rsidR="00A8522E" w:rsidRDefault="00A8522E">
      <w:pPr>
        <w:spacing w:before="45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15768"/>
      </w:tblGrid>
      <w:tr w:rsidR="00A8522E">
        <w:trPr>
          <w:trHeight w:val="414"/>
        </w:trPr>
        <w:tc>
          <w:tcPr>
            <w:tcW w:w="5167" w:type="dxa"/>
          </w:tcPr>
          <w:p w:rsidR="00A8522E" w:rsidRDefault="008C0AA5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Book</w:t>
            </w:r>
            <w:r>
              <w:rPr>
                <w:rFonts w:ascii="Arial MT"/>
                <w:spacing w:val="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Name:</w:t>
            </w:r>
          </w:p>
        </w:tc>
        <w:tc>
          <w:tcPr>
            <w:tcW w:w="15768" w:type="dxa"/>
          </w:tcPr>
          <w:p w:rsidR="00A8522E" w:rsidRDefault="008C0AA5">
            <w:pPr>
              <w:pStyle w:val="TableParagraph"/>
              <w:spacing w:before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00FF"/>
                <w:sz w:val="24"/>
                <w:u w:val="single" w:color="0000FF"/>
              </w:rPr>
              <w:t>An</w:t>
            </w:r>
            <w:r>
              <w:rPr>
                <w:rFonts w:ascii="Arial"/>
                <w:b/>
                <w:color w:val="0000FF"/>
                <w:spacing w:val="-2"/>
                <w:sz w:val="24"/>
                <w:u w:val="single" w:color="0000FF"/>
              </w:rPr>
              <w:t xml:space="preserve"> </w:t>
            </w:r>
            <w:r>
              <w:rPr>
                <w:rFonts w:ascii="Arial"/>
                <w:b/>
                <w:color w:val="0000FF"/>
                <w:sz w:val="24"/>
                <w:u w:val="single" w:color="0000FF"/>
              </w:rPr>
              <w:t>Overview</w:t>
            </w:r>
            <w:r>
              <w:rPr>
                <w:rFonts w:ascii="Arial"/>
                <w:b/>
                <w:color w:val="0000FF"/>
                <w:spacing w:val="3"/>
                <w:sz w:val="24"/>
                <w:u w:val="single" w:color="0000FF"/>
              </w:rPr>
              <w:t xml:space="preserve"> </w:t>
            </w:r>
            <w:r>
              <w:rPr>
                <w:rFonts w:ascii="Arial"/>
                <w:b/>
                <w:color w:val="0000FF"/>
                <w:sz w:val="24"/>
                <w:u w:val="single" w:color="0000FF"/>
              </w:rPr>
              <w:t>of</w:t>
            </w:r>
            <w:r>
              <w:rPr>
                <w:rFonts w:ascii="Arial"/>
                <w:b/>
                <w:color w:val="0000FF"/>
                <w:spacing w:val="-2"/>
                <w:sz w:val="24"/>
                <w:u w:val="single" w:color="0000FF"/>
              </w:rPr>
              <w:t xml:space="preserve"> </w:t>
            </w:r>
            <w:r>
              <w:rPr>
                <w:rFonts w:ascii="Arial"/>
                <w:b/>
                <w:color w:val="0000FF"/>
                <w:sz w:val="24"/>
                <w:u w:val="single" w:color="0000FF"/>
              </w:rPr>
              <w:t>Literature,</w:t>
            </w:r>
            <w:r>
              <w:rPr>
                <w:rFonts w:ascii="Arial"/>
                <w:b/>
                <w:color w:val="0000FF"/>
                <w:spacing w:val="1"/>
                <w:sz w:val="24"/>
                <w:u w:val="single" w:color="0000FF"/>
              </w:rPr>
              <w:t xml:space="preserve"> </w:t>
            </w:r>
            <w:r>
              <w:rPr>
                <w:rFonts w:ascii="Arial"/>
                <w:b/>
                <w:color w:val="0000FF"/>
                <w:sz w:val="24"/>
                <w:u w:val="single" w:color="0000FF"/>
              </w:rPr>
              <w:t>Language and</w:t>
            </w:r>
            <w:r>
              <w:rPr>
                <w:rFonts w:ascii="Arial"/>
                <w:b/>
                <w:color w:val="0000FF"/>
                <w:spacing w:val="-4"/>
                <w:sz w:val="24"/>
                <w:u w:val="single" w:color="0000FF"/>
              </w:rPr>
              <w:t xml:space="preserve"> </w:t>
            </w:r>
            <w:r>
              <w:rPr>
                <w:rFonts w:ascii="Arial"/>
                <w:b/>
                <w:color w:val="0000FF"/>
                <w:sz w:val="24"/>
                <w:u w:val="single" w:color="0000FF"/>
              </w:rPr>
              <w:t>Education</w:t>
            </w:r>
            <w:r>
              <w:rPr>
                <w:rFonts w:ascii="Arial"/>
                <w:b/>
                <w:color w:val="0000FF"/>
                <w:spacing w:val="-1"/>
                <w:sz w:val="24"/>
                <w:u w:val="single" w:color="0000FF"/>
              </w:rPr>
              <w:t xml:space="preserve"> </w:t>
            </w:r>
            <w:r>
              <w:rPr>
                <w:rFonts w:ascii="Arial"/>
                <w:b/>
                <w:color w:val="0000FF"/>
                <w:spacing w:val="-2"/>
                <w:sz w:val="24"/>
                <w:u w:val="single" w:color="0000FF"/>
              </w:rPr>
              <w:t>Research</w:t>
            </w:r>
          </w:p>
        </w:tc>
      </w:tr>
      <w:tr w:rsidR="00A8522E">
        <w:trPr>
          <w:trHeight w:val="290"/>
        </w:trPr>
        <w:tc>
          <w:tcPr>
            <w:tcW w:w="5167" w:type="dxa"/>
          </w:tcPr>
          <w:p w:rsidR="00A8522E" w:rsidRDefault="008C0AA5">
            <w:pPr>
              <w:pStyle w:val="TableParagraph"/>
              <w:spacing w:line="270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Manuscript</w:t>
            </w:r>
            <w:r>
              <w:rPr>
                <w:rFonts w:ascii="Arial MT"/>
                <w:spacing w:val="2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Number:</w:t>
            </w:r>
          </w:p>
        </w:tc>
        <w:tc>
          <w:tcPr>
            <w:tcW w:w="15768" w:type="dxa"/>
          </w:tcPr>
          <w:p w:rsidR="00A8522E" w:rsidRDefault="008C0AA5">
            <w:pPr>
              <w:pStyle w:val="TableParagraph"/>
              <w:spacing w:before="2" w:line="267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Ms_BPR_4510</w:t>
            </w:r>
          </w:p>
        </w:tc>
      </w:tr>
      <w:tr w:rsidR="00A8522E">
        <w:trPr>
          <w:trHeight w:val="330"/>
        </w:trPr>
        <w:tc>
          <w:tcPr>
            <w:tcW w:w="5167" w:type="dxa"/>
          </w:tcPr>
          <w:p w:rsidR="00A8522E" w:rsidRDefault="008C0AA5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Title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Manuscript:</w:t>
            </w:r>
          </w:p>
        </w:tc>
        <w:tc>
          <w:tcPr>
            <w:tcW w:w="15768" w:type="dxa"/>
          </w:tcPr>
          <w:p w:rsidR="00A8522E" w:rsidRDefault="008C0AA5">
            <w:pPr>
              <w:pStyle w:val="TableParagraph"/>
              <w:spacing w:before="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HOW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HEADMASTERS INFLUENCE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TEACHERS’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LEARNING: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SURVEY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MALAYSIAN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INDIGENOUS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PRIMARY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SCHOOLS</w:t>
            </w:r>
          </w:p>
        </w:tc>
      </w:tr>
      <w:tr w:rsidR="00A8522E">
        <w:trPr>
          <w:trHeight w:val="330"/>
        </w:trPr>
        <w:tc>
          <w:tcPr>
            <w:tcW w:w="5167" w:type="dxa"/>
          </w:tcPr>
          <w:p w:rsidR="00A8522E" w:rsidRDefault="008C0AA5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Type of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Article</w:t>
            </w:r>
          </w:p>
        </w:tc>
        <w:tc>
          <w:tcPr>
            <w:tcW w:w="15768" w:type="dxa"/>
          </w:tcPr>
          <w:p w:rsidR="00A8522E" w:rsidRDefault="008C0AA5">
            <w:pPr>
              <w:pStyle w:val="TableParagraph"/>
              <w:spacing w:before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Book </w:t>
            </w:r>
            <w:r>
              <w:rPr>
                <w:rFonts w:ascii="Arial"/>
                <w:b/>
                <w:spacing w:val="-2"/>
                <w:sz w:val="24"/>
              </w:rPr>
              <w:t>Chapter</w:t>
            </w:r>
          </w:p>
        </w:tc>
      </w:tr>
    </w:tbl>
    <w:p w:rsidR="00A8522E" w:rsidRDefault="00A8522E">
      <w:pPr>
        <w:rPr>
          <w:sz w:val="28"/>
        </w:rPr>
      </w:pPr>
    </w:p>
    <w:p w:rsidR="00A8522E" w:rsidRDefault="00A8522E">
      <w:pPr>
        <w:spacing w:before="182"/>
        <w:rPr>
          <w:sz w:val="28"/>
        </w:rPr>
      </w:pPr>
    </w:p>
    <w:p w:rsidR="00A8522E" w:rsidRDefault="008C0AA5">
      <w:pPr>
        <w:pStyle w:val="Title"/>
        <w:rPr>
          <w:u w:val="none"/>
        </w:rPr>
      </w:pPr>
      <w:r>
        <w:t>General</w:t>
      </w:r>
      <w:r>
        <w:rPr>
          <w:spacing w:val="-5"/>
        </w:rPr>
        <w:t xml:space="preserve"> </w:t>
      </w:r>
      <w:r>
        <w:t>guidelines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t>Review</w:t>
      </w:r>
      <w:r>
        <w:rPr>
          <w:spacing w:val="2"/>
        </w:rPr>
        <w:t xml:space="preserve"> </w:t>
      </w:r>
      <w:r>
        <w:rPr>
          <w:spacing w:val="-2"/>
        </w:rPr>
        <w:t>process:</w:t>
      </w:r>
    </w:p>
    <w:p w:rsidR="00A8522E" w:rsidRDefault="00A8522E">
      <w:pPr>
        <w:pStyle w:val="BodyText"/>
        <w:spacing w:before="92"/>
        <w:rPr>
          <w:rFonts w:ascii="Arial"/>
        </w:rPr>
      </w:pPr>
    </w:p>
    <w:p w:rsidR="00A8522E" w:rsidRDefault="008C0AA5">
      <w:pPr>
        <w:pStyle w:val="BodyText"/>
        <w:ind w:left="165"/>
        <w:rPr>
          <w:rFonts w:ascii="Arial"/>
        </w:rPr>
      </w:pPr>
      <w:r>
        <w:rPr>
          <w:rFonts w:ascii="Arial"/>
          <w:color w:val="000000"/>
          <w:highlight w:val="yellow"/>
        </w:rPr>
        <w:t>Artificial</w:t>
      </w:r>
      <w:r>
        <w:rPr>
          <w:rFonts w:ascii="Arial"/>
          <w:color w:val="000000"/>
          <w:spacing w:val="-5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Intelligence</w:t>
      </w:r>
      <w:r>
        <w:rPr>
          <w:rFonts w:ascii="Arial"/>
          <w:color w:val="000000"/>
          <w:spacing w:val="-7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(AI)</w:t>
      </w:r>
      <w:r>
        <w:rPr>
          <w:rFonts w:ascii="Arial"/>
          <w:color w:val="000000"/>
          <w:spacing w:val="-4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generated</w:t>
      </w:r>
      <w:r>
        <w:rPr>
          <w:rFonts w:ascii="Arial"/>
          <w:color w:val="000000"/>
          <w:spacing w:val="-7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or</w:t>
      </w:r>
      <w:r>
        <w:rPr>
          <w:rFonts w:ascii="Arial"/>
          <w:color w:val="000000"/>
          <w:spacing w:val="-8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assisted</w:t>
      </w:r>
      <w:r>
        <w:rPr>
          <w:rFonts w:ascii="Arial"/>
          <w:color w:val="000000"/>
          <w:spacing w:val="-6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review</w:t>
      </w:r>
      <w:r>
        <w:rPr>
          <w:rFonts w:ascii="Arial"/>
          <w:color w:val="000000"/>
          <w:spacing w:val="-5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comments</w:t>
      </w:r>
      <w:r>
        <w:rPr>
          <w:rFonts w:ascii="Arial"/>
          <w:color w:val="000000"/>
          <w:spacing w:val="-8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are</w:t>
      </w:r>
      <w:r>
        <w:rPr>
          <w:rFonts w:ascii="Arial"/>
          <w:color w:val="000000"/>
          <w:spacing w:val="-8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strictly</w:t>
      </w:r>
      <w:r>
        <w:rPr>
          <w:rFonts w:ascii="Arial"/>
          <w:color w:val="000000"/>
          <w:spacing w:val="-8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prohibited</w:t>
      </w:r>
      <w:r>
        <w:rPr>
          <w:rFonts w:ascii="Arial"/>
          <w:color w:val="000000"/>
          <w:spacing w:val="-6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during</w:t>
      </w:r>
      <w:r>
        <w:rPr>
          <w:rFonts w:ascii="Arial"/>
          <w:color w:val="000000"/>
          <w:spacing w:val="-7"/>
          <w:highlight w:val="yellow"/>
        </w:rPr>
        <w:t xml:space="preserve"> </w:t>
      </w:r>
      <w:r>
        <w:rPr>
          <w:rFonts w:ascii="Arial"/>
          <w:color w:val="000000"/>
          <w:highlight w:val="yellow"/>
        </w:rPr>
        <w:t>peer</w:t>
      </w:r>
      <w:r>
        <w:rPr>
          <w:rFonts w:ascii="Arial"/>
          <w:color w:val="000000"/>
          <w:spacing w:val="-4"/>
          <w:highlight w:val="yellow"/>
        </w:rPr>
        <w:t xml:space="preserve"> </w:t>
      </w:r>
      <w:r>
        <w:rPr>
          <w:rFonts w:ascii="Arial"/>
          <w:color w:val="000000"/>
          <w:spacing w:val="-2"/>
          <w:highlight w:val="yellow"/>
        </w:rPr>
        <w:t>review.</w:t>
      </w:r>
    </w:p>
    <w:p w:rsidR="00A8522E" w:rsidRDefault="00A8522E">
      <w:pPr>
        <w:pStyle w:val="BodyText"/>
        <w:spacing w:before="45"/>
        <w:rPr>
          <w:rFonts w:ascii="Arial"/>
        </w:rPr>
      </w:pPr>
    </w:p>
    <w:p w:rsidR="00A8522E" w:rsidRDefault="008C0AA5">
      <w:pPr>
        <w:pStyle w:val="Heading1"/>
        <w:ind w:left="165" w:right="1321"/>
      </w:pPr>
      <w:r>
        <w:t>This</w:t>
      </w:r>
      <w:r>
        <w:rPr>
          <w:spacing w:val="-3"/>
        </w:rPr>
        <w:t xml:space="preserve"> </w:t>
      </w:r>
      <w:r>
        <w:t>Book’s</w:t>
      </w:r>
      <w:r>
        <w:rPr>
          <w:spacing w:val="-3"/>
        </w:rPr>
        <w:t xml:space="preserve"> </w:t>
      </w:r>
      <w:r>
        <w:t>peer review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 xml:space="preserve">states that </w:t>
      </w:r>
      <w:r>
        <w:rPr>
          <w:rFonts w:ascii="Arial" w:hAnsi="Arial"/>
          <w:b/>
          <w:u w:val="single"/>
        </w:rPr>
        <w:t>NO</w:t>
      </w:r>
      <w:r>
        <w:rPr>
          <w:rFonts w:ascii="Arial" w:hAnsi="Arial"/>
          <w:b/>
          <w:spacing w:val="-4"/>
        </w:rPr>
        <w:t xml:space="preserve"> </w:t>
      </w:r>
      <w:r>
        <w:t>manuscript 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rejected only</w:t>
      </w:r>
      <w:r>
        <w:rPr>
          <w:spacing w:val="-4"/>
        </w:rPr>
        <w:t xml:space="preserve"> </w:t>
      </w:r>
      <w:r>
        <w:t>on the</w:t>
      </w:r>
      <w:r>
        <w:rPr>
          <w:spacing w:val="-3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 ‘</w:t>
      </w:r>
      <w:r>
        <w:rPr>
          <w:rFonts w:ascii="Arial" w:hAnsi="Arial"/>
          <w:b/>
          <w:u w:val="single"/>
        </w:rPr>
        <w:t>lack of</w:t>
      </w:r>
      <w:r>
        <w:rPr>
          <w:rFonts w:ascii="Arial" w:hAnsi="Arial"/>
          <w:b/>
          <w:spacing w:val="-3"/>
          <w:u w:val="single"/>
        </w:rPr>
        <w:t xml:space="preserve"> </w:t>
      </w:r>
      <w:r>
        <w:rPr>
          <w:rFonts w:ascii="Arial" w:hAnsi="Arial"/>
          <w:b/>
          <w:u w:val="single"/>
        </w:rPr>
        <w:t>Novelty’</w:t>
      </w:r>
      <w:r>
        <w:t>,</w:t>
      </w:r>
      <w:r>
        <w:rPr>
          <w:spacing w:val="-1"/>
        </w:rPr>
        <w:t xml:space="preserve"> </w:t>
      </w:r>
      <w:r>
        <w:t>provided the</w:t>
      </w:r>
      <w:r>
        <w:rPr>
          <w:spacing w:val="-1"/>
        </w:rPr>
        <w:t xml:space="preserve"> </w:t>
      </w:r>
      <w:r>
        <w:t>manuscript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scientifically</w:t>
      </w:r>
      <w:r>
        <w:rPr>
          <w:spacing w:val="-6"/>
        </w:rPr>
        <w:t xml:space="preserve"> </w:t>
      </w:r>
      <w:r>
        <w:t>robust and</w:t>
      </w:r>
      <w:r>
        <w:rPr>
          <w:spacing w:val="-1"/>
        </w:rPr>
        <w:t xml:space="preserve"> </w:t>
      </w:r>
      <w:r>
        <w:t>technically</w:t>
      </w:r>
      <w:r>
        <w:rPr>
          <w:spacing w:val="-4"/>
        </w:rPr>
        <w:t xml:space="preserve"> </w:t>
      </w:r>
      <w:r>
        <w:t>sound. To know the complete guidelines for the Peer Review process, reviewers are requested to visit this link:</w:t>
      </w:r>
    </w:p>
    <w:p w:rsidR="00A8522E" w:rsidRDefault="00A8522E">
      <w:pPr>
        <w:pStyle w:val="BodyText"/>
        <w:rPr>
          <w:rFonts w:ascii="Arial MT"/>
          <w:b w:val="0"/>
          <w:sz w:val="24"/>
        </w:rPr>
      </w:pPr>
    </w:p>
    <w:p w:rsidR="00A8522E" w:rsidRDefault="00A8522E">
      <w:pPr>
        <w:pStyle w:val="BodyText"/>
        <w:spacing w:before="2"/>
        <w:rPr>
          <w:rFonts w:ascii="Arial MT"/>
          <w:b w:val="0"/>
          <w:sz w:val="24"/>
        </w:rPr>
      </w:pPr>
    </w:p>
    <w:p w:rsidR="00A8522E" w:rsidRDefault="008C0AA5">
      <w:pPr>
        <w:ind w:left="165"/>
        <w:rPr>
          <w:rFonts w:ascii="Arial MT"/>
          <w:sz w:val="20"/>
        </w:rPr>
      </w:pPr>
      <w:r>
        <w:rPr>
          <w:rFonts w:ascii="Arial MT"/>
          <w:color w:val="0000FF"/>
          <w:spacing w:val="-2"/>
          <w:sz w:val="20"/>
          <w:u w:val="single" w:color="0000FF"/>
        </w:rPr>
        <w:t>https://r1.reviewerhub.org/general-editorial-policy/</w:t>
      </w:r>
    </w:p>
    <w:p w:rsidR="00A8522E" w:rsidRDefault="00A8522E">
      <w:pPr>
        <w:pStyle w:val="BodyText"/>
        <w:rPr>
          <w:rFonts w:ascii="Arial MT"/>
          <w:b w:val="0"/>
        </w:rPr>
      </w:pPr>
    </w:p>
    <w:p w:rsidR="00A8522E" w:rsidRDefault="00A8522E">
      <w:pPr>
        <w:pStyle w:val="BodyText"/>
        <w:spacing w:before="2"/>
        <w:rPr>
          <w:rFonts w:ascii="Arial MT"/>
          <w:b w:val="0"/>
        </w:rPr>
      </w:pPr>
    </w:p>
    <w:p w:rsidR="00A8522E" w:rsidRDefault="008C0AA5">
      <w:pPr>
        <w:pStyle w:val="BodyText"/>
        <w:ind w:left="165"/>
      </w:pPr>
      <w:r>
        <w:rPr>
          <w:color w:val="000000"/>
          <w:highlight w:val="yellow"/>
          <w:u w:val="single"/>
        </w:rPr>
        <w:t>Important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Policies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Regarding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Peer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Review</w:t>
      </w:r>
    </w:p>
    <w:p w:rsidR="00A8522E" w:rsidRDefault="008C0AA5">
      <w:pPr>
        <w:spacing w:before="223"/>
        <w:ind w:left="165" w:right="11776"/>
        <w:rPr>
          <w:sz w:val="24"/>
        </w:rPr>
      </w:pPr>
      <w:r>
        <w:rPr>
          <w:sz w:val="20"/>
        </w:rPr>
        <w:t>Peer</w:t>
      </w:r>
      <w:r>
        <w:rPr>
          <w:spacing w:val="-5"/>
          <w:sz w:val="20"/>
        </w:rPr>
        <w:t xml:space="preserve"> </w:t>
      </w:r>
      <w:r>
        <w:rPr>
          <w:sz w:val="20"/>
        </w:rPr>
        <w:t>review</w:t>
      </w:r>
      <w:r>
        <w:rPr>
          <w:spacing w:val="-10"/>
          <w:sz w:val="20"/>
        </w:rPr>
        <w:t xml:space="preserve"> </w:t>
      </w:r>
      <w:r>
        <w:rPr>
          <w:sz w:val="20"/>
        </w:rPr>
        <w:t>Comments</w:t>
      </w:r>
      <w:r>
        <w:rPr>
          <w:spacing w:val="-5"/>
          <w:sz w:val="20"/>
        </w:rPr>
        <w:t xml:space="preserve"> </w:t>
      </w:r>
      <w:r>
        <w:rPr>
          <w:sz w:val="20"/>
        </w:rPr>
        <w:t>Approval</w:t>
      </w:r>
      <w:r>
        <w:rPr>
          <w:spacing w:val="-6"/>
          <w:sz w:val="20"/>
        </w:rPr>
        <w:t xml:space="preserve"> </w:t>
      </w:r>
      <w:r>
        <w:rPr>
          <w:sz w:val="20"/>
        </w:rPr>
        <w:t>Policy:</w:t>
      </w:r>
      <w:r>
        <w:rPr>
          <w:spacing w:val="-6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https://r1.reviewerhub.org/peer-review-comments-approval-policy/</w:t>
      </w:r>
      <w:r>
        <w:rPr>
          <w:color w:val="0000FF"/>
          <w:sz w:val="20"/>
        </w:rPr>
        <w:t xml:space="preserve"> </w:t>
      </w:r>
      <w:r>
        <w:rPr>
          <w:sz w:val="20"/>
        </w:rPr>
        <w:t xml:space="preserve">Benefits for Reviewers: </w:t>
      </w:r>
      <w:r>
        <w:rPr>
          <w:color w:val="0000FF"/>
          <w:sz w:val="24"/>
          <w:u w:val="single" w:color="0000FF"/>
        </w:rPr>
        <w:t>https://r1.reviewerhub.org/book-benefits-for-reviewers</w:t>
      </w:r>
    </w:p>
    <w:p w:rsidR="00A8522E" w:rsidRDefault="00A8522E">
      <w:pPr>
        <w:rPr>
          <w:sz w:val="24"/>
        </w:rPr>
        <w:sectPr w:rsidR="00A8522E">
          <w:headerReference w:type="default" r:id="rId7"/>
          <w:footerReference w:type="default" r:id="rId8"/>
          <w:type w:val="continuous"/>
          <w:pgSz w:w="23820" w:h="16840" w:orient="landscape"/>
          <w:pgMar w:top="2040" w:right="1275" w:bottom="900" w:left="1275" w:header="1833" w:footer="702" w:gutter="0"/>
          <w:pgNumType w:start="1"/>
          <w:cols w:space="720"/>
        </w:sectPr>
      </w:pPr>
    </w:p>
    <w:p w:rsidR="00A8522E" w:rsidRDefault="00A8522E">
      <w:pPr>
        <w:rPr>
          <w:sz w:val="20"/>
        </w:rPr>
      </w:pPr>
    </w:p>
    <w:p w:rsidR="00A8522E" w:rsidRDefault="00A8522E">
      <w:pPr>
        <w:spacing w:before="55"/>
        <w:rPr>
          <w:sz w:val="20"/>
        </w:rPr>
      </w:pPr>
    </w:p>
    <w:p w:rsidR="00A8522E" w:rsidRDefault="008C0AA5">
      <w:pPr>
        <w:pStyle w:val="BodyText"/>
        <w:ind w:left="165"/>
      </w:pPr>
      <w:r>
        <w:rPr>
          <w:color w:val="000000"/>
          <w:highlight w:val="yellow"/>
        </w:rPr>
        <w:t>PART</w:t>
      </w:r>
      <w:r>
        <w:rPr>
          <w:color w:val="000000"/>
          <w:spacing w:val="45"/>
          <w:highlight w:val="yellow"/>
        </w:rPr>
        <w:t xml:space="preserve"> </w:t>
      </w:r>
      <w:r>
        <w:rPr>
          <w:color w:val="000000"/>
          <w:highlight w:val="yellow"/>
        </w:rPr>
        <w:t>1: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Comments</w:t>
      </w:r>
    </w:p>
    <w:p w:rsidR="00A8522E" w:rsidRDefault="00A8522E">
      <w:pPr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5"/>
        <w:gridCol w:w="6444"/>
      </w:tblGrid>
      <w:tr w:rsidR="00A8522E">
        <w:trPr>
          <w:trHeight w:val="966"/>
        </w:trPr>
        <w:tc>
          <w:tcPr>
            <w:tcW w:w="5352" w:type="dxa"/>
          </w:tcPr>
          <w:p w:rsidR="00A8522E" w:rsidRDefault="00A8522E">
            <w:pPr>
              <w:pStyle w:val="TableParagraph"/>
              <w:ind w:left="0"/>
            </w:pPr>
          </w:p>
        </w:tc>
        <w:tc>
          <w:tcPr>
            <w:tcW w:w="9355" w:type="dxa"/>
          </w:tcPr>
          <w:p w:rsidR="00A8522E" w:rsidRDefault="008C0AA5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  <w:p w:rsidR="00A8522E" w:rsidRDefault="008C0AA5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  <w:highlight w:val="yellow"/>
              </w:rPr>
              <w:t>Artificial</w:t>
            </w:r>
            <w:r>
              <w:rPr>
                <w:rFonts w:ascii="Arial"/>
                <w:b/>
                <w:color w:val="000000"/>
                <w:spacing w:val="-2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Intelligence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(AI)</w:t>
            </w:r>
            <w:r>
              <w:rPr>
                <w:rFonts w:ascii="Arial"/>
                <w:b/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generated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or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assisted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review</w:t>
            </w:r>
            <w:r>
              <w:rPr>
                <w:rFonts w:ascii="Arial"/>
                <w:b/>
                <w:color w:val="000000"/>
                <w:spacing w:val="-2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comments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are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strictly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prohibited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during</w:t>
            </w:r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:rsidR="00A8522E" w:rsidRDefault="008C0AA5">
            <w:pPr>
              <w:pStyle w:val="TableParagraph"/>
              <w:ind w:right="168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Author’s Feedback </w:t>
            </w:r>
            <w:r>
              <w:rPr>
                <w:i/>
                <w:sz w:val="20"/>
              </w:rPr>
              <w:t>(Please correct the manuscript and highlight that part 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manuscript.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mandatory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authors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should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write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his/her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i/>
                <w:spacing w:val="-2"/>
                <w:sz w:val="20"/>
              </w:rPr>
              <w:t>here)</w:t>
            </w:r>
          </w:p>
        </w:tc>
      </w:tr>
      <w:tr w:rsidR="00A8522E">
        <w:trPr>
          <w:trHeight w:val="4967"/>
        </w:trPr>
        <w:tc>
          <w:tcPr>
            <w:tcW w:w="5352" w:type="dxa"/>
          </w:tcPr>
          <w:p w:rsidR="00A8522E" w:rsidRDefault="008C0AA5">
            <w:pPr>
              <w:pStyle w:val="TableParagraph"/>
              <w:ind w:left="467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importance of this manuscript for the scientific community. A minimum of 3-4 sentences may be required for this </w:t>
            </w:r>
            <w:r>
              <w:rPr>
                <w:b/>
                <w:spacing w:val="-2"/>
                <w:sz w:val="20"/>
              </w:rPr>
              <w:t>part.</w:t>
            </w:r>
          </w:p>
        </w:tc>
        <w:tc>
          <w:tcPr>
            <w:tcW w:w="9355" w:type="dxa"/>
          </w:tcPr>
          <w:p w:rsidR="00A8522E" w:rsidRDefault="008C0AA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The importance of this manuscript to the scientific community can be seen in the following </w:t>
            </w:r>
            <w:r>
              <w:rPr>
                <w:color w:val="212121"/>
                <w:spacing w:val="-2"/>
                <w:sz w:val="24"/>
              </w:rPr>
              <w:t>areas;</w:t>
            </w:r>
          </w:p>
          <w:p w:rsidR="00A8522E" w:rsidRDefault="008C0AA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92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The manuscript explored the crucial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role headmaster’s play in the professional development of teachers, which is essential for educational sustainability and ongoing </w:t>
            </w:r>
            <w:proofErr w:type="gramStart"/>
            <w:r>
              <w:rPr>
                <w:color w:val="212121"/>
                <w:sz w:val="24"/>
              </w:rPr>
              <w:t>teachers</w:t>
            </w:r>
            <w:proofErr w:type="gramEnd"/>
            <w:r>
              <w:rPr>
                <w:color w:val="212121"/>
                <w:sz w:val="24"/>
              </w:rPr>
              <w:t xml:space="preserve"> improvement practices.</w:t>
            </w:r>
          </w:p>
          <w:p w:rsidR="00A8522E" w:rsidRDefault="008C0AA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9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The findings of this study has contributed to existing literature in the area of headmasters influence and teachers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learning, this will further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highlights the importance of educational policy </w:t>
            </w:r>
            <w:proofErr w:type="spellStart"/>
            <w:r>
              <w:rPr>
                <w:color w:val="212121"/>
                <w:sz w:val="24"/>
              </w:rPr>
              <w:t>stalkeholders</w:t>
            </w:r>
            <w:proofErr w:type="spellEnd"/>
            <w:r>
              <w:rPr>
                <w:color w:val="212121"/>
                <w:sz w:val="24"/>
              </w:rPr>
              <w:t xml:space="preserve"> to be committed towards teachers professional learning and development by establishing a synergy of accountability and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responsibility between headmasters and </w:t>
            </w:r>
            <w:r w:rsidR="00DE6825">
              <w:rPr>
                <w:color w:val="212121"/>
                <w:sz w:val="24"/>
              </w:rPr>
              <w:t>teachers</w:t>
            </w:r>
            <w:r>
              <w:rPr>
                <w:color w:val="212121"/>
                <w:sz w:val="24"/>
              </w:rPr>
              <w:t>.</w:t>
            </w:r>
          </w:p>
          <w:p w:rsidR="00A8522E" w:rsidRDefault="008C0AA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Additionally, through the Malaysian indigenous primary school experience on </w:t>
            </w:r>
            <w:r>
              <w:rPr>
                <w:sz w:val="24"/>
              </w:rPr>
              <w:t xml:space="preserve">how headmasters influence teachers’ learning </w:t>
            </w:r>
            <w:r>
              <w:rPr>
                <w:color w:val="212121"/>
                <w:sz w:val="24"/>
              </w:rPr>
              <w:t>this manuscript has provided invaluable situational insight for educators, researchers, and policy professionals globally.</w:t>
            </w:r>
          </w:p>
          <w:p w:rsidR="00A8522E" w:rsidRDefault="008C0AA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Furthermore,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the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manuscript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justified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aligned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with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existing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literature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on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sustainable leadership, teachers learning and headmasters influence of </w:t>
            </w:r>
            <w:proofErr w:type="spellStart"/>
            <w:r>
              <w:rPr>
                <w:color w:val="212121"/>
                <w:sz w:val="24"/>
              </w:rPr>
              <w:t>renowed</w:t>
            </w:r>
            <w:proofErr w:type="spellEnd"/>
            <w:r>
              <w:rPr>
                <w:color w:val="212121"/>
                <w:sz w:val="24"/>
              </w:rPr>
              <w:t xml:space="preserve"> educational </w:t>
            </w:r>
            <w:proofErr w:type="spellStart"/>
            <w:r>
              <w:rPr>
                <w:color w:val="212121"/>
                <w:sz w:val="24"/>
              </w:rPr>
              <w:t>organisations</w:t>
            </w:r>
            <w:proofErr w:type="spellEnd"/>
            <w:r>
              <w:rPr>
                <w:color w:val="212121"/>
                <w:sz w:val="24"/>
              </w:rPr>
              <w:t xml:space="preserve"> such as UNESCO, OECD, and the UN SDG 4, while also promoting the MOE(Malaysia) educational ACTS, existing theories, and models. This makes it a detailed material for the scientific community.</w:t>
            </w:r>
          </w:p>
        </w:tc>
        <w:tc>
          <w:tcPr>
            <w:tcW w:w="6444" w:type="dxa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8522E">
        <w:trPr>
          <w:trHeight w:val="1262"/>
        </w:trPr>
        <w:tc>
          <w:tcPr>
            <w:tcW w:w="5352" w:type="dxa"/>
          </w:tcPr>
          <w:p w:rsidR="00A8522E" w:rsidRDefault="008C0AA5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:rsidR="00A8522E" w:rsidRDefault="008C0AA5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9355" w:type="dxa"/>
          </w:tcPr>
          <w:p w:rsidR="00A8522E" w:rsidRDefault="008C0A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The title "</w:t>
            </w:r>
            <w:r>
              <w:rPr>
                <w:sz w:val="24"/>
              </w:rPr>
              <w:t xml:space="preserve">how headmasters influence teachers’ learning: a survey at </w:t>
            </w:r>
            <w:proofErr w:type="spellStart"/>
            <w:r>
              <w:rPr>
                <w:sz w:val="24"/>
              </w:rPr>
              <w:t>malaysian</w:t>
            </w:r>
            <w:proofErr w:type="spellEnd"/>
            <w:r>
              <w:rPr>
                <w:sz w:val="24"/>
              </w:rPr>
              <w:t xml:space="preserve"> indigenous primary schools</w:t>
            </w:r>
            <w:r>
              <w:rPr>
                <w:color w:val="212121"/>
                <w:sz w:val="24"/>
              </w:rPr>
              <w:t xml:space="preserve">" </w:t>
            </w:r>
            <w:r>
              <w:rPr>
                <w:sz w:val="24"/>
              </w:rPr>
              <w:t xml:space="preserve">is very suitable for the article considering its contents, methodology, and </w:t>
            </w:r>
            <w:r>
              <w:rPr>
                <w:spacing w:val="-2"/>
                <w:sz w:val="24"/>
              </w:rPr>
              <w:t>findings.</w:t>
            </w:r>
          </w:p>
        </w:tc>
        <w:tc>
          <w:tcPr>
            <w:tcW w:w="6444" w:type="dxa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8522E">
        <w:trPr>
          <w:trHeight w:val="3863"/>
        </w:trPr>
        <w:tc>
          <w:tcPr>
            <w:tcW w:w="5352" w:type="dxa"/>
          </w:tcPr>
          <w:p w:rsidR="00A8522E" w:rsidRDefault="008C0AA5">
            <w:pPr>
              <w:pStyle w:val="TableParagraph"/>
              <w:ind w:left="467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Is the abstract of the article comprehensive? Do you suggest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addition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deletion)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 section? Please write your suggestions here.</w:t>
            </w:r>
          </w:p>
        </w:tc>
        <w:tc>
          <w:tcPr>
            <w:tcW w:w="9355" w:type="dxa"/>
          </w:tcPr>
          <w:p w:rsidR="00A8522E" w:rsidRDefault="008C0A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Yes it is, because the abstract highlights a clear overview of the research. However I would suggest for the inclusion of a brief sentence that captures the implication of the research findings to educational policy and practice.</w:t>
            </w:r>
          </w:p>
          <w:p w:rsidR="00A8522E" w:rsidRDefault="008C0AA5">
            <w:pPr>
              <w:pStyle w:val="TableParagraph"/>
              <w:spacing w:before="268"/>
              <w:ind w:right="9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Additionally, </w:t>
            </w:r>
            <w:proofErr w:type="spellStart"/>
            <w:r>
              <w:rPr>
                <w:color w:val="212121"/>
                <w:sz w:val="24"/>
              </w:rPr>
              <w:t>i</w:t>
            </w:r>
            <w:proofErr w:type="spellEnd"/>
            <w:r>
              <w:rPr>
                <w:color w:val="212121"/>
                <w:sz w:val="24"/>
              </w:rPr>
              <w:t xml:space="preserve"> suggest the deletion of the following sub-headings; “purpose, methodology, findings, and significance”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from the abstract. The writing in the abstract should be in flowing sentence that clearly states the coverage area and not highlighted paragraphs.</w:t>
            </w:r>
          </w:p>
          <w:p w:rsidR="00A8522E" w:rsidRDefault="008C0AA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Example;</w:t>
            </w:r>
          </w:p>
          <w:p w:rsidR="00A8522E" w:rsidRDefault="008C0AA5">
            <w:pPr>
              <w:pStyle w:val="TableParagraph"/>
              <w:tabs>
                <w:tab w:val="left" w:leader="dot" w:pos="599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‘The findings indicated that 66.4% of learning organizations….’ Instead of </w:t>
            </w:r>
            <w:r>
              <w:rPr>
                <w:b/>
                <w:sz w:val="24"/>
              </w:rPr>
              <w:t xml:space="preserve">– “Findings </w:t>
            </w:r>
            <w:r>
              <w:rPr>
                <w:sz w:val="24"/>
              </w:rPr>
              <w:t>– The findings indicated that 66.4% of learning organizations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”</w:t>
            </w:r>
          </w:p>
          <w:p w:rsidR="00A8522E" w:rsidRDefault="008C0AA5">
            <w:pPr>
              <w:pStyle w:val="TableParagraph"/>
              <w:tabs>
                <w:tab w:val="left" w:leader="dot" w:pos="5652"/>
              </w:tabs>
              <w:spacing w:before="274"/>
              <w:jc w:val="both"/>
              <w:rPr>
                <w:sz w:val="24"/>
              </w:rPr>
            </w:pPr>
            <w:r>
              <w:rPr>
                <w:sz w:val="24"/>
              </w:rPr>
              <w:t>‘The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employed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survey-</w:t>
            </w:r>
            <w:r>
              <w:rPr>
                <w:spacing w:val="-2"/>
                <w:sz w:val="24"/>
              </w:rPr>
              <w:t>based</w:t>
            </w:r>
            <w:r>
              <w:rPr>
                <w:sz w:val="24"/>
              </w:rPr>
              <w:tab/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A8522E" w:rsidRDefault="008C0AA5">
            <w:pPr>
              <w:pStyle w:val="TableParagraph"/>
              <w:tabs>
                <w:tab w:val="left" w:leader="dot" w:pos="180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survey-based……’ Instead of – “</w:t>
            </w:r>
            <w:r>
              <w:rPr>
                <w:b/>
                <w:sz w:val="24"/>
              </w:rPr>
              <w:t xml:space="preserve">Methodology </w:t>
            </w:r>
            <w:r>
              <w:rPr>
                <w:sz w:val="24"/>
              </w:rPr>
              <w:t>– A survey-based quantitative research design was utilized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”</w:t>
            </w:r>
          </w:p>
        </w:tc>
        <w:tc>
          <w:tcPr>
            <w:tcW w:w="6444" w:type="dxa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8522E">
        <w:trPr>
          <w:trHeight w:val="1103"/>
        </w:trPr>
        <w:tc>
          <w:tcPr>
            <w:tcW w:w="5352" w:type="dxa"/>
          </w:tcPr>
          <w:p w:rsidR="00A8522E" w:rsidRDefault="008C0AA5">
            <w:pPr>
              <w:pStyle w:val="TableParagraph"/>
              <w:ind w:left="467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correct?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write </w:t>
            </w:r>
            <w:r>
              <w:rPr>
                <w:b/>
                <w:spacing w:val="-2"/>
                <w:sz w:val="20"/>
              </w:rPr>
              <w:t>here.</w:t>
            </w:r>
          </w:p>
        </w:tc>
        <w:tc>
          <w:tcPr>
            <w:tcW w:w="9355" w:type="dxa"/>
          </w:tcPr>
          <w:p w:rsidR="00A8522E" w:rsidRDefault="008C0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From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my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analysis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the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manuscript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is scientifically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correct, </w:t>
            </w:r>
            <w:r>
              <w:rPr>
                <w:color w:val="212121"/>
                <w:spacing w:val="-2"/>
                <w:sz w:val="24"/>
              </w:rPr>
              <w:t>because;</w:t>
            </w:r>
          </w:p>
          <w:p w:rsidR="00A8522E" w:rsidRDefault="008C0AA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97"/>
              <w:rPr>
                <w:sz w:val="24"/>
              </w:rPr>
            </w:pPr>
            <w:r>
              <w:rPr>
                <w:color w:val="212121"/>
                <w:sz w:val="24"/>
              </w:rPr>
              <w:t>It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presents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clear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relatable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background,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literature,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methodology,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data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analysis, discussion, and conclusion.</w:t>
            </w:r>
          </w:p>
          <w:p w:rsidR="00A8522E" w:rsidRDefault="008C0AA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64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The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manuscript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embraced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relevant</w:t>
            </w:r>
            <w:r>
              <w:rPr>
                <w:color w:val="212121"/>
                <w:spacing w:val="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local</w:t>
            </w:r>
            <w:r>
              <w:rPr>
                <w:color w:val="212121"/>
                <w:spacing w:val="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international</w:t>
            </w:r>
            <w:r>
              <w:rPr>
                <w:color w:val="212121"/>
                <w:spacing w:val="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literature,</w:t>
            </w:r>
            <w:r>
              <w:rPr>
                <w:color w:val="212121"/>
                <w:spacing w:val="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utilized</w:t>
            </w:r>
            <w:r>
              <w:rPr>
                <w:color w:val="212121"/>
                <w:spacing w:val="19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scientific</w:t>
            </w:r>
          </w:p>
        </w:tc>
        <w:tc>
          <w:tcPr>
            <w:tcW w:w="6444" w:type="dxa"/>
          </w:tcPr>
          <w:p w:rsidR="00A8522E" w:rsidRDefault="00A8522E">
            <w:pPr>
              <w:pStyle w:val="TableParagraph"/>
              <w:ind w:left="0"/>
            </w:pPr>
          </w:p>
        </w:tc>
      </w:tr>
    </w:tbl>
    <w:p w:rsidR="00A8522E" w:rsidRDefault="00A8522E">
      <w:pPr>
        <w:pStyle w:val="TableParagraph"/>
        <w:sectPr w:rsidR="00A8522E">
          <w:pgSz w:w="23820" w:h="16840" w:orient="landscape"/>
          <w:pgMar w:top="2040" w:right="1275" w:bottom="900" w:left="1275" w:header="1833" w:footer="702" w:gutter="0"/>
          <w:cols w:space="720"/>
        </w:sectPr>
      </w:pPr>
    </w:p>
    <w:p w:rsidR="00A8522E" w:rsidRDefault="00A8522E">
      <w:pPr>
        <w:spacing w:before="56" w:after="1"/>
        <w:rPr>
          <w:b/>
          <w:sz w:val="20"/>
        </w:rPr>
      </w:pP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"/>
        <w:gridCol w:w="5352"/>
        <w:gridCol w:w="1313"/>
        <w:gridCol w:w="7165"/>
        <w:gridCol w:w="877"/>
        <w:gridCol w:w="6275"/>
        <w:gridCol w:w="169"/>
      </w:tblGrid>
      <w:tr w:rsidR="00A8522E" w:rsidTr="00AD05AE">
        <w:trPr>
          <w:gridBefore w:val="1"/>
          <w:wBefore w:w="165" w:type="dxa"/>
          <w:trHeight w:val="2759"/>
        </w:trPr>
        <w:tc>
          <w:tcPr>
            <w:tcW w:w="5352" w:type="dxa"/>
          </w:tcPr>
          <w:p w:rsidR="00A8522E" w:rsidRDefault="00A8522E">
            <w:pPr>
              <w:pStyle w:val="TableParagraph"/>
              <w:ind w:left="0"/>
            </w:pPr>
          </w:p>
        </w:tc>
        <w:tc>
          <w:tcPr>
            <w:tcW w:w="9355" w:type="dxa"/>
            <w:gridSpan w:val="3"/>
          </w:tcPr>
          <w:p w:rsidR="00A8522E" w:rsidRDefault="008C0AA5">
            <w:pPr>
              <w:pStyle w:val="TableParagraph"/>
              <w:ind w:left="827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models, and highlighted evidence-based practices that enhances and blends leadership and learning impact.</w:t>
            </w:r>
          </w:p>
          <w:p w:rsidR="00A8522E" w:rsidRDefault="008C0AA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9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The manuscript further highlights practical recommendations, insightful conclusion, and thorough expression of the research limitation to guide interested researchers towards future improvement.</w:t>
            </w:r>
          </w:p>
          <w:p w:rsidR="00A8522E" w:rsidRDefault="008C0AA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70" w:lineRule="atLeast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Futhermore</w:t>
            </w:r>
            <w:proofErr w:type="spellEnd"/>
            <w:r>
              <w:rPr>
                <w:color w:val="212121"/>
                <w:sz w:val="24"/>
              </w:rPr>
              <w:t xml:space="preserve">, the study's writings and findings </w:t>
            </w:r>
            <w:proofErr w:type="gramStart"/>
            <w:r>
              <w:rPr>
                <w:color w:val="212121"/>
                <w:sz w:val="24"/>
              </w:rPr>
              <w:t>validates</w:t>
            </w:r>
            <w:proofErr w:type="gramEnd"/>
            <w:r>
              <w:rPr>
                <w:color w:val="212121"/>
                <w:sz w:val="24"/>
              </w:rPr>
              <w:t xml:space="preserve"> the literature of renowned models, and scholars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such as; </w:t>
            </w:r>
            <w:proofErr w:type="spellStart"/>
            <w:r>
              <w:rPr>
                <w:sz w:val="24"/>
              </w:rPr>
              <w:t>watkins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marsick</w:t>
            </w:r>
            <w:proofErr w:type="spellEnd"/>
            <w:r>
              <w:rPr>
                <w:sz w:val="24"/>
              </w:rPr>
              <w:t xml:space="preserve"> (1999)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 xml:space="preserve">Fullan (2005), Hargreaves &amp; Fink, (2006) including literature on sustainability leadership. The research also blends with </w:t>
            </w:r>
            <w:r>
              <w:rPr>
                <w:color w:val="212121"/>
                <w:sz w:val="24"/>
              </w:rPr>
              <w:t>existing literature in the field of learning organizational practices and sustainable leadership practices.</w:t>
            </w:r>
          </w:p>
        </w:tc>
        <w:tc>
          <w:tcPr>
            <w:tcW w:w="6444" w:type="dxa"/>
            <w:gridSpan w:val="2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8522E" w:rsidTr="00AD05AE">
        <w:trPr>
          <w:gridBefore w:val="1"/>
          <w:wBefore w:w="165" w:type="dxa"/>
          <w:trHeight w:val="918"/>
        </w:trPr>
        <w:tc>
          <w:tcPr>
            <w:tcW w:w="5352" w:type="dxa"/>
            <w:tcBorders>
              <w:bottom w:val="nil"/>
            </w:tcBorders>
          </w:tcPr>
          <w:p w:rsidR="00A8522E" w:rsidRDefault="008C0AA5">
            <w:pPr>
              <w:pStyle w:val="TableParagraph"/>
              <w:ind w:left="467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recent?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have suggestions of additional references, please mention them in the review form.</w:t>
            </w:r>
          </w:p>
          <w:p w:rsidR="00A8522E" w:rsidRDefault="008C0AA5">
            <w:pPr>
              <w:pStyle w:val="TableParagraph"/>
              <w:spacing w:line="210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355" w:type="dxa"/>
            <w:gridSpan w:val="3"/>
          </w:tcPr>
          <w:p w:rsidR="00A8522E" w:rsidRDefault="008C0AA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The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references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in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this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manuscript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are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recent,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it</w:t>
            </w:r>
            <w:r>
              <w:rPr>
                <w:color w:val="212121"/>
                <w:spacing w:val="2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consist</w:t>
            </w:r>
            <w:r>
              <w:rPr>
                <w:color w:val="212121"/>
                <w:spacing w:val="2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of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balanced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blend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of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local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 international literature which makes it sufficient.</w:t>
            </w:r>
          </w:p>
        </w:tc>
        <w:tc>
          <w:tcPr>
            <w:tcW w:w="6444" w:type="dxa"/>
            <w:gridSpan w:val="2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8522E" w:rsidTr="00AD05AE">
        <w:trPr>
          <w:gridBefore w:val="1"/>
          <w:wBefore w:w="165" w:type="dxa"/>
          <w:trHeight w:val="1012"/>
        </w:trPr>
        <w:tc>
          <w:tcPr>
            <w:tcW w:w="5352" w:type="dxa"/>
            <w:tcBorders>
              <w:top w:val="nil"/>
            </w:tcBorders>
          </w:tcPr>
          <w:p w:rsidR="00A8522E" w:rsidRDefault="008C0AA5">
            <w:pPr>
              <w:pStyle w:val="TableParagraph"/>
              <w:spacing w:before="228"/>
              <w:ind w:left="467" w:right="1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language/English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suitable for scholarly communications?</w:t>
            </w:r>
          </w:p>
        </w:tc>
        <w:tc>
          <w:tcPr>
            <w:tcW w:w="9355" w:type="dxa"/>
            <w:gridSpan w:val="3"/>
          </w:tcPr>
          <w:p w:rsidR="00A8522E" w:rsidRDefault="008C0AA5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concise,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structured,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 suitable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scholarly </w:t>
            </w:r>
            <w:r>
              <w:rPr>
                <w:spacing w:val="-2"/>
                <w:sz w:val="24"/>
              </w:rPr>
              <w:t>communication.</w:t>
            </w:r>
          </w:p>
        </w:tc>
        <w:tc>
          <w:tcPr>
            <w:tcW w:w="6444" w:type="dxa"/>
            <w:gridSpan w:val="2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8522E" w:rsidTr="00AD05AE">
        <w:trPr>
          <w:gridBefore w:val="1"/>
          <w:wBefore w:w="165" w:type="dxa"/>
          <w:trHeight w:val="2437"/>
        </w:trPr>
        <w:tc>
          <w:tcPr>
            <w:tcW w:w="5352" w:type="dxa"/>
          </w:tcPr>
          <w:p w:rsidR="00A8522E" w:rsidRDefault="008C0AA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Optional/General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comments</w:t>
            </w:r>
          </w:p>
        </w:tc>
        <w:tc>
          <w:tcPr>
            <w:tcW w:w="9355" w:type="dxa"/>
            <w:gridSpan w:val="3"/>
          </w:tcPr>
          <w:p w:rsidR="00A8522E" w:rsidRDefault="008C0AA5">
            <w:pPr>
              <w:pStyle w:val="TableParagraph"/>
              <w:spacing w:before="22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I would suggest that, In the first paragraph of the abstract, the fifth line: the word “aimed” should be rephrased to either “investigated, examined, assessed” for proper grammatical flow in the manuscript.</w:t>
            </w:r>
          </w:p>
          <w:p w:rsidR="00A8522E" w:rsidRDefault="008C0AA5">
            <w:pPr>
              <w:pStyle w:val="TableParagraph"/>
              <w:spacing w:before="264"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Overall, the manuscript provides an invaluable literature on </w:t>
            </w:r>
            <w:r>
              <w:rPr>
                <w:color w:val="212121"/>
                <w:sz w:val="24"/>
              </w:rPr>
              <w:t>"</w:t>
            </w:r>
            <w:r>
              <w:rPr>
                <w:sz w:val="24"/>
              </w:rPr>
              <w:t xml:space="preserve">how headmasters influence teachers’ learning: a survey at </w:t>
            </w:r>
            <w:proofErr w:type="spellStart"/>
            <w:r>
              <w:rPr>
                <w:sz w:val="24"/>
              </w:rPr>
              <w:t>malaysian</w:t>
            </w:r>
            <w:proofErr w:type="spellEnd"/>
            <w:r>
              <w:rPr>
                <w:sz w:val="24"/>
              </w:rPr>
              <w:t xml:space="preserve"> indigenous primary schools</w:t>
            </w:r>
            <w:r>
              <w:rPr>
                <w:color w:val="212121"/>
                <w:sz w:val="24"/>
              </w:rPr>
              <w:t xml:space="preserve">" with relatable discussions to </w:t>
            </w:r>
            <w:r>
              <w:rPr>
                <w:sz w:val="24"/>
              </w:rPr>
              <w:t>sustainable leadership 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organization practices. This is very informative and adaptable to educational stakeholders and researchers.</w:t>
            </w:r>
          </w:p>
        </w:tc>
        <w:tc>
          <w:tcPr>
            <w:tcW w:w="6444" w:type="dxa"/>
            <w:gridSpan w:val="2"/>
          </w:tcPr>
          <w:p w:rsidR="00A8522E" w:rsidRDefault="00A8522E">
            <w:pPr>
              <w:pStyle w:val="TableParagraph"/>
              <w:ind w:left="0"/>
            </w:pPr>
          </w:p>
        </w:tc>
      </w:tr>
      <w:tr w:rsidR="00AD05AE" w:rsidRPr="00AD05AE" w:rsidTr="00AD0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BFFFF"/>
          <w:tblLayout w:type="fixed"/>
          <w:tblLook w:val="0000" w:firstRow="0" w:lastRow="0" w:firstColumn="0" w:lastColumn="0" w:noHBand="0" w:noVBand="0"/>
        </w:tblPrEx>
        <w:trPr>
          <w:gridAfter w:val="1"/>
          <w:wAfter w:w="169" w:type="dxa"/>
        </w:trPr>
        <w:tc>
          <w:tcPr>
            <w:tcW w:w="21147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D05A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D05A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D05AE" w:rsidRPr="00AD05AE" w:rsidTr="00AD0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BFFFF"/>
          <w:tblLayout w:type="fixed"/>
          <w:tblLook w:val="0000" w:firstRow="0" w:lastRow="0" w:firstColumn="0" w:lastColumn="0" w:noHBand="0" w:noVBand="0"/>
        </w:tblPrEx>
        <w:trPr>
          <w:gridAfter w:val="1"/>
          <w:wAfter w:w="169" w:type="dxa"/>
        </w:trPr>
        <w:tc>
          <w:tcPr>
            <w:tcW w:w="6830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5AE" w:rsidRPr="00AD05AE" w:rsidRDefault="00AD05AE" w:rsidP="00AD05AE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D05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7152" w:type="dxa"/>
            <w:gridSpan w:val="2"/>
            <w:shd w:val="clear" w:color="auto" w:fill="auto"/>
          </w:tcPr>
          <w:p w:rsidR="00AD05AE" w:rsidRPr="00AD05AE" w:rsidRDefault="00AD05AE" w:rsidP="00AD05AE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D05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D05A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D05AE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D05AE" w:rsidRPr="00AD05AE" w:rsidTr="00AD0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BFFFF"/>
          <w:tblLayout w:type="fixed"/>
          <w:tblLook w:val="0000" w:firstRow="0" w:lastRow="0" w:firstColumn="0" w:lastColumn="0" w:noHBand="0" w:noVBand="0"/>
        </w:tblPrEx>
        <w:trPr>
          <w:gridAfter w:val="1"/>
          <w:wAfter w:w="169" w:type="dxa"/>
          <w:trHeight w:val="890"/>
        </w:trPr>
        <w:tc>
          <w:tcPr>
            <w:tcW w:w="6830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D05A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D05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52" w:type="dxa"/>
            <w:gridSpan w:val="2"/>
            <w:shd w:val="clear" w:color="auto" w:fill="auto"/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AD05AE" w:rsidRPr="00AD05AE" w:rsidRDefault="00AD05AE" w:rsidP="00AD05AE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:rsidR="00AD05AE" w:rsidRPr="00AD05AE" w:rsidRDefault="00AD05AE" w:rsidP="00AD05AE">
      <w:pPr>
        <w:widowControl/>
        <w:autoSpaceDE/>
        <w:autoSpaceDN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5"/>
        <w:gridCol w:w="15431"/>
      </w:tblGrid>
      <w:tr w:rsidR="00AD05AE" w:rsidRPr="00AD05AE" w:rsidTr="007F2C2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bCs/>
                <w:sz w:val="24"/>
                <w:szCs w:val="24"/>
                <w:u w:val="single"/>
                <w:lang w:val="en-GB"/>
              </w:rPr>
            </w:pPr>
          </w:p>
          <w:p w:rsidR="00AD05AE" w:rsidRPr="00AD05AE" w:rsidRDefault="00AD05AE" w:rsidP="00AD05AE">
            <w:pPr>
              <w:widowControl/>
              <w:autoSpaceDE/>
              <w:autoSpaceDN/>
              <w:rPr>
                <w:b/>
                <w:sz w:val="24"/>
                <w:szCs w:val="24"/>
                <w:u w:val="single"/>
                <w:lang w:val="en-GB"/>
              </w:rPr>
            </w:pPr>
            <w:r w:rsidRPr="00AD05AE">
              <w:rPr>
                <w:b/>
                <w:sz w:val="24"/>
                <w:szCs w:val="24"/>
                <w:u w:val="single"/>
                <w:lang w:val="en-GB"/>
              </w:rPr>
              <w:t>Reviewer Details:</w:t>
            </w:r>
          </w:p>
          <w:p w:rsidR="00AD05AE" w:rsidRPr="00AD05AE" w:rsidRDefault="00AD05AE" w:rsidP="00AD05AE">
            <w:pPr>
              <w:widowControl/>
              <w:autoSpaceDE/>
              <w:autoSpaceDN/>
              <w:rPr>
                <w:bCs/>
                <w:sz w:val="24"/>
                <w:szCs w:val="24"/>
                <w:u w:val="single"/>
                <w:lang w:val="en-GB"/>
              </w:rPr>
            </w:pPr>
          </w:p>
        </w:tc>
      </w:tr>
      <w:tr w:rsidR="00AD05AE" w:rsidRPr="00AD05AE" w:rsidTr="007F2C28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sz w:val="24"/>
                <w:szCs w:val="24"/>
                <w:lang w:val="en-GB"/>
              </w:rPr>
            </w:pPr>
            <w:r w:rsidRPr="00AD05AE">
              <w:rPr>
                <w:sz w:val="24"/>
                <w:szCs w:val="24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AD05AE">
              <w:rPr>
                <w:b/>
                <w:bCs/>
                <w:sz w:val="24"/>
                <w:szCs w:val="24"/>
              </w:rPr>
              <w:t>Anonymous reviewer (Only for this stage as per Review policy)</w:t>
            </w:r>
          </w:p>
        </w:tc>
      </w:tr>
      <w:tr w:rsidR="00AD05AE" w:rsidRPr="00AD05AE" w:rsidTr="007F2C28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sz w:val="24"/>
                <w:szCs w:val="24"/>
                <w:lang w:val="en-GB"/>
              </w:rPr>
            </w:pPr>
            <w:r w:rsidRPr="00AD05AE">
              <w:rPr>
                <w:sz w:val="24"/>
                <w:szCs w:val="24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5AE" w:rsidRPr="00AD05AE" w:rsidRDefault="00AD05AE" w:rsidP="00AD05A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bookmarkEnd w:id="1"/>
    </w:tbl>
    <w:p w:rsidR="00AD05AE" w:rsidRPr="00AD05AE" w:rsidRDefault="00AD05AE" w:rsidP="00AD05AE">
      <w:pPr>
        <w:widowControl/>
        <w:autoSpaceDE/>
        <w:autoSpaceDN/>
        <w:rPr>
          <w:sz w:val="24"/>
          <w:szCs w:val="24"/>
        </w:rPr>
      </w:pPr>
    </w:p>
    <w:p w:rsidR="00A8522E" w:rsidRDefault="00A8522E" w:rsidP="00AD05AE">
      <w:bookmarkStart w:id="2" w:name="_GoBack"/>
      <w:bookmarkEnd w:id="2"/>
    </w:p>
    <w:sectPr w:rsidR="00A8522E">
      <w:pgSz w:w="23820" w:h="16840" w:orient="landscape"/>
      <w:pgMar w:top="2040" w:right="1275" w:bottom="900" w:left="1275" w:header="1833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DE2" w:rsidRDefault="00850DE2">
      <w:r>
        <w:separator/>
      </w:r>
    </w:p>
  </w:endnote>
  <w:endnote w:type="continuationSeparator" w:id="0">
    <w:p w:rsidR="00850DE2" w:rsidRDefault="0085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22E" w:rsidRDefault="008C0AA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10107116</wp:posOffset>
              </wp:positionV>
              <wp:extent cx="6629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522E" w:rsidRDefault="008C0AA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5.85pt;width:52.2pt;height:10.95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" filled="f" stroked="f">
              <v:textbox inset="0,0,0,0">
                <w:txbxContent>
                  <w:p w:rsidR="00A8522E" w:rsidRDefault="008C0AA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0448" behindDoc="1" locked="0" layoutInCell="1" allowOverlap="1">
              <wp:simplePos x="0" y="0"/>
              <wp:positionH relativeFrom="page">
                <wp:posOffset>2615046</wp:posOffset>
              </wp:positionH>
              <wp:positionV relativeFrom="page">
                <wp:posOffset>10107116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522E" w:rsidRDefault="008C0AA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05.9pt;margin-top:795.85pt;width:55.7pt;height:10.9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" filled="f" stroked="f">
              <v:textbox inset="0,0,0,0">
                <w:txbxContent>
                  <w:p w:rsidR="00A8522E" w:rsidRDefault="008C0AA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0960" behindDoc="1" locked="0" layoutInCell="1" allowOverlap="1">
              <wp:simplePos x="0" y="0"/>
              <wp:positionH relativeFrom="page">
                <wp:posOffset>4441553</wp:posOffset>
              </wp:positionH>
              <wp:positionV relativeFrom="page">
                <wp:posOffset>10107116</wp:posOffset>
              </wp:positionV>
              <wp:extent cx="85979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97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522E" w:rsidRDefault="008C0AA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349.75pt;margin-top:795.85pt;width:67.7pt;height:10.9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" filled="f" stroked="f">
              <v:textbox inset="0,0,0,0">
                <w:txbxContent>
                  <w:p w:rsidR="00A8522E" w:rsidRDefault="008C0AA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1472" behindDoc="1" locked="0" layoutInCell="1" allowOverlap="1">
              <wp:simplePos x="0" y="0"/>
              <wp:positionH relativeFrom="page">
                <wp:posOffset>6844847</wp:posOffset>
              </wp:positionH>
              <wp:positionV relativeFrom="page">
                <wp:posOffset>10107116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522E" w:rsidRDefault="008C0AA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538.95pt;margin-top:795.85pt;width:80.45pt;height:10.9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" filled="f" stroked="f">
              <v:textbox inset="0,0,0,0">
                <w:txbxContent>
                  <w:p w:rsidR="00A8522E" w:rsidRDefault="008C0AA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DE2" w:rsidRDefault="00850DE2">
      <w:r>
        <w:separator/>
      </w:r>
    </w:p>
  </w:footnote>
  <w:footnote w:type="continuationSeparator" w:id="0">
    <w:p w:rsidR="00850DE2" w:rsidRDefault="00850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22E" w:rsidRDefault="008C0AA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94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1151433</wp:posOffset>
              </wp:positionV>
              <wp:extent cx="921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1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522E" w:rsidRDefault="008C0AA5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8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65pt;width:72.55pt;height:13.1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" filled="f" stroked="f">
              <v:textbox inset="0,0,0,0">
                <w:txbxContent>
                  <w:p w:rsidR="00A8522E" w:rsidRDefault="008C0AA5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8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11B"/>
    <w:multiLevelType w:val="hybridMultilevel"/>
    <w:tmpl w:val="BBFE832C"/>
    <w:lvl w:ilvl="0" w:tplc="D4F202A4">
      <w:start w:val="3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A676861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EA8CDE0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84927F1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89A642F6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4A1A1504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B4769B12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A4282D46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5B148D2E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2816AC7"/>
    <w:multiLevelType w:val="hybridMultilevel"/>
    <w:tmpl w:val="3B1278F2"/>
    <w:lvl w:ilvl="0" w:tplc="82BAA89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B5FE5C8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89D8CCB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5116282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7418316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47F01CD6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B0567FF0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851624E4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916C4FC6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753D17"/>
    <w:multiLevelType w:val="hybridMultilevel"/>
    <w:tmpl w:val="A32EB868"/>
    <w:lvl w:ilvl="0" w:tplc="F888276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B728EDF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EE2B3B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0BDE85A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47887FA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57720A3E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61580112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8588220A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366421A2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522E"/>
    <w:rsid w:val="00850DE2"/>
    <w:rsid w:val="008C0AA5"/>
    <w:rsid w:val="00A8522E"/>
    <w:rsid w:val="00AD05AE"/>
    <w:rsid w:val="00DE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197561-697C-4AE8-8FCC-37F84B80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3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Rev_BPR_4510</dc:title>
  <dc:creator>Harmony Mark-Ewa</dc:creator>
  <cp:lastModifiedBy>SDI 1134</cp:lastModifiedBy>
  <cp:revision>3</cp:revision>
  <dcterms:created xsi:type="dcterms:W3CDTF">2025-02-08T11:39:00Z</dcterms:created>
  <dcterms:modified xsi:type="dcterms:W3CDTF">2025-02-08T12:47:00Z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2025-02-08T00:00:00Z</vt:filetime>
  </property>
  <property fmtid="{D5CDD505-2E9C-101B-9397-08002B2CF9AE}" pid="4" name="Producer">
    <vt:lpwstr>Microsoft: Print To PDF</vt:lpwstr>
  </property>
</Properties>
</file>