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83D2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83D2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83D2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83D2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83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098FC73" w:rsidR="0000007A" w:rsidRPr="00883D27" w:rsidRDefault="00EC35E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83D2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883D2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83D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5790F6E" w:rsidR="0000007A" w:rsidRPr="00883D2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F138F"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6398</w:t>
            </w:r>
          </w:p>
        </w:tc>
      </w:tr>
      <w:tr w:rsidR="0000007A" w:rsidRPr="00883D2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83D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823761A" w:rsidR="0000007A" w:rsidRPr="00883D27" w:rsidRDefault="00D319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83D27">
              <w:rPr>
                <w:rFonts w:ascii="Arial" w:hAnsi="Arial" w:cs="Arial"/>
                <w:b/>
                <w:sz w:val="20"/>
                <w:szCs w:val="20"/>
                <w:lang w:val="en-GB"/>
              </w:rPr>
              <w:t>Potential Honey Prebiotics in Balancing Oral Microbiome: Perspective New in Prevention Periodontitis for Prevention Focus Infection</w:t>
            </w:r>
          </w:p>
        </w:tc>
      </w:tr>
      <w:tr w:rsidR="00CF0BBB" w:rsidRPr="00883D2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83D2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BFFF448" w:rsidR="00CF0BBB" w:rsidRPr="00883D27" w:rsidRDefault="001F13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83D2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83D2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83D2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3D2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83D2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83D2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3D2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83D2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83D2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83D27">
              <w:rPr>
                <w:rFonts w:ascii="Arial" w:hAnsi="Arial" w:cs="Arial"/>
                <w:lang w:val="en-GB"/>
              </w:rPr>
              <w:t>Author’s Feedback</w:t>
            </w:r>
            <w:r w:rsidRPr="00883D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83D2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83D2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83D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83D2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32EBB3C" w:rsidR="00F1171E" w:rsidRPr="00883D27" w:rsidRDefault="000A084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highlights the promising role of honey-derived prebiotics in modulating the oral microbiome, an emerging field that has not been fully explored in periodontitis prevention. By focusing on natural bioactive compounds, it introduces a novel and safer strategy to restore microbial balance and reduce the risk of periodontal disease.</w:t>
            </w:r>
          </w:p>
        </w:tc>
        <w:tc>
          <w:tcPr>
            <w:tcW w:w="1523" w:type="pct"/>
          </w:tcPr>
          <w:p w14:paraId="462A339C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3D2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83D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83D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7510D52" w:rsidR="00F1171E" w:rsidRPr="00883D27" w:rsidRDefault="003A583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3D2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83D2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83D2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CA951FD" w:rsidR="00F1171E" w:rsidRPr="00883D27" w:rsidRDefault="003A583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0A0843" w:rsidRPr="00883D27">
              <w:rPr>
                <w:rFonts w:ascii="Arial" w:hAnsi="Arial" w:cs="Arial"/>
                <w:sz w:val="20"/>
                <w:szCs w:val="20"/>
                <w:lang w:val="en-GB"/>
              </w:rPr>
              <w:t>abstract of the article is comprehensive enough</w:t>
            </w:r>
          </w:p>
        </w:tc>
        <w:tc>
          <w:tcPr>
            <w:tcW w:w="1523" w:type="pct"/>
          </w:tcPr>
          <w:p w14:paraId="1D54B730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3D2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83D2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239F1C2" w:rsidR="00F1171E" w:rsidRPr="00883D27" w:rsidRDefault="003A583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3D2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83D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83D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167EFEE" w:rsidR="00F1171E" w:rsidRPr="00883D27" w:rsidRDefault="000A084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Few</w:t>
            </w:r>
            <w:proofErr w:type="gramStart"/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..</w:t>
            </w:r>
            <w:proofErr w:type="gramEnd"/>
            <w:r w:rsidRPr="00883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more</w:t>
            </w:r>
          </w:p>
        </w:tc>
        <w:tc>
          <w:tcPr>
            <w:tcW w:w="1523" w:type="pct"/>
          </w:tcPr>
          <w:p w14:paraId="40220055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3D2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83D2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83D2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0680B98F" w:rsidR="00F1171E" w:rsidRPr="00883D27" w:rsidRDefault="000A084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sz w:val="20"/>
                <w:szCs w:val="20"/>
                <w:lang w:val="en-GB"/>
              </w:rPr>
              <w:t>Its ok</w:t>
            </w:r>
          </w:p>
          <w:p w14:paraId="149A6CEF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83D2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83D2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83D2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83D2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83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83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83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83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83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83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883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83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83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83D2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83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83D2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83D2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83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83D27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83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3D2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83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83D27">
              <w:rPr>
                <w:rFonts w:ascii="Arial" w:hAnsi="Arial" w:cs="Arial"/>
                <w:lang w:val="en-GB"/>
              </w:rPr>
              <w:t>Author’s comment</w:t>
            </w:r>
            <w:r w:rsidRPr="00883D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83D2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83D27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83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D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83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4078BD15" w:rsidR="00F1171E" w:rsidRPr="00883D27" w:rsidRDefault="000A0843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83D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yes</w:t>
            </w:r>
          </w:p>
          <w:p w14:paraId="3F0D46E3" w14:textId="77777777" w:rsidR="00F1171E" w:rsidRPr="00883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83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883D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83D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83D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83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00C5214" w14:textId="77777777" w:rsidR="00883D27" w:rsidRPr="00F10B49" w:rsidRDefault="00883D27" w:rsidP="00883D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0B49">
        <w:rPr>
          <w:rFonts w:ascii="Arial" w:hAnsi="Arial" w:cs="Arial"/>
          <w:b/>
          <w:u w:val="single"/>
        </w:rPr>
        <w:t>Reviewer details:</w:t>
      </w:r>
    </w:p>
    <w:p w14:paraId="13B58E94" w14:textId="77777777" w:rsidR="00883D27" w:rsidRPr="00F10B49" w:rsidRDefault="00883D27" w:rsidP="00883D2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F10B49">
        <w:rPr>
          <w:rFonts w:ascii="Arial" w:hAnsi="Arial" w:cs="Arial"/>
          <w:b/>
          <w:color w:val="000000"/>
        </w:rPr>
        <w:t>Faehaa</w:t>
      </w:r>
      <w:proofErr w:type="spellEnd"/>
      <w:r w:rsidRPr="00F10B49">
        <w:rPr>
          <w:rFonts w:ascii="Arial" w:hAnsi="Arial" w:cs="Arial"/>
          <w:b/>
          <w:color w:val="000000"/>
        </w:rPr>
        <w:t xml:space="preserve"> Azher Al-Mashhadane, Iraq</w:t>
      </w:r>
    </w:p>
    <w:p w14:paraId="1D4CF900" w14:textId="77777777" w:rsidR="00883D27" w:rsidRPr="00883D27" w:rsidRDefault="00883D27">
      <w:pPr>
        <w:rPr>
          <w:rFonts w:ascii="Arial" w:hAnsi="Arial" w:cs="Arial"/>
          <w:b/>
          <w:sz w:val="20"/>
          <w:szCs w:val="20"/>
        </w:rPr>
      </w:pPr>
    </w:p>
    <w:sectPr w:rsidR="00883D27" w:rsidRPr="00883D2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899B" w14:textId="77777777" w:rsidR="00F20ED7" w:rsidRPr="0000007A" w:rsidRDefault="00F20ED7" w:rsidP="0099583E">
      <w:r>
        <w:separator/>
      </w:r>
    </w:p>
  </w:endnote>
  <w:endnote w:type="continuationSeparator" w:id="0">
    <w:p w14:paraId="7565057B" w14:textId="77777777" w:rsidR="00F20ED7" w:rsidRPr="0000007A" w:rsidRDefault="00F20ED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01D2" w14:textId="77777777" w:rsidR="00F20ED7" w:rsidRPr="0000007A" w:rsidRDefault="00F20ED7" w:rsidP="0099583E">
      <w:r>
        <w:separator/>
      </w:r>
    </w:p>
  </w:footnote>
  <w:footnote w:type="continuationSeparator" w:id="0">
    <w:p w14:paraId="3DD71753" w14:textId="77777777" w:rsidR="00F20ED7" w:rsidRPr="0000007A" w:rsidRDefault="00F20ED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1042810">
    <w:abstractNumId w:val="3"/>
  </w:num>
  <w:num w:numId="2" w16cid:durableId="955913386">
    <w:abstractNumId w:val="6"/>
  </w:num>
  <w:num w:numId="3" w16cid:durableId="1777947629">
    <w:abstractNumId w:val="5"/>
  </w:num>
  <w:num w:numId="4" w16cid:durableId="2047869308">
    <w:abstractNumId w:val="7"/>
  </w:num>
  <w:num w:numId="5" w16cid:durableId="683096752">
    <w:abstractNumId w:val="4"/>
  </w:num>
  <w:num w:numId="6" w16cid:durableId="1799953122">
    <w:abstractNumId w:val="0"/>
  </w:num>
  <w:num w:numId="7" w16cid:durableId="954213846">
    <w:abstractNumId w:val="1"/>
  </w:num>
  <w:num w:numId="8" w16cid:durableId="1105610509">
    <w:abstractNumId w:val="9"/>
  </w:num>
  <w:num w:numId="9" w16cid:durableId="1462771181">
    <w:abstractNumId w:val="8"/>
  </w:num>
  <w:num w:numId="10" w16cid:durableId="181325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40DB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0843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138F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4D02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5832"/>
    <w:rsid w:val="003A6E1A"/>
    <w:rsid w:val="003B1D0B"/>
    <w:rsid w:val="003B2172"/>
    <w:rsid w:val="003D1BDE"/>
    <w:rsid w:val="003E0265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38EF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4A45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3D27"/>
    <w:rsid w:val="00886B25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601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6E7E"/>
    <w:rsid w:val="00C635B6"/>
    <w:rsid w:val="00C70DFC"/>
    <w:rsid w:val="00C82466"/>
    <w:rsid w:val="00C837A3"/>
    <w:rsid w:val="00C84097"/>
    <w:rsid w:val="00CA4B20"/>
    <w:rsid w:val="00CA7853"/>
    <w:rsid w:val="00CB429B"/>
    <w:rsid w:val="00CC2753"/>
    <w:rsid w:val="00CD093E"/>
    <w:rsid w:val="00CD1556"/>
    <w:rsid w:val="00CD1FD7"/>
    <w:rsid w:val="00CD4382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1914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4EE3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35E9"/>
    <w:rsid w:val="00EC6894"/>
    <w:rsid w:val="00ED6B12"/>
    <w:rsid w:val="00ED7400"/>
    <w:rsid w:val="00EF326D"/>
    <w:rsid w:val="00EF53FE"/>
    <w:rsid w:val="00F1171E"/>
    <w:rsid w:val="00F13071"/>
    <w:rsid w:val="00F20ED7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D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24D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D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324D02"/>
  </w:style>
  <w:style w:type="paragraph" w:customStyle="1" w:styleId="Affiliation">
    <w:name w:val="Affiliation"/>
    <w:basedOn w:val="Normal"/>
    <w:rsid w:val="00883D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2025-09-16T13:22:00Z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