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866A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866A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866A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866A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86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5F1907" w:rsidR="0000007A" w:rsidRPr="00D866AB" w:rsidRDefault="009C4A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866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D866A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866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33C9EEA" w:rsidR="0000007A" w:rsidRPr="00D866A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2D1F"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6530</w:t>
            </w:r>
          </w:p>
        </w:tc>
      </w:tr>
      <w:tr w:rsidR="0000007A" w:rsidRPr="00D866A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866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918EE0" w:rsidR="0000007A" w:rsidRPr="00D866AB" w:rsidRDefault="00F82E22" w:rsidP="00F82E2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66A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Oxygen Supply Requirement Prediction Model in The Under-Actuated Zone with Convolutional Neural Network</w:t>
            </w:r>
          </w:p>
        </w:tc>
      </w:tr>
      <w:tr w:rsidR="00CF0BBB" w:rsidRPr="00D866A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866A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390B6D" w:rsidR="00CF0BBB" w:rsidRPr="00D866AB" w:rsidRDefault="00242D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866A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866A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866A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6A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66A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866A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6A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866A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866A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6AB">
              <w:rPr>
                <w:rFonts w:ascii="Arial" w:hAnsi="Arial" w:cs="Arial"/>
                <w:lang w:val="en-GB"/>
              </w:rPr>
              <w:t>Author’s Feedback</w:t>
            </w:r>
            <w:r w:rsidRPr="00D866A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866A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866A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866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866A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E9EC8E6" w:rsidR="00F1171E" w:rsidRPr="00D866AB" w:rsidRDefault="00E473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</w:rPr>
              <w:t>This work provides a critical blueprint for developing next-generation, adaptive HVAC control systems that can significantly improve both energy efficiency and indoor air quality.</w:t>
            </w:r>
          </w:p>
        </w:tc>
        <w:tc>
          <w:tcPr>
            <w:tcW w:w="1523" w:type="pct"/>
          </w:tcPr>
          <w:p w14:paraId="462A339C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6A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866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866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0D7DEDC" w:rsidR="00F1171E" w:rsidRPr="00D866AB" w:rsidRDefault="00E47320" w:rsidP="00E473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6A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866A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66A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D9C57DB" w:rsidR="00F1171E" w:rsidRPr="00D866AB" w:rsidRDefault="00E47320" w:rsidP="00E473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6A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866A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D46C528" w:rsidR="00F1171E" w:rsidRPr="00D866AB" w:rsidRDefault="00E473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6A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866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866A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049BBC7" w:rsidR="00F1171E" w:rsidRPr="00D866AB" w:rsidRDefault="00E473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66A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866A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66A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CAD475E" w:rsidR="00F1171E" w:rsidRPr="00D866AB" w:rsidRDefault="00F67DB4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866AB" w14:paraId="20A16C0C" w14:textId="77777777" w:rsidTr="00F67DB4">
        <w:trPr>
          <w:trHeight w:val="467"/>
        </w:trPr>
        <w:tc>
          <w:tcPr>
            <w:tcW w:w="1265" w:type="pct"/>
            <w:noWrap/>
          </w:tcPr>
          <w:p w14:paraId="1A6B3748" w14:textId="0E97B1D9" w:rsidR="00F1171E" w:rsidRPr="00D866AB" w:rsidRDefault="00F1171E" w:rsidP="00F67D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6A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66A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66A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212" w:type="pct"/>
          </w:tcPr>
          <w:p w14:paraId="5E946A0E" w14:textId="65F4D0C0" w:rsidR="00F1171E" w:rsidRPr="00D866AB" w:rsidRDefault="00F67DB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sz w:val="20"/>
                <w:szCs w:val="20"/>
                <w:lang w:val="en-GB"/>
              </w:rPr>
              <w:t xml:space="preserve">In Material and </w:t>
            </w:r>
            <w:proofErr w:type="gramStart"/>
            <w:r w:rsidRPr="00D866AB">
              <w:rPr>
                <w:rFonts w:ascii="Arial" w:hAnsi="Arial" w:cs="Arial"/>
                <w:sz w:val="20"/>
                <w:szCs w:val="20"/>
                <w:lang w:val="en-GB"/>
              </w:rPr>
              <w:t>Methods</w:t>
            </w:r>
            <w:proofErr w:type="gramEnd"/>
            <w:r w:rsidRPr="00D866AB">
              <w:rPr>
                <w:rFonts w:ascii="Arial" w:hAnsi="Arial" w:cs="Arial"/>
                <w:sz w:val="20"/>
                <w:szCs w:val="20"/>
                <w:lang w:val="en-GB"/>
              </w:rPr>
              <w:t xml:space="preserve"> the subsection jumps from 2.3 to 2.5</w:t>
            </w:r>
          </w:p>
          <w:p w14:paraId="7EB58C99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866A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7DB4" w:rsidRPr="00D866AB" w14:paraId="7E6624BB" w14:textId="77777777" w:rsidTr="00FA0564">
        <w:trPr>
          <w:trHeight w:val="656"/>
        </w:trPr>
        <w:tc>
          <w:tcPr>
            <w:tcW w:w="1265" w:type="pct"/>
            <w:noWrap/>
          </w:tcPr>
          <w:p w14:paraId="23359E6B" w14:textId="77777777" w:rsidR="00F67DB4" w:rsidRPr="00D866AB" w:rsidRDefault="00F67DB4" w:rsidP="00F67DB4">
            <w:pPr>
              <w:pStyle w:val="Heading2"/>
              <w:jc w:val="left"/>
              <w:rPr>
                <w:rFonts w:ascii="Arial" w:hAnsi="Arial" w:cs="Arial"/>
                <w:bCs w:val="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0B38F9" w14:textId="0DAAB798" w:rsidR="00F67DB4" w:rsidRPr="00D866AB" w:rsidRDefault="00F67DB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sz w:val="20"/>
                <w:szCs w:val="20"/>
                <w:lang w:val="en-GB"/>
              </w:rPr>
              <w:t xml:space="preserve">The description of the figures should be after the figure. For </w:t>
            </w:r>
            <w:proofErr w:type="spellStart"/>
            <w:r w:rsidRPr="00D866AB">
              <w:rPr>
                <w:rFonts w:ascii="Arial" w:hAnsi="Arial" w:cs="Arial"/>
                <w:sz w:val="20"/>
                <w:szCs w:val="20"/>
                <w:lang w:val="en-GB"/>
              </w:rPr>
              <w:t>eg.</w:t>
            </w:r>
            <w:proofErr w:type="spellEnd"/>
            <w:r w:rsidRPr="00D866AB">
              <w:rPr>
                <w:rFonts w:ascii="Arial" w:hAnsi="Arial" w:cs="Arial"/>
                <w:sz w:val="20"/>
                <w:szCs w:val="20"/>
                <w:lang w:val="en-GB"/>
              </w:rPr>
              <w:t xml:space="preserve"> Fig. 1. Image and then about Fig. 1.</w:t>
            </w:r>
          </w:p>
        </w:tc>
        <w:tc>
          <w:tcPr>
            <w:tcW w:w="1523" w:type="pct"/>
          </w:tcPr>
          <w:p w14:paraId="58959AF2" w14:textId="77777777" w:rsidR="00F67DB4" w:rsidRPr="00D866AB" w:rsidRDefault="00F67DB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866A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866A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866A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66A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866A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6A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D866A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6AB">
              <w:rPr>
                <w:rFonts w:ascii="Arial" w:hAnsi="Arial" w:cs="Arial"/>
                <w:lang w:val="en-GB"/>
              </w:rPr>
              <w:t>Author’s comment</w:t>
            </w:r>
            <w:r w:rsidRPr="00D866A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866A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866A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6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35581B15" w:rsidR="00F1171E" w:rsidRPr="00D866AB" w:rsidRDefault="00FA056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66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D866A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866A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866A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866A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0E66E9F" w14:textId="77777777" w:rsidR="00D866AB" w:rsidRPr="00955F68" w:rsidRDefault="00D866AB" w:rsidP="00D866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5F68">
        <w:rPr>
          <w:rFonts w:ascii="Arial" w:hAnsi="Arial" w:cs="Arial"/>
          <w:b/>
          <w:u w:val="single"/>
        </w:rPr>
        <w:t>Reviewer details:</w:t>
      </w:r>
    </w:p>
    <w:p w14:paraId="232E803D" w14:textId="77777777" w:rsidR="00D866AB" w:rsidRPr="00955F68" w:rsidRDefault="00D866AB" w:rsidP="00D866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55F68">
        <w:rPr>
          <w:rFonts w:ascii="Arial" w:hAnsi="Arial" w:cs="Arial"/>
          <w:b/>
          <w:color w:val="000000"/>
        </w:rPr>
        <w:t>Tanishka Hira, Indira Gandhi Delhi Technical University for Women, India</w:t>
      </w:r>
    </w:p>
    <w:p w14:paraId="7269B4C8" w14:textId="77777777" w:rsidR="00D866AB" w:rsidRPr="00D866AB" w:rsidRDefault="00D866AB">
      <w:pPr>
        <w:rPr>
          <w:rFonts w:ascii="Arial" w:hAnsi="Arial" w:cs="Arial"/>
          <w:b/>
          <w:sz w:val="20"/>
          <w:szCs w:val="20"/>
        </w:rPr>
      </w:pPr>
    </w:p>
    <w:sectPr w:rsidR="00D866AB" w:rsidRPr="00D866A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3253" w14:textId="77777777" w:rsidR="00E47586" w:rsidRPr="0000007A" w:rsidRDefault="00E47586" w:rsidP="0099583E">
      <w:r>
        <w:separator/>
      </w:r>
    </w:p>
  </w:endnote>
  <w:endnote w:type="continuationSeparator" w:id="0">
    <w:p w14:paraId="0E98DB96" w14:textId="77777777" w:rsidR="00E47586" w:rsidRPr="0000007A" w:rsidRDefault="00E475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4FB2" w14:textId="77777777" w:rsidR="00E47586" w:rsidRPr="0000007A" w:rsidRDefault="00E47586" w:rsidP="0099583E">
      <w:r>
        <w:separator/>
      </w:r>
    </w:p>
  </w:footnote>
  <w:footnote w:type="continuationSeparator" w:id="0">
    <w:p w14:paraId="2359C3D1" w14:textId="77777777" w:rsidR="00E47586" w:rsidRPr="0000007A" w:rsidRDefault="00E475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54047">
    <w:abstractNumId w:val="3"/>
  </w:num>
  <w:num w:numId="2" w16cid:durableId="588272228">
    <w:abstractNumId w:val="6"/>
  </w:num>
  <w:num w:numId="3" w16cid:durableId="14698549">
    <w:abstractNumId w:val="5"/>
  </w:num>
  <w:num w:numId="4" w16cid:durableId="1717243734">
    <w:abstractNumId w:val="7"/>
  </w:num>
  <w:num w:numId="5" w16cid:durableId="1222325019">
    <w:abstractNumId w:val="4"/>
  </w:num>
  <w:num w:numId="6" w16cid:durableId="272565704">
    <w:abstractNumId w:val="0"/>
  </w:num>
  <w:num w:numId="7" w16cid:durableId="2009483637">
    <w:abstractNumId w:val="1"/>
  </w:num>
  <w:num w:numId="8" w16cid:durableId="1135563289">
    <w:abstractNumId w:val="9"/>
  </w:num>
  <w:num w:numId="9" w16cid:durableId="710112753">
    <w:abstractNumId w:val="8"/>
  </w:num>
  <w:num w:numId="10" w16cid:durableId="136262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606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749E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2D1F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70E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4CA7"/>
    <w:rsid w:val="003D1BDE"/>
    <w:rsid w:val="003E746A"/>
    <w:rsid w:val="00401C12"/>
    <w:rsid w:val="00421DBF"/>
    <w:rsid w:val="0042465A"/>
    <w:rsid w:val="00435B36"/>
    <w:rsid w:val="004413FA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752D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877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763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4639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4AA9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DE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843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66AB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1F45"/>
    <w:rsid w:val="00DD274C"/>
    <w:rsid w:val="00DE7D30"/>
    <w:rsid w:val="00DF04E3"/>
    <w:rsid w:val="00E03C32"/>
    <w:rsid w:val="00E057F6"/>
    <w:rsid w:val="00E3111A"/>
    <w:rsid w:val="00E451EA"/>
    <w:rsid w:val="00E47320"/>
    <w:rsid w:val="00E47586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2DB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DB4"/>
    <w:rsid w:val="00F73CF2"/>
    <w:rsid w:val="00F80C14"/>
    <w:rsid w:val="00F82E22"/>
    <w:rsid w:val="00F96F54"/>
    <w:rsid w:val="00F978B8"/>
    <w:rsid w:val="00FA0564"/>
    <w:rsid w:val="00FA6528"/>
    <w:rsid w:val="00FB0D50"/>
    <w:rsid w:val="00FB3DE3"/>
    <w:rsid w:val="00FB5BBE"/>
    <w:rsid w:val="00FC2E17"/>
    <w:rsid w:val="00FC432A"/>
    <w:rsid w:val="00FC6387"/>
    <w:rsid w:val="00FC6802"/>
    <w:rsid w:val="00FC72F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67D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866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2025-10-07T10:49:00Z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