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15767"/>
      </w:tblGrid>
      <w:tr w:rsidR="006802BA" w:rsidRPr="00E110A8" w14:paraId="1643A4CA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4C55E51F" w14:textId="77777777" w:rsidR="006802BA" w:rsidRPr="00E110A8" w:rsidRDefault="006802BA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6802BA" w:rsidRPr="00E110A8" w14:paraId="127EAD7E" w14:textId="77777777">
        <w:trPr>
          <w:trHeight w:val="413"/>
        </w:trPr>
        <w:tc>
          <w:tcPr>
            <w:tcW w:w="1234" w:type="pct"/>
            <w:shd w:val="clear" w:color="auto" w:fill="EBFFFF"/>
          </w:tcPr>
          <w:p w14:paraId="3C159AA5" w14:textId="77777777" w:rsidR="006802BA" w:rsidRPr="00E110A8" w:rsidRDefault="00DB2E9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10A8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bookmarkStart w:id="0" w:name="_Hlk211596918"/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777777" w:rsidR="006802BA" w:rsidRPr="00E110A8" w:rsidRDefault="00DB2E9B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110A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begin"/>
            </w:r>
            <w:r w:rsidRPr="00E110A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instrText>HYPERLINK "https://bookstore.bookpi.org/product/physical-science-new-insights-and-developments-vol-1/"</w:instrText>
            </w:r>
            <w:r w:rsidRPr="00E110A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r>
            <w:r w:rsidRPr="00E110A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separate"/>
            </w:r>
            <w:r w:rsidRPr="00E110A8">
              <w:rPr>
                <w:rStyle w:val="Hyperlink"/>
                <w:rFonts w:ascii="Arial" w:hAnsi="Arial" w:cs="Arial"/>
                <w:b/>
                <w:bCs/>
                <w:sz w:val="20"/>
                <w:szCs w:val="20"/>
              </w:rPr>
              <w:t>Physical Science: New Insights and Developments</w:t>
            </w:r>
            <w:r w:rsidRPr="00E110A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end"/>
            </w:r>
            <w:bookmarkEnd w:id="0"/>
          </w:p>
        </w:tc>
      </w:tr>
      <w:tr w:rsidR="006802BA" w:rsidRPr="00E110A8" w14:paraId="73C90375" w14:textId="77777777">
        <w:trPr>
          <w:trHeight w:val="290"/>
        </w:trPr>
        <w:tc>
          <w:tcPr>
            <w:tcW w:w="1234" w:type="pct"/>
            <w:shd w:val="clear" w:color="auto" w:fill="EBFFFF"/>
          </w:tcPr>
          <w:p w14:paraId="20D28135" w14:textId="77777777" w:rsidR="006802BA" w:rsidRPr="00E110A8" w:rsidRDefault="00DB2E9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10A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777777" w:rsidR="006802BA" w:rsidRPr="00E110A8" w:rsidRDefault="00DB2E9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110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Ms_BPR_6604</w:t>
            </w:r>
          </w:p>
        </w:tc>
      </w:tr>
      <w:tr w:rsidR="006802BA" w:rsidRPr="00E110A8" w14:paraId="05B60576" w14:textId="77777777">
        <w:trPr>
          <w:trHeight w:val="331"/>
        </w:trPr>
        <w:tc>
          <w:tcPr>
            <w:tcW w:w="1234" w:type="pct"/>
            <w:shd w:val="clear" w:color="auto" w:fill="EBFFFF"/>
          </w:tcPr>
          <w:p w14:paraId="0196A627" w14:textId="77777777" w:rsidR="006802BA" w:rsidRPr="00E110A8" w:rsidRDefault="00DB2E9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10A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7777777" w:rsidR="006802BA" w:rsidRPr="00E110A8" w:rsidRDefault="00DB2E9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E110A8">
              <w:rPr>
                <w:rFonts w:ascii="Arial" w:hAnsi="Arial" w:cs="Arial"/>
                <w:b/>
                <w:sz w:val="20"/>
                <w:szCs w:val="20"/>
                <w:lang w:val="en-GB"/>
              </w:rPr>
              <w:t>Hipergeometric</w:t>
            </w:r>
            <w:proofErr w:type="spellEnd"/>
            <w:r w:rsidRPr="00E110A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solutions to some nonhomogeneous equations of fractional order</w:t>
            </w:r>
          </w:p>
        </w:tc>
      </w:tr>
      <w:tr w:rsidR="006802BA" w:rsidRPr="00E110A8" w14:paraId="6D508B1C" w14:textId="77777777">
        <w:trPr>
          <w:trHeight w:val="332"/>
        </w:trPr>
        <w:tc>
          <w:tcPr>
            <w:tcW w:w="1234" w:type="pct"/>
            <w:shd w:val="clear" w:color="auto" w:fill="EBFFFF"/>
          </w:tcPr>
          <w:p w14:paraId="32FC28F7" w14:textId="77777777" w:rsidR="006802BA" w:rsidRPr="00E110A8" w:rsidRDefault="00DB2E9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10A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777777" w:rsidR="006802BA" w:rsidRPr="00E110A8" w:rsidRDefault="00DB2E9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110A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6802BA" w:rsidRPr="00E110A8" w:rsidRDefault="006802B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802BA" w:rsidRPr="00E110A8" w:rsidRDefault="006802B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6802BA" w:rsidRPr="00E110A8" w:rsidRDefault="006802BA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77777777" w:rsidR="006802BA" w:rsidRPr="00E110A8" w:rsidRDefault="00DB2E9B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110A8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6802BA" w:rsidRPr="00E110A8" w:rsidRDefault="006802BA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77777777" w:rsidR="006802BA" w:rsidRPr="00E110A8" w:rsidRDefault="00DB2E9B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E110A8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77777777" w:rsidR="006802BA" w:rsidRPr="00E110A8" w:rsidRDefault="00000000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110A8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pict w14:anchorId="08C6E50A">
          <v:rect id="_x0000_s1026" style="position:absolute;left:0;text-align:left;margin-left:-9.6pt;margin-top:14.25pt;width:1071.35pt;height:124.75pt;z-index:251659264;mso-width-relative:page;mso-height-relative:page">
            <v:textbox>
              <w:txbxContent>
                <w:p w14:paraId="4FFED94D" w14:textId="77777777" w:rsidR="006802BA" w:rsidRDefault="00DB2E9B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6802BA" w:rsidRDefault="006802BA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6802BA" w:rsidRDefault="00DB2E9B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6802BA" w:rsidRDefault="006802BA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7777777" w:rsidR="006802BA" w:rsidRDefault="00DB2E9B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IOP Conf. Series: Journal of Physics: Conf. Series, 936 (2017) 012100.</w:t>
                  </w:r>
                </w:p>
                <w:p w14:paraId="57E24C8C" w14:textId="77777777" w:rsidR="006802BA" w:rsidRDefault="00DB2E9B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 :10.1088/1742-6596/936/1/012100</w:t>
                  </w:r>
                </w:p>
              </w:txbxContent>
            </v:textbox>
          </v:rect>
        </w:pict>
      </w:r>
    </w:p>
    <w:p w14:paraId="40641486" w14:textId="77777777" w:rsidR="006802BA" w:rsidRPr="00E110A8" w:rsidRDefault="00DB2E9B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E110A8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6802BA" w:rsidRPr="00E110A8" w:rsidRDefault="006802BA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6802BA" w:rsidRPr="00E110A8" w14:paraId="71A94C1F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6802BA" w:rsidRPr="00E110A8" w:rsidRDefault="00DB2E9B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110A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110A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6802BA" w:rsidRPr="00E110A8" w:rsidRDefault="006802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802BA" w:rsidRPr="00E110A8" w14:paraId="5EA12279" w14:textId="77777777">
        <w:tc>
          <w:tcPr>
            <w:tcW w:w="1265" w:type="pct"/>
            <w:noWrap/>
          </w:tcPr>
          <w:p w14:paraId="7AE9682F" w14:textId="77777777" w:rsidR="006802BA" w:rsidRPr="00E110A8" w:rsidRDefault="006802BA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6802BA" w:rsidRPr="00E110A8" w:rsidRDefault="00DB2E9B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110A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6802BA" w:rsidRPr="00E110A8" w:rsidRDefault="00DB2E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10A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77777777" w:rsidR="006802BA" w:rsidRPr="00E110A8" w:rsidRDefault="006802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6802BA" w:rsidRPr="00E110A8" w:rsidRDefault="00DB2E9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110A8">
              <w:rPr>
                <w:rFonts w:ascii="Arial" w:hAnsi="Arial" w:cs="Arial"/>
                <w:lang w:val="en-GB"/>
              </w:rPr>
              <w:t>Author’s Feedback</w:t>
            </w:r>
            <w:r w:rsidRPr="00E110A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110A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6802BA" w:rsidRPr="00E110A8" w14:paraId="5C0AB4EC" w14:textId="77777777">
        <w:trPr>
          <w:trHeight w:val="1264"/>
        </w:trPr>
        <w:tc>
          <w:tcPr>
            <w:tcW w:w="1265" w:type="pct"/>
            <w:noWrap/>
          </w:tcPr>
          <w:p w14:paraId="66B47184" w14:textId="77777777" w:rsidR="006802BA" w:rsidRPr="00E110A8" w:rsidRDefault="00DB2E9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10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6802BA" w:rsidRPr="00E110A8" w:rsidRDefault="006802BA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6591285" w14:textId="77777777" w:rsidR="006802BA" w:rsidRPr="00E110A8" w:rsidRDefault="00DB2E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110A8">
              <w:rPr>
                <w:rFonts w:ascii="Arial" w:hAnsi="Arial" w:cs="Arial"/>
                <w:sz w:val="20"/>
                <w:szCs w:val="20"/>
                <w:lang w:val="en-GB"/>
              </w:rPr>
              <w:t xml:space="preserve">This manuscript presents a valuable contribution to the field of fractional calculus by deriving explicit hypergeometric solutions to nonhomogeneous fractional differential equations involving the modified Bessel </w:t>
            </w:r>
            <w:proofErr w:type="gramStart"/>
            <w:r w:rsidRPr="00E110A8">
              <w:rPr>
                <w:rFonts w:ascii="Arial" w:hAnsi="Arial" w:cs="Arial"/>
                <w:sz w:val="20"/>
                <w:szCs w:val="20"/>
                <w:lang w:val="en-GB"/>
              </w:rPr>
              <w:t>function</w:t>
            </w:r>
            <w:r w:rsidRPr="00E110A8">
              <w:rPr>
                <w:rFonts w:ascii="Arial" w:hAnsi="Arial" w:cs="Arial"/>
                <w:sz w:val="20"/>
                <w:szCs w:val="20"/>
              </w:rPr>
              <w:t>.The</w:t>
            </w:r>
            <w:proofErr w:type="gramEnd"/>
            <w:r w:rsidRPr="00E110A8">
              <w:rPr>
                <w:rFonts w:ascii="Arial" w:hAnsi="Arial" w:cs="Arial"/>
                <w:sz w:val="20"/>
                <w:szCs w:val="20"/>
              </w:rPr>
              <w:t xml:space="preserve"> work is particularly significant because it provides a clear methodology for solving such equations for specific fractional orders. By establishing connections between fractional derivatives and hypergeometric functions, it offers a template that can be extended to other special functions and fractional orders.</w:t>
            </w:r>
          </w:p>
        </w:tc>
        <w:tc>
          <w:tcPr>
            <w:tcW w:w="1523" w:type="pct"/>
          </w:tcPr>
          <w:p w14:paraId="462A339C" w14:textId="77777777" w:rsidR="006802BA" w:rsidRPr="00E110A8" w:rsidRDefault="006802B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802BA" w:rsidRPr="00E110A8" w14:paraId="0D8B5B2C" w14:textId="77777777" w:rsidTr="008632F7">
        <w:trPr>
          <w:trHeight w:val="656"/>
        </w:trPr>
        <w:tc>
          <w:tcPr>
            <w:tcW w:w="1265" w:type="pct"/>
            <w:noWrap/>
          </w:tcPr>
          <w:p w14:paraId="21CBA5FE" w14:textId="77777777" w:rsidR="006802BA" w:rsidRPr="00E110A8" w:rsidRDefault="00DB2E9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10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6802BA" w:rsidRPr="00E110A8" w:rsidRDefault="00DB2E9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10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6802BA" w:rsidRPr="00E110A8" w:rsidRDefault="006802BA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6802BA" w:rsidRPr="00E110A8" w:rsidRDefault="00DB2E9B">
            <w:pPr>
              <w:rPr>
                <w:rFonts w:ascii="Arial" w:hAnsi="Arial" w:cs="Arial"/>
                <w:sz w:val="20"/>
                <w:szCs w:val="20"/>
              </w:rPr>
            </w:pPr>
            <w:r w:rsidRPr="00E110A8">
              <w:rPr>
                <w:rFonts w:ascii="Arial" w:hAnsi="Arial" w:cs="Arial"/>
                <w:sz w:val="20"/>
                <w:szCs w:val="20"/>
              </w:rPr>
              <w:t>It looks OK to me.</w:t>
            </w:r>
          </w:p>
        </w:tc>
        <w:tc>
          <w:tcPr>
            <w:tcW w:w="1523" w:type="pct"/>
          </w:tcPr>
          <w:p w14:paraId="405B6701" w14:textId="77777777" w:rsidR="006802BA" w:rsidRPr="00E110A8" w:rsidRDefault="006802B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802BA" w:rsidRPr="00E110A8" w14:paraId="5604762A" w14:textId="77777777">
        <w:trPr>
          <w:trHeight w:val="1262"/>
        </w:trPr>
        <w:tc>
          <w:tcPr>
            <w:tcW w:w="1265" w:type="pct"/>
            <w:noWrap/>
          </w:tcPr>
          <w:p w14:paraId="3635573D" w14:textId="77777777" w:rsidR="006802BA" w:rsidRPr="00E110A8" w:rsidRDefault="00DB2E9B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110A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6802BA" w:rsidRPr="00E110A8" w:rsidRDefault="006802BA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6802BA" w:rsidRPr="00E110A8" w:rsidRDefault="00DB2E9B">
            <w:pPr>
              <w:rPr>
                <w:rFonts w:ascii="Arial" w:hAnsi="Arial" w:cs="Arial"/>
                <w:sz w:val="20"/>
                <w:szCs w:val="20"/>
              </w:rPr>
            </w:pPr>
            <w:r w:rsidRPr="00E110A8">
              <w:rPr>
                <w:rFonts w:ascii="Arial" w:hAnsi="Arial" w:cs="Arial"/>
                <w:sz w:val="20"/>
                <w:szCs w:val="20"/>
              </w:rPr>
              <w:t>I think it is comprehensive enough. In my opinion, it just needs rearrangement.</w:t>
            </w:r>
          </w:p>
          <w:p w14:paraId="798D8D8B" w14:textId="77777777" w:rsidR="006802BA" w:rsidRPr="00E110A8" w:rsidRDefault="00DB2E9B">
            <w:pPr>
              <w:rPr>
                <w:rFonts w:ascii="Arial" w:hAnsi="Arial" w:cs="Arial"/>
                <w:sz w:val="20"/>
                <w:szCs w:val="20"/>
              </w:rPr>
            </w:pPr>
            <w:r w:rsidRPr="00E110A8">
              <w:rPr>
                <w:rFonts w:ascii="Arial" w:hAnsi="Arial" w:cs="Arial"/>
                <w:sz w:val="20"/>
                <w:szCs w:val="20"/>
              </w:rPr>
              <w:t>The statement starting with “Fractional derivatives have become…” should start the abstract, followed by the statement “In this paper…” then lastly the statement “In particular in this work…”</w:t>
            </w:r>
          </w:p>
        </w:tc>
        <w:tc>
          <w:tcPr>
            <w:tcW w:w="1523" w:type="pct"/>
          </w:tcPr>
          <w:p w14:paraId="1D54B730" w14:textId="77777777" w:rsidR="006802BA" w:rsidRPr="00E110A8" w:rsidRDefault="006802B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802BA" w:rsidRPr="00E110A8" w14:paraId="2F579F54" w14:textId="77777777">
        <w:trPr>
          <w:trHeight w:val="859"/>
        </w:trPr>
        <w:tc>
          <w:tcPr>
            <w:tcW w:w="1265" w:type="pct"/>
            <w:noWrap/>
          </w:tcPr>
          <w:p w14:paraId="04361F46" w14:textId="77777777" w:rsidR="006802BA" w:rsidRPr="00E110A8" w:rsidRDefault="00DB2E9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110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6802BA" w:rsidRPr="00E110A8" w:rsidRDefault="00DB2E9B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10A8">
              <w:rPr>
                <w:rFonts w:ascii="Arial" w:hAnsi="Arial" w:cs="Arial"/>
                <w:sz w:val="20"/>
                <w:szCs w:val="20"/>
                <w:lang w:val="en-GB"/>
              </w:rPr>
              <w:t>The mathematical derivations for the specific cases presented are correct</w:t>
            </w:r>
            <w:r w:rsidRPr="00E110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23" w:type="pct"/>
          </w:tcPr>
          <w:p w14:paraId="4898F764" w14:textId="77777777" w:rsidR="006802BA" w:rsidRPr="00E110A8" w:rsidRDefault="006802B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802BA" w:rsidRPr="00E110A8" w14:paraId="73739464" w14:textId="77777777" w:rsidTr="008632F7">
        <w:trPr>
          <w:trHeight w:val="512"/>
        </w:trPr>
        <w:tc>
          <w:tcPr>
            <w:tcW w:w="1265" w:type="pct"/>
            <w:noWrap/>
          </w:tcPr>
          <w:p w14:paraId="09C25322" w14:textId="77777777" w:rsidR="006802BA" w:rsidRPr="00E110A8" w:rsidRDefault="00DB2E9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10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6802BA" w:rsidRPr="00E110A8" w:rsidRDefault="00DB2E9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110A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6802BA" w:rsidRPr="00E110A8" w:rsidRDefault="00DB2E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110A8">
              <w:rPr>
                <w:rFonts w:ascii="Arial" w:hAnsi="Arial" w:cs="Arial"/>
                <w:sz w:val="20"/>
                <w:szCs w:val="20"/>
              </w:rPr>
              <w:t>They are sufficient but not recent. I do not have any particular suggestions at the moment.</w:t>
            </w:r>
          </w:p>
        </w:tc>
        <w:tc>
          <w:tcPr>
            <w:tcW w:w="1523" w:type="pct"/>
          </w:tcPr>
          <w:p w14:paraId="40220055" w14:textId="77777777" w:rsidR="006802BA" w:rsidRPr="00E110A8" w:rsidRDefault="006802B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802BA" w:rsidRPr="00E110A8" w14:paraId="73CC4A50" w14:textId="77777777">
        <w:trPr>
          <w:trHeight w:val="386"/>
        </w:trPr>
        <w:tc>
          <w:tcPr>
            <w:tcW w:w="1265" w:type="pct"/>
            <w:noWrap/>
          </w:tcPr>
          <w:p w14:paraId="029CE8D0" w14:textId="77777777" w:rsidR="006802BA" w:rsidRPr="00E110A8" w:rsidRDefault="006802B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6802BA" w:rsidRPr="00E110A8" w:rsidRDefault="00DB2E9B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110A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6802BA" w:rsidRPr="00E110A8" w:rsidRDefault="006802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6802BA" w:rsidRPr="00E110A8" w:rsidRDefault="006802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6802BA" w:rsidRPr="00E110A8" w:rsidRDefault="006802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6802BA" w:rsidRPr="00E110A8" w:rsidRDefault="00DB2E9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110A8">
              <w:rPr>
                <w:rFonts w:ascii="Arial" w:hAnsi="Arial" w:cs="Arial"/>
                <w:sz w:val="20"/>
                <w:szCs w:val="20"/>
              </w:rPr>
              <w:t>Yes it is</w:t>
            </w:r>
            <w:proofErr w:type="gramEnd"/>
            <w:r w:rsidRPr="00E110A8">
              <w:rPr>
                <w:rFonts w:ascii="Arial" w:hAnsi="Arial" w:cs="Arial"/>
                <w:sz w:val="20"/>
                <w:szCs w:val="20"/>
              </w:rPr>
              <w:t xml:space="preserve"> suitable but it </w:t>
            </w:r>
            <w:proofErr w:type="gramStart"/>
            <w:r w:rsidRPr="00E110A8">
              <w:rPr>
                <w:rFonts w:ascii="Arial" w:hAnsi="Arial" w:cs="Arial"/>
                <w:sz w:val="20"/>
                <w:szCs w:val="20"/>
              </w:rPr>
              <w:t>requires  thorough</w:t>
            </w:r>
            <w:proofErr w:type="gramEnd"/>
            <w:r w:rsidRPr="00E110A8">
              <w:rPr>
                <w:rFonts w:ascii="Arial" w:hAnsi="Arial" w:cs="Arial"/>
                <w:sz w:val="20"/>
                <w:szCs w:val="20"/>
              </w:rPr>
              <w:t xml:space="preserve"> proofreading and editing.</w:t>
            </w:r>
          </w:p>
          <w:p w14:paraId="297F52DB" w14:textId="77777777" w:rsidR="006802BA" w:rsidRPr="00E110A8" w:rsidRDefault="006802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6802BA" w:rsidRPr="00E110A8" w:rsidRDefault="006802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6802BA" w:rsidRPr="00E110A8" w:rsidRDefault="006802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802BA" w:rsidRPr="00E110A8" w14:paraId="20A16C0C" w14:textId="77777777">
        <w:trPr>
          <w:trHeight w:val="1178"/>
        </w:trPr>
        <w:tc>
          <w:tcPr>
            <w:tcW w:w="1265" w:type="pct"/>
            <w:noWrap/>
          </w:tcPr>
          <w:p w14:paraId="7F4BCFAE" w14:textId="77777777" w:rsidR="006802BA" w:rsidRPr="00E110A8" w:rsidRDefault="00DB2E9B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110A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110A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110A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6802BA" w:rsidRPr="00E110A8" w:rsidRDefault="006802B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5DFD0E8" w14:textId="77777777" w:rsidR="006802BA" w:rsidRPr="00E110A8" w:rsidRDefault="00DB2E9B">
            <w:pPr>
              <w:rPr>
                <w:rFonts w:ascii="Arial" w:hAnsi="Arial" w:cs="Arial"/>
                <w:sz w:val="20"/>
                <w:szCs w:val="20"/>
              </w:rPr>
            </w:pPr>
            <w:r w:rsidRPr="00E110A8">
              <w:rPr>
                <w:rFonts w:ascii="Arial" w:hAnsi="Arial" w:cs="Arial"/>
                <w:sz w:val="20"/>
                <w:szCs w:val="20"/>
              </w:rPr>
              <w:t>The manuscript is technically correct and scientifically sound.</w:t>
            </w:r>
          </w:p>
        </w:tc>
        <w:tc>
          <w:tcPr>
            <w:tcW w:w="1523" w:type="pct"/>
          </w:tcPr>
          <w:p w14:paraId="465E098E" w14:textId="77777777" w:rsidR="006802BA" w:rsidRPr="00E110A8" w:rsidRDefault="006802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6802BA" w:rsidRPr="00E110A8" w:rsidRDefault="006802B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6802BA" w:rsidRPr="00E110A8" w:rsidRDefault="006802B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6802BA" w:rsidRPr="00E110A8" w:rsidRDefault="006802B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6802BA" w:rsidRPr="00E110A8" w:rsidRDefault="006802B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6802BA" w:rsidRPr="00E110A8" w:rsidRDefault="006802B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6802BA" w:rsidRPr="00E110A8" w:rsidRDefault="006802B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6802BA" w:rsidRPr="00E110A8" w:rsidRDefault="006802B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6802BA" w:rsidRPr="00E110A8" w:rsidRDefault="006802B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6802BA" w:rsidRDefault="006802B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3168981" w14:textId="77777777" w:rsidR="00E110A8" w:rsidRDefault="00E110A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34994A7" w14:textId="77777777" w:rsidR="00E110A8" w:rsidRDefault="00E110A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5355A10" w14:textId="77777777" w:rsidR="00E110A8" w:rsidRPr="00E110A8" w:rsidRDefault="00E110A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6802BA" w:rsidRPr="00E110A8" w:rsidRDefault="006802B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6802BA" w:rsidRPr="00E110A8" w:rsidRDefault="006802B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6802BA" w:rsidRPr="00E110A8" w:rsidRDefault="006802B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6802BA" w:rsidRPr="00E110A8" w:rsidRDefault="006802B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8642"/>
        <w:gridCol w:w="5677"/>
      </w:tblGrid>
      <w:tr w:rsidR="006802BA" w:rsidRPr="00E110A8" w14:paraId="6A4E1E29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EB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6802BA" w:rsidRPr="00E110A8" w:rsidRDefault="00DB2E9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110A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E110A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6802BA" w:rsidRPr="00E110A8" w:rsidRDefault="006802B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6802BA" w:rsidRPr="00E110A8" w14:paraId="5356501F" w14:textId="77777777">
        <w:trPr>
          <w:trHeight w:val="935"/>
        </w:trPr>
        <w:tc>
          <w:tcPr>
            <w:tcW w:w="1615" w:type="pct"/>
            <w:shd w:val="clear" w:color="auto" w:fill="EB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6802BA" w:rsidRPr="00E110A8" w:rsidRDefault="006802B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6802BA" w:rsidRPr="00E110A8" w:rsidRDefault="00DB2E9B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110A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EBFFFF"/>
          </w:tcPr>
          <w:p w14:paraId="6F48B50B" w14:textId="77777777" w:rsidR="006802BA" w:rsidRPr="00E110A8" w:rsidRDefault="00DB2E9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110A8">
              <w:rPr>
                <w:rFonts w:ascii="Arial" w:hAnsi="Arial" w:cs="Arial"/>
                <w:lang w:val="en-GB"/>
              </w:rPr>
              <w:t>Author’s comment</w:t>
            </w:r>
            <w:r w:rsidRPr="00E110A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110A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6802BA" w:rsidRPr="00E110A8" w14:paraId="3944C8A3" w14:textId="77777777">
        <w:trPr>
          <w:trHeight w:val="697"/>
        </w:trPr>
        <w:tc>
          <w:tcPr>
            <w:tcW w:w="1615" w:type="pct"/>
            <w:shd w:val="clear" w:color="auto" w:fill="EB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6802BA" w:rsidRPr="00E110A8" w:rsidRDefault="00DB2E9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110A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6802BA" w:rsidRPr="00E110A8" w:rsidRDefault="006802B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6802BA" w:rsidRPr="00E110A8" w:rsidRDefault="00DB2E9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110A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110A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110A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6802BA" w:rsidRPr="00E110A8" w:rsidRDefault="006802B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6802BA" w:rsidRPr="00E110A8" w:rsidRDefault="00DB2E9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E110A8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342" w:type="pct"/>
            <w:shd w:val="clear" w:color="auto" w:fill="EBFFFF"/>
            <w:vAlign w:val="center"/>
          </w:tcPr>
          <w:p w14:paraId="780A9F8E" w14:textId="77777777" w:rsidR="006802BA" w:rsidRPr="00E110A8" w:rsidRDefault="006802B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6802BA" w:rsidRPr="00E110A8" w:rsidRDefault="006802B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6802BA" w:rsidRPr="00E110A8" w:rsidRDefault="006802B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6802BA" w:rsidRPr="00E110A8" w:rsidRDefault="006802B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6802BA" w:rsidRDefault="006802BA">
      <w:pPr>
        <w:rPr>
          <w:rFonts w:ascii="Arial" w:hAnsi="Arial" w:cs="Arial"/>
          <w:b/>
          <w:sz w:val="20"/>
          <w:szCs w:val="20"/>
          <w:lang w:val="en-GB"/>
        </w:rPr>
      </w:pPr>
    </w:p>
    <w:p w14:paraId="48E7C874" w14:textId="77777777" w:rsidR="00E110A8" w:rsidRPr="006254BA" w:rsidRDefault="00E110A8" w:rsidP="00E110A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254BA">
        <w:rPr>
          <w:rFonts w:ascii="Arial" w:hAnsi="Arial" w:cs="Arial"/>
          <w:b/>
          <w:u w:val="single"/>
        </w:rPr>
        <w:t>Reviewer details:</w:t>
      </w:r>
    </w:p>
    <w:p w14:paraId="7F01DA76" w14:textId="77777777" w:rsidR="00E110A8" w:rsidRPr="006254BA" w:rsidRDefault="00E110A8" w:rsidP="00E110A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6254BA">
        <w:rPr>
          <w:rFonts w:ascii="Arial" w:hAnsi="Arial" w:cs="Arial"/>
          <w:b/>
          <w:color w:val="000000"/>
        </w:rPr>
        <w:t>Arhonefe</w:t>
      </w:r>
      <w:proofErr w:type="spellEnd"/>
      <w:r w:rsidRPr="006254BA">
        <w:rPr>
          <w:rFonts w:ascii="Arial" w:hAnsi="Arial" w:cs="Arial"/>
          <w:b/>
          <w:color w:val="000000"/>
        </w:rPr>
        <w:t xml:space="preserve"> Joseph Ogethakpo, Nigeria</w:t>
      </w:r>
    </w:p>
    <w:p w14:paraId="50518884" w14:textId="77777777" w:rsidR="00E110A8" w:rsidRPr="00E110A8" w:rsidRDefault="00E110A8">
      <w:pPr>
        <w:rPr>
          <w:rFonts w:ascii="Arial" w:hAnsi="Arial" w:cs="Arial"/>
          <w:b/>
          <w:sz w:val="20"/>
          <w:szCs w:val="20"/>
        </w:rPr>
      </w:pPr>
    </w:p>
    <w:sectPr w:rsidR="00E110A8" w:rsidRPr="00E110A8">
      <w:headerReference w:type="default" r:id="rId7"/>
      <w:footerReference w:type="default" r:id="rId8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CE0A3" w14:textId="77777777" w:rsidR="00E247D4" w:rsidRDefault="00E247D4">
      <w:r>
        <w:separator/>
      </w:r>
    </w:p>
  </w:endnote>
  <w:endnote w:type="continuationSeparator" w:id="0">
    <w:p w14:paraId="32203DA6" w14:textId="77777777" w:rsidR="00E247D4" w:rsidRDefault="00E24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7777777" w:rsidR="006802BA" w:rsidRDefault="00DB2E9B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FAC99" w14:textId="77777777" w:rsidR="00E247D4" w:rsidRDefault="00E247D4">
      <w:r>
        <w:separator/>
      </w:r>
    </w:p>
  </w:footnote>
  <w:footnote w:type="continuationSeparator" w:id="0">
    <w:p w14:paraId="7D634C94" w14:textId="77777777" w:rsidR="00E247D4" w:rsidRDefault="00E24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77777777" w:rsidR="006802BA" w:rsidRDefault="006802BA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6802BA" w:rsidRDefault="006802BA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6802BA" w:rsidRDefault="00DB2E9B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481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37936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712B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4AA7"/>
    <w:rsid w:val="00676845"/>
    <w:rsid w:val="006802BA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42E4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4FFE"/>
    <w:rsid w:val="00846F1F"/>
    <w:rsid w:val="008470AB"/>
    <w:rsid w:val="0085546D"/>
    <w:rsid w:val="008632F7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270D"/>
    <w:rsid w:val="00B334D9"/>
    <w:rsid w:val="00B379E5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533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487E"/>
    <w:rsid w:val="00D709EB"/>
    <w:rsid w:val="00D7603E"/>
    <w:rsid w:val="00D90124"/>
    <w:rsid w:val="00D9392F"/>
    <w:rsid w:val="00D9427C"/>
    <w:rsid w:val="00DA2679"/>
    <w:rsid w:val="00DA3C3D"/>
    <w:rsid w:val="00DA41F5"/>
    <w:rsid w:val="00DB2E9B"/>
    <w:rsid w:val="00DB7E1B"/>
    <w:rsid w:val="00DC1D81"/>
    <w:rsid w:val="00DC6FED"/>
    <w:rsid w:val="00DD0C4A"/>
    <w:rsid w:val="00DD274C"/>
    <w:rsid w:val="00DE7D30"/>
    <w:rsid w:val="00DF04E3"/>
    <w:rsid w:val="00E03C32"/>
    <w:rsid w:val="00E110A8"/>
    <w:rsid w:val="00E247D4"/>
    <w:rsid w:val="00E3111A"/>
    <w:rsid w:val="00E451EA"/>
    <w:rsid w:val="00E55CB5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1381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724CEC64"/>
  <w15:docId w15:val="{E5433B0E-983F-46BF-A61D-65337041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 w:cs="Helvetica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rFonts w:ascii="Calibri" w:eastAsia="Calibri" w:hAnsi="Calibri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E110A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459</Words>
  <Characters>2621</Characters>
  <Application>Microsoft Office Word</Application>
  <DocSecurity>0</DocSecurity>
  <Lines>21</Lines>
  <Paragraphs>6</Paragraphs>
  <ScaleCrop>false</ScaleCrop>
  <Company>HP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2025-10-27T12:28:00Z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KSOProductBuildVer">
    <vt:lpwstr>1033-12.2.0.21931</vt:lpwstr>
  </property>
  <property fmtid="{D5CDD505-2E9C-101B-9397-08002B2CF9AE}" pid="4" name="ICV">
    <vt:lpwstr>4856CE1641F44D118963BD2B7A274A84_12</vt:lpwstr>
  </property>
</Properties>
</file>