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C5D7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C5D7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C5D7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C5D7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C5D7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71D42E" w:rsidR="0000007A" w:rsidRPr="00FC5D71" w:rsidRDefault="00EB23F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C5D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FC5D7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C5D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018106" w:rsidR="0000007A" w:rsidRPr="00FC5D7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770CE"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6281</w:t>
            </w:r>
          </w:p>
        </w:tc>
      </w:tr>
      <w:tr w:rsidR="0000007A" w:rsidRPr="00FC5D7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C5D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FB443B" w:rsidR="0000007A" w:rsidRPr="00FC5D71" w:rsidRDefault="002D24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C5D71">
              <w:rPr>
                <w:rFonts w:ascii="Arial" w:hAnsi="Arial" w:cs="Arial"/>
                <w:b/>
                <w:sz w:val="20"/>
                <w:szCs w:val="20"/>
                <w:lang w:val="en-GB"/>
              </w:rPr>
              <w:t>Insilico</w:t>
            </w:r>
            <w:proofErr w:type="spellEnd"/>
            <w:r w:rsidRPr="00FC5D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Docking Analysis of Antimalarial and Anticancer Potentials of a Hydrazone Derivative of 2-Amino-4-Thiazoleacetic Acid Hydrazide</w:t>
            </w:r>
          </w:p>
        </w:tc>
      </w:tr>
      <w:tr w:rsidR="00CF0BBB" w:rsidRPr="00FC5D7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C5D7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695ECB" w:rsidR="00CF0BBB" w:rsidRPr="00FC5D71" w:rsidRDefault="005770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C5D7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C5D7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C5D7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C5D7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5D7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C5D7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C5D7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C5D7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C5D7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5D7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49AA257" w:rsidR="00E03C32" w:rsidRDefault="0004232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23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Asian Research Journal of Natural Products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423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274-291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6E25149" w:rsidR="00E03C32" w:rsidRPr="007B54A4" w:rsidRDefault="00042322" w:rsidP="0004232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23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23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sarjnp</w:t>
                  </w:r>
                  <w:proofErr w:type="spellEnd"/>
                  <w:r w:rsidRPr="000423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/2025/v8i2197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C5D7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C5D7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C5D7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C5D7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5D7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C5D7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5D7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5D7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C5D7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C5D7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5D71">
              <w:rPr>
                <w:rFonts w:ascii="Arial" w:hAnsi="Arial" w:cs="Arial"/>
                <w:lang w:val="en-GB"/>
              </w:rPr>
              <w:t>Author’s Feedback</w:t>
            </w:r>
            <w:r w:rsidRPr="00FC5D7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5D7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C5D71" w14:paraId="5C0AB4EC" w14:textId="77777777" w:rsidTr="00D65046">
        <w:trPr>
          <w:trHeight w:val="485"/>
        </w:trPr>
        <w:tc>
          <w:tcPr>
            <w:tcW w:w="1265" w:type="pct"/>
            <w:noWrap/>
          </w:tcPr>
          <w:p w14:paraId="66B47184" w14:textId="48030299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C5D7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8E5000B" w:rsidR="00F1171E" w:rsidRPr="00FC5D7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5D71" w14:paraId="0D8B5B2C" w14:textId="77777777" w:rsidTr="00D65046">
        <w:trPr>
          <w:trHeight w:val="368"/>
        </w:trPr>
        <w:tc>
          <w:tcPr>
            <w:tcW w:w="1265" w:type="pct"/>
            <w:noWrap/>
          </w:tcPr>
          <w:p w14:paraId="21CBA5FE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5D71" w14:paraId="5604762A" w14:textId="77777777" w:rsidTr="00D65046">
        <w:trPr>
          <w:trHeight w:val="305"/>
        </w:trPr>
        <w:tc>
          <w:tcPr>
            <w:tcW w:w="1265" w:type="pct"/>
            <w:noWrap/>
          </w:tcPr>
          <w:p w14:paraId="3635573D" w14:textId="77777777" w:rsidR="00F1171E" w:rsidRPr="00FC5D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C5D7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5D7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C5D7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2C1CA4B" w14:textId="77777777" w:rsidR="00F1171E" w:rsidRPr="00FC5D71" w:rsidRDefault="003605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sz w:val="20"/>
                <w:szCs w:val="20"/>
                <w:lang w:val="en-GB"/>
              </w:rPr>
              <w:t>Major revision required</w:t>
            </w:r>
          </w:p>
          <w:p w14:paraId="2B5A7721" w14:textId="3F7A812D" w:rsidR="00D65046" w:rsidRPr="00FC5D71" w:rsidRDefault="00D6504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sz w:val="20"/>
                <w:szCs w:val="20"/>
              </w:rPr>
              <w:t xml:space="preserve">Good chemical synthesis/characterization and a broad docking sweep, but the chapter lacks a rigorous </w:t>
            </w:r>
            <w:r w:rsidRPr="00FC5D71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in-silico analysis</w:t>
            </w:r>
            <w:r w:rsidRPr="00FC5D71">
              <w:rPr>
                <w:rFonts w:ascii="Arial" w:hAnsi="Arial" w:cs="Arial"/>
                <w:sz w:val="20"/>
                <w:szCs w:val="20"/>
              </w:rPr>
              <w:t>, mixes disease areas without a clear rationale, and contains unit/nomenclature errors and presentation issues that undermine credibility.</w:t>
            </w:r>
          </w:p>
        </w:tc>
        <w:tc>
          <w:tcPr>
            <w:tcW w:w="1523" w:type="pct"/>
          </w:tcPr>
          <w:p w14:paraId="4898F764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5D7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C5D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C5D7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5D7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C5D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C5D7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5D7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C5D7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C5D7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C5D7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E1BDEBE" w14:textId="77777777" w:rsidR="00360584" w:rsidRPr="00FC5D71" w:rsidRDefault="00360584" w:rsidP="0036058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Recommendation: Major revision.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 xml:space="preserve">The chapter presents synthesis/characterization and an ambitious multi-target docking analysis, but it requires substantial methods and presentation improvements. The disease scope is unclear (malaria vs oncology) due to inclusion of SARM/EGFR alongside </w:t>
            </w:r>
            <w:r w:rsidRPr="00FC5D71">
              <w:rPr>
                <w:rFonts w:ascii="Arial" w:hAnsi="Arial" w:cs="Arial"/>
                <w:i/>
                <w:iCs/>
                <w:sz w:val="20"/>
                <w:szCs w:val="20"/>
              </w:rPr>
              <w:t>Plasmodium</w:t>
            </w:r>
            <w:r w:rsidRPr="00FC5D71">
              <w:rPr>
                <w:rFonts w:ascii="Arial" w:hAnsi="Arial" w:cs="Arial"/>
                <w:sz w:val="20"/>
                <w:szCs w:val="20"/>
              </w:rPr>
              <w:t xml:space="preserve"> targets. The </w:t>
            </w:r>
            <w:proofErr w:type="gramStart"/>
            <w:r w:rsidRPr="00FC5D71">
              <w:rPr>
                <w:rFonts w:ascii="Arial" w:hAnsi="Arial" w:cs="Arial"/>
                <w:sz w:val="20"/>
                <w:szCs w:val="20"/>
              </w:rPr>
              <w:t>in silico</w:t>
            </w:r>
            <w:proofErr w:type="gramEnd"/>
            <w:r w:rsidRPr="00FC5D71">
              <w:rPr>
                <w:rFonts w:ascii="Arial" w:hAnsi="Arial" w:cs="Arial"/>
                <w:sz w:val="20"/>
                <w:szCs w:val="20"/>
              </w:rPr>
              <w:t xml:space="preserve"> workflow is insufficiently described and unvalidated; units/nomenclature contain errors; and the “ADMET” content is limited to drug-likeness, not toxicity. </w:t>
            </w:r>
          </w:p>
          <w:p w14:paraId="7E3CE886" w14:textId="77777777" w:rsidR="00360584" w:rsidRPr="00FC5D71" w:rsidRDefault="00360584" w:rsidP="00360584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  <w:t>Major comments</w:t>
            </w:r>
          </w:p>
          <w:p w14:paraId="01B16427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Scope and rationale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>The narrative reads as antimalarial (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PfLDH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PfDHFR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PfDHODH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>) yet includes oncology/other targets (SARM, EGFR) without a translational link. Please either focus the chapter on malaria targets only, or justify a dual-indication strategy in a dedicated subsection explaining the biological rationale and clinical relevance of EGFR/SARM for these scaffolds.</w:t>
            </w:r>
          </w:p>
          <w:p w14:paraId="0D5BEF3B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Rationale of target selection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>Explicitly state why antimalarial and cancer targets were chosen together, and—within cancer—why specifically EGFR/SARM were selected.</w:t>
            </w:r>
          </w:p>
          <w:p w14:paraId="1AF573B8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Validation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>re-docking the co-crystallized ligand(s) with RMSD ≤ 2.0 Å, plus a pose overlay figure for each target.</w:t>
            </w:r>
          </w:p>
          <w:p w14:paraId="556516AF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Citations for factual statements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>Several general claims are unreferenced (e.g., references to “biological activities of Ethyl-2-amino-4-thiazoleacetate” and “cancerous cells and diseases”). Please add primary literature citations for all such statements.</w:t>
            </w:r>
          </w:p>
          <w:p w14:paraId="2224244C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Nomenclature and identifiers</w:t>
            </w:r>
          </w:p>
          <w:p w14:paraId="5F914097" w14:textId="77777777" w:rsidR="00360584" w:rsidRPr="00FC5D71" w:rsidRDefault="00360584" w:rsidP="00360584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sz w:val="20"/>
                <w:szCs w:val="20"/>
              </w:rPr>
              <w:t>Use “In silico” (two words), not “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Insilico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>.”</w:t>
            </w:r>
          </w:p>
          <w:p w14:paraId="6267B78C" w14:textId="77777777" w:rsidR="00360584" w:rsidRPr="00FC5D71" w:rsidRDefault="00360584" w:rsidP="00360584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sz w:val="20"/>
                <w:szCs w:val="20"/>
              </w:rPr>
              <w:t xml:space="preserve">Correct 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PfDHODH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 spelling to </w:t>
            </w:r>
            <w:r w:rsidRPr="00FC5D71">
              <w:rPr>
                <w:rFonts w:ascii="Arial" w:hAnsi="Arial" w:cs="Arial"/>
                <w:i/>
                <w:iCs/>
                <w:sz w:val="20"/>
                <w:szCs w:val="20"/>
              </w:rPr>
              <w:t>dihydroorotate</w:t>
            </w:r>
            <w:r w:rsidRPr="00FC5D71">
              <w:rPr>
                <w:rFonts w:ascii="Arial" w:hAnsi="Arial" w:cs="Arial"/>
                <w:sz w:val="20"/>
                <w:szCs w:val="20"/>
              </w:rPr>
              <w:t xml:space="preserve"> dehydrogenase throughout.</w:t>
            </w:r>
          </w:p>
          <w:p w14:paraId="3FF955C5" w14:textId="77777777" w:rsidR="00360584" w:rsidRPr="00FC5D71" w:rsidRDefault="00360584" w:rsidP="00360584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sz w:val="20"/>
                <w:szCs w:val="20"/>
              </w:rPr>
              <w:t xml:space="preserve">Correct PDB IDs (e.g., 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PfDHFR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 listed as “6155” is invalid); provide the correct 4-character code(s), chain(s), and associated co-ligand IDs.</w:t>
            </w:r>
          </w:p>
          <w:p w14:paraId="5B5C2D39" w14:textId="77777777" w:rsidR="00360584" w:rsidRPr="00FC5D71" w:rsidRDefault="00360584" w:rsidP="003605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Units and labeling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>Replace the non-existent “kJ/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cal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>” with standard kcal/mol or kJ/mol consistently. Clearly label whether values are docking scores or MM/GBSA ΔG and do not mix units.</w:t>
            </w:r>
          </w:p>
          <w:p w14:paraId="15DFD0E8" w14:textId="664682B0" w:rsidR="00F1171E" w:rsidRPr="00FC5D71" w:rsidRDefault="00360584" w:rsidP="007222C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C5D71">
              <w:rPr>
                <w:rFonts w:ascii="Arial" w:hAnsi="Arial" w:cs="Arial"/>
                <w:b/>
                <w:bCs/>
                <w:sz w:val="20"/>
                <w:szCs w:val="20"/>
              </w:rPr>
              <w:t>ADMET vs drug-likeness</w:t>
            </w:r>
            <w:r w:rsidRPr="00FC5D71">
              <w:rPr>
                <w:rFonts w:ascii="Arial" w:hAnsi="Arial" w:cs="Arial"/>
                <w:sz w:val="20"/>
                <w:szCs w:val="20"/>
              </w:rPr>
              <w:br/>
              <w:t xml:space="preserve">Table 8 and Section 3.15 report only physicochemical/drug-likeness metrics (MW, HBD/HBA, 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logP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>, NRB, TPSA). This does not constitute ADMET/TOX. Please add a in silico ADMET/TOX panel (e.g., GI absorption, BBB permeation, P-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gp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 substrate/inhibition, CYP inhibition/substrate profiles, clearance) plus toxicity endpoints (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hERG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 risk, Ames/mutagenicity, hepatotoxicity, LD50/</w:t>
            </w:r>
            <w:proofErr w:type="spellStart"/>
            <w:r w:rsidRPr="00FC5D71">
              <w:rPr>
                <w:rFonts w:ascii="Arial" w:hAnsi="Arial" w:cs="Arial"/>
                <w:sz w:val="20"/>
                <w:szCs w:val="20"/>
              </w:rPr>
              <w:t>ProTox</w:t>
            </w:r>
            <w:proofErr w:type="spellEnd"/>
            <w:r w:rsidRPr="00FC5D71">
              <w:rPr>
                <w:rFonts w:ascii="Arial" w:hAnsi="Arial" w:cs="Arial"/>
                <w:sz w:val="20"/>
                <w:szCs w:val="20"/>
              </w:rPr>
              <w:t xml:space="preserve"> class, BCF).</w:t>
            </w:r>
          </w:p>
        </w:tc>
        <w:tc>
          <w:tcPr>
            <w:tcW w:w="1523" w:type="pct"/>
          </w:tcPr>
          <w:p w14:paraId="465E098E" w14:textId="77777777" w:rsidR="00F1171E" w:rsidRPr="00FC5D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10E0A8C0" w:rsidR="00F1171E" w:rsidRPr="00FC5D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AB4F3B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0443BF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F14FF5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1FE347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82A089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6EDC7B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A54CE2" w14:textId="77777777" w:rsid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524C13" w14:textId="77777777" w:rsidR="00FC5D71" w:rsidRPr="00FC5D71" w:rsidRDefault="00FC5D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C5D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C5D7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C5D7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C5D7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C5D7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5D7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C5D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5D71">
              <w:rPr>
                <w:rFonts w:ascii="Arial" w:hAnsi="Arial" w:cs="Arial"/>
                <w:lang w:val="en-GB"/>
              </w:rPr>
              <w:t>Author’s comment</w:t>
            </w:r>
            <w:r w:rsidRPr="00FC5D7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5D7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C5D7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5D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C5D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C5D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C5D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C5D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C5D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C5D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C5D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A29A91" w14:textId="77777777" w:rsidR="00FC5D71" w:rsidRPr="00D32BDF" w:rsidRDefault="00FC5D71" w:rsidP="00FC5D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2BDF">
        <w:rPr>
          <w:rFonts w:ascii="Arial" w:hAnsi="Arial" w:cs="Arial"/>
          <w:b/>
          <w:u w:val="single"/>
        </w:rPr>
        <w:t>Reviewer details:</w:t>
      </w:r>
    </w:p>
    <w:p w14:paraId="20109761" w14:textId="77777777" w:rsidR="00FC5D71" w:rsidRPr="00D32BDF" w:rsidRDefault="00FC5D71" w:rsidP="00FC5D7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32BDF">
        <w:rPr>
          <w:rFonts w:ascii="Arial" w:hAnsi="Arial" w:cs="Arial"/>
          <w:b/>
          <w:color w:val="000000"/>
        </w:rPr>
        <w:t>Nishant Kumar Soni, USA</w:t>
      </w:r>
    </w:p>
    <w:p w14:paraId="5D94350A" w14:textId="77777777" w:rsidR="00FC5D71" w:rsidRPr="00FC5D71" w:rsidRDefault="00FC5D71">
      <w:pPr>
        <w:rPr>
          <w:rFonts w:ascii="Arial" w:hAnsi="Arial" w:cs="Arial"/>
          <w:b/>
          <w:sz w:val="20"/>
          <w:szCs w:val="20"/>
        </w:rPr>
      </w:pPr>
    </w:p>
    <w:sectPr w:rsidR="00FC5D71" w:rsidRPr="00FC5D7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10199" w14:textId="77777777" w:rsidR="00261CFA" w:rsidRPr="0000007A" w:rsidRDefault="00261CFA" w:rsidP="0099583E">
      <w:r>
        <w:separator/>
      </w:r>
    </w:p>
  </w:endnote>
  <w:endnote w:type="continuationSeparator" w:id="0">
    <w:p w14:paraId="2CBC6F1A" w14:textId="77777777" w:rsidR="00261CFA" w:rsidRPr="0000007A" w:rsidRDefault="00261C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6E97" w14:textId="77777777" w:rsidR="00261CFA" w:rsidRPr="0000007A" w:rsidRDefault="00261CFA" w:rsidP="0099583E">
      <w:r>
        <w:separator/>
      </w:r>
    </w:p>
  </w:footnote>
  <w:footnote w:type="continuationSeparator" w:id="0">
    <w:p w14:paraId="3B1719B3" w14:textId="77777777" w:rsidR="00261CFA" w:rsidRPr="0000007A" w:rsidRDefault="00261C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31E6B"/>
    <w:multiLevelType w:val="multilevel"/>
    <w:tmpl w:val="3646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4737042">
    <w:abstractNumId w:val="3"/>
  </w:num>
  <w:num w:numId="2" w16cid:durableId="1403717589">
    <w:abstractNumId w:val="7"/>
  </w:num>
  <w:num w:numId="3" w16cid:durableId="1469979413">
    <w:abstractNumId w:val="6"/>
  </w:num>
  <w:num w:numId="4" w16cid:durableId="392048111">
    <w:abstractNumId w:val="8"/>
  </w:num>
  <w:num w:numId="5" w16cid:durableId="1473907826">
    <w:abstractNumId w:val="5"/>
  </w:num>
  <w:num w:numId="6" w16cid:durableId="221597284">
    <w:abstractNumId w:val="0"/>
  </w:num>
  <w:num w:numId="7" w16cid:durableId="2037730208">
    <w:abstractNumId w:val="1"/>
  </w:num>
  <w:num w:numId="8" w16cid:durableId="1793209747">
    <w:abstractNumId w:val="10"/>
  </w:num>
  <w:num w:numId="9" w16cid:durableId="436680140">
    <w:abstractNumId w:val="9"/>
  </w:num>
  <w:num w:numId="10" w16cid:durableId="900675333">
    <w:abstractNumId w:val="2"/>
  </w:num>
  <w:num w:numId="11" w16cid:durableId="1549220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232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399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77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CFA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42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58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48E"/>
    <w:rsid w:val="00421DBF"/>
    <w:rsid w:val="0042465A"/>
    <w:rsid w:val="00435B36"/>
    <w:rsid w:val="00442B24"/>
    <w:rsid w:val="004430CD"/>
    <w:rsid w:val="0044519B"/>
    <w:rsid w:val="00452F40"/>
    <w:rsid w:val="00453529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0CE"/>
    <w:rsid w:val="00581FF9"/>
    <w:rsid w:val="005A4F17"/>
    <w:rsid w:val="005B3509"/>
    <w:rsid w:val="005C25A0"/>
    <w:rsid w:val="005C757E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AF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E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7282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AFB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5E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ED1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04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729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23F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73E"/>
    <w:rsid w:val="00F96F54"/>
    <w:rsid w:val="00F978B8"/>
    <w:rsid w:val="00FA6528"/>
    <w:rsid w:val="00FB0D50"/>
    <w:rsid w:val="00FB3DE3"/>
    <w:rsid w:val="00FB5BBE"/>
    <w:rsid w:val="00FC2E17"/>
    <w:rsid w:val="00FC432A"/>
    <w:rsid w:val="00FC5D71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3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423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360584"/>
    <w:rPr>
      <w:i/>
      <w:iCs/>
    </w:rPr>
  </w:style>
  <w:style w:type="paragraph" w:customStyle="1" w:styleId="Affiliation">
    <w:name w:val="Affiliation"/>
    <w:basedOn w:val="Normal"/>
    <w:rsid w:val="00FC5D7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