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0D8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0D8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0D8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0D8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0D8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5F4BBE" w:rsidR="0000007A" w:rsidRPr="00ED0D80" w:rsidRDefault="0000007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/>
          </w:p>
        </w:tc>
      </w:tr>
      <w:tr w:rsidR="0000007A" w:rsidRPr="00ED0D8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0D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5092F2" w:rsidR="0000007A" w:rsidRPr="00ED0D8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734A9"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6594</w:t>
            </w:r>
          </w:p>
        </w:tc>
      </w:tr>
      <w:tr w:rsidR="0000007A" w:rsidRPr="00ED0D8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0D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FC73A21" w:rsidR="0000007A" w:rsidRPr="00ED0D80" w:rsidRDefault="000A16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0D80">
              <w:rPr>
                <w:rFonts w:ascii="Arial" w:hAnsi="Arial" w:cs="Arial"/>
                <w:b/>
                <w:sz w:val="20"/>
                <w:szCs w:val="20"/>
                <w:lang w:val="en-GB"/>
              </w:rPr>
              <w:t>Productivity Dynamics of the Indian Food Processing Industry: A Total Factor Productivity Approach</w:t>
            </w:r>
          </w:p>
        </w:tc>
      </w:tr>
      <w:tr w:rsidR="00CF0BBB" w:rsidRPr="00ED0D8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0D8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DCD7BA" w:rsidR="00CF0BBB" w:rsidRPr="00ED0D80" w:rsidRDefault="00B734A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D0D8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5DF9EA4F" w:rsidR="00D9392F" w:rsidRPr="00ED0D80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ED0D8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0D8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0D8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0D8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0D8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0D8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D0D8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D0D8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0D80">
              <w:rPr>
                <w:rFonts w:ascii="Arial" w:hAnsi="Arial" w:cs="Arial"/>
                <w:lang w:val="en-GB"/>
              </w:rPr>
              <w:t>Author’s Feedback</w:t>
            </w:r>
            <w:r w:rsidRPr="00ED0D8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0D8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0D8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0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0D8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D28748B" w:rsidR="00F1171E" w:rsidRPr="00ED0D80" w:rsidRDefault="000C45AF" w:rsidP="000C45A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This manuscript provides valuable insights into productivity dynamics of India’s food processing sector — a crucial link between agriculture and manufacturing. By applying the Cobb–Douglas production framework to estimate Total Factor Productivity (TFP), the study highlights structural heterogeneity and identifies sub-sectors with potential efficiency gains. The findings have strong implications for policymakers focusing on technological diffusion, supply chain efficiency, and skill development. The work contributes to a relatively underexplored area in the Indian industrial context, offering a sound empirical base for future research.</w:t>
            </w:r>
          </w:p>
        </w:tc>
        <w:tc>
          <w:tcPr>
            <w:tcW w:w="1523" w:type="pct"/>
          </w:tcPr>
          <w:p w14:paraId="462A339C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D8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0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0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5519038" w:rsidR="00F1171E" w:rsidRPr="00ED0D80" w:rsidRDefault="000C45AF" w:rsidP="000C45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Yes, the title is precise, relevant, and accurately reflects the content and methodology of the study.</w:t>
            </w:r>
          </w:p>
        </w:tc>
        <w:tc>
          <w:tcPr>
            <w:tcW w:w="1523" w:type="pct"/>
          </w:tcPr>
          <w:p w14:paraId="405B6701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D8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D0D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0D8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C5B4DFE" w14:textId="77777777" w:rsidR="000C45AF" w:rsidRPr="00ED0D80" w:rsidRDefault="000C45AF" w:rsidP="000C45A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The abstract is detailed and provides a clear summary of objectives, methods, key findings, and implications.</w:t>
            </w: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Minor suggestion:</w:t>
            </w:r>
          </w:p>
          <w:p w14:paraId="35CBEDE7" w14:textId="77777777" w:rsidR="000C45AF" w:rsidRPr="00ED0D80" w:rsidRDefault="000C45AF" w:rsidP="000C45AF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The sentence structure can be refined slightly for brevity and readability.</w:t>
            </w:r>
          </w:p>
          <w:p w14:paraId="0FB7E83A" w14:textId="2EDF15F3" w:rsidR="00F1171E" w:rsidRPr="00ED0D80" w:rsidRDefault="000C45AF" w:rsidP="000C45AF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Example: replace “was continued to be dominated” with “continues to be dominated.”</w:t>
            </w:r>
          </w:p>
        </w:tc>
        <w:tc>
          <w:tcPr>
            <w:tcW w:w="1523" w:type="pct"/>
          </w:tcPr>
          <w:p w14:paraId="1D54B730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D8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D0D8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04A0812" w:rsidR="00F1171E" w:rsidRPr="00ED0D80" w:rsidRDefault="000C45AF" w:rsidP="000C45A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Yes. The study employs appropriate econometric and statistical methods (Cobb–Douglas framework) and provides clear explanations of variable definitions and interpretations. The conclusions logically follow from the results.</w:t>
            </w:r>
          </w:p>
        </w:tc>
        <w:tc>
          <w:tcPr>
            <w:tcW w:w="1523" w:type="pct"/>
          </w:tcPr>
          <w:p w14:paraId="4898F764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D8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0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0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73522B" w:rsidR="00F1171E" w:rsidRPr="00ED0D80" w:rsidRDefault="000C45AF" w:rsidP="000C45A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>Yes. The manuscript cites relevant literature (2015–2024), including both Indian and international studies.</w:t>
            </w: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D0D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Suggestion:</w:t>
            </w:r>
            <w:r w:rsidRPr="00ED0D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Include one or two more recent references (post-2022) on productivity measurement in emerging markets to strengthen contextual grounding.</w:t>
            </w:r>
          </w:p>
        </w:tc>
        <w:tc>
          <w:tcPr>
            <w:tcW w:w="1523" w:type="pct"/>
          </w:tcPr>
          <w:p w14:paraId="40220055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D8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0D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0D8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8D7FE" w14:textId="77777777" w:rsidR="000C45AF" w:rsidRPr="00ED0D80" w:rsidRDefault="000C45AF" w:rsidP="000C45AF">
            <w:pPr>
              <w:rPr>
                <w:rFonts w:ascii="Arial" w:hAnsi="Arial" w:cs="Arial"/>
                <w:sz w:val="20"/>
                <w:szCs w:val="20"/>
              </w:rPr>
            </w:pPr>
            <w:r w:rsidRPr="00ED0D80">
              <w:rPr>
                <w:rFonts w:ascii="Arial" w:hAnsi="Arial" w:cs="Arial"/>
                <w:sz w:val="20"/>
                <w:szCs w:val="20"/>
              </w:rPr>
              <w:t>Yes, overall language quality is good. Minor grammatical issues and redundant phrases can be edited for conciseness (e.g., “was continued to be dominated” → “continues to be dominated”).</w:t>
            </w:r>
          </w:p>
          <w:p w14:paraId="6CBA4B2A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28118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0D8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0D8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0D8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0D8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0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E1EB85" w14:textId="77777777" w:rsidR="000C45AF" w:rsidRPr="00ED0D80" w:rsidRDefault="000C45AF" w:rsidP="000C45A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0D80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ED0D80">
              <w:rPr>
                <w:rFonts w:ascii="Arial" w:hAnsi="Arial" w:cs="Arial"/>
                <w:sz w:val="20"/>
                <w:szCs w:val="20"/>
              </w:rPr>
              <w:t xml:space="preserve"> paper is well-structured with clear sections on methodology, results, and policy implications.</w:t>
            </w:r>
          </w:p>
          <w:p w14:paraId="7B1520C9" w14:textId="77777777" w:rsidR="000C45AF" w:rsidRPr="00ED0D80" w:rsidRDefault="000C45AF" w:rsidP="000C45A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0D80">
              <w:rPr>
                <w:rFonts w:ascii="Arial" w:hAnsi="Arial" w:cs="Arial"/>
                <w:sz w:val="20"/>
                <w:szCs w:val="20"/>
              </w:rPr>
              <w:t>  Figures</w:t>
            </w:r>
            <w:proofErr w:type="gramEnd"/>
            <w:r w:rsidRPr="00ED0D80">
              <w:rPr>
                <w:rFonts w:ascii="Arial" w:hAnsi="Arial" w:cs="Arial"/>
                <w:sz w:val="20"/>
                <w:szCs w:val="20"/>
              </w:rPr>
              <w:t xml:space="preserve"> and tables are appropriately labeled and informative.</w:t>
            </w:r>
          </w:p>
          <w:p w14:paraId="7497BD32" w14:textId="77777777" w:rsidR="000C45AF" w:rsidRPr="00ED0D80" w:rsidRDefault="000C45AF" w:rsidP="000C45A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0D80">
              <w:rPr>
                <w:rFonts w:ascii="Arial" w:hAnsi="Arial" w:cs="Arial"/>
                <w:sz w:val="20"/>
                <w:szCs w:val="20"/>
              </w:rPr>
              <w:t>  Consider</w:t>
            </w:r>
            <w:proofErr w:type="gramEnd"/>
            <w:r w:rsidRPr="00ED0D80">
              <w:rPr>
                <w:rFonts w:ascii="Arial" w:hAnsi="Arial" w:cs="Arial"/>
                <w:sz w:val="20"/>
                <w:szCs w:val="20"/>
              </w:rPr>
              <w:t xml:space="preserve"> summarizing key findings visually in a chart or flow diagram for better readability.</w:t>
            </w:r>
          </w:p>
          <w:p w14:paraId="5E946A0E" w14:textId="1E647CBC" w:rsidR="00F1171E" w:rsidRPr="00ED0D80" w:rsidRDefault="000C45AF" w:rsidP="000C45A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0D80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ED0D80">
              <w:rPr>
                <w:rFonts w:ascii="Arial" w:hAnsi="Arial" w:cs="Arial"/>
                <w:sz w:val="20"/>
                <w:szCs w:val="20"/>
              </w:rPr>
              <w:t xml:space="preserve"> appendix provides robust data support, enhancing credibility.</w:t>
            </w:r>
          </w:p>
          <w:p w14:paraId="7EB58C99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0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ED0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D0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2032FF" w:rsidRPr="00ED0D80" w14:paraId="7AE2BC9E" w14:textId="77777777" w:rsidTr="005B38B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B9CE" w14:textId="77777777" w:rsidR="002032FF" w:rsidRPr="00ED0D80" w:rsidRDefault="002032FF" w:rsidP="005B38B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D0D8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0D8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F4AFD42" w14:textId="77777777" w:rsidR="002032FF" w:rsidRPr="00ED0D80" w:rsidRDefault="002032FF" w:rsidP="005B38B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032FF" w:rsidRPr="00ED0D80" w14:paraId="638BED35" w14:textId="77777777" w:rsidTr="005B38B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EC1D" w14:textId="77777777" w:rsidR="002032FF" w:rsidRPr="00ED0D80" w:rsidRDefault="002032FF" w:rsidP="005B38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F1F9" w14:textId="77777777" w:rsidR="002032FF" w:rsidRPr="00ED0D80" w:rsidRDefault="002032FF" w:rsidP="005B38B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0D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57FA457" w14:textId="77777777" w:rsidR="002032FF" w:rsidRPr="00ED0D80" w:rsidRDefault="002032FF" w:rsidP="005B38B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D0D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D0D8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CD070FF" w14:textId="77777777" w:rsidR="002032FF" w:rsidRPr="00ED0D80" w:rsidRDefault="002032FF" w:rsidP="005B38B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032FF" w:rsidRPr="00ED0D80" w14:paraId="7463A674" w14:textId="77777777" w:rsidTr="005B38B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7ECCA" w14:textId="77777777" w:rsidR="002032FF" w:rsidRPr="00ED0D80" w:rsidRDefault="002032FF" w:rsidP="005B38B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D0D8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2E3AF63" w14:textId="77777777" w:rsidR="002032FF" w:rsidRPr="00ED0D80" w:rsidRDefault="002032FF" w:rsidP="005B38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570A" w14:textId="77777777" w:rsidR="002032FF" w:rsidRPr="00ED0D80" w:rsidRDefault="002032FF" w:rsidP="005B38B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0D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0D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0D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133C797" w14:textId="77777777" w:rsidR="002032FF" w:rsidRPr="00ED0D80" w:rsidRDefault="002032FF" w:rsidP="005B38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A7CC518" w14:textId="77777777" w:rsidR="002032FF" w:rsidRPr="00ED0D80" w:rsidRDefault="002032FF" w:rsidP="005B38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A2105F" w14:textId="77777777" w:rsidR="002032FF" w:rsidRPr="00ED0D80" w:rsidRDefault="002032FF" w:rsidP="005B38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5AE081" w14:textId="77777777" w:rsidR="002032FF" w:rsidRPr="00ED0D80" w:rsidRDefault="002032FF" w:rsidP="005B38B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DF59811" w14:textId="77777777" w:rsidR="002032FF" w:rsidRPr="00ED0D80" w:rsidRDefault="002032FF" w:rsidP="002032FF">
      <w:pPr>
        <w:rPr>
          <w:rFonts w:ascii="Arial" w:hAnsi="Arial" w:cs="Arial"/>
          <w:sz w:val="20"/>
          <w:szCs w:val="20"/>
        </w:rPr>
      </w:pPr>
    </w:p>
    <w:p w14:paraId="41D79B9E" w14:textId="77777777" w:rsidR="002032FF" w:rsidRPr="00ED0D80" w:rsidRDefault="002032FF" w:rsidP="002032FF">
      <w:pPr>
        <w:rPr>
          <w:rFonts w:ascii="Arial" w:hAnsi="Arial" w:cs="Arial"/>
          <w:sz w:val="20"/>
          <w:szCs w:val="20"/>
        </w:rPr>
      </w:pPr>
    </w:p>
    <w:bookmarkEnd w:id="1"/>
    <w:p w14:paraId="56516774" w14:textId="77777777" w:rsidR="00ED0D80" w:rsidRPr="00A9348F" w:rsidRDefault="00ED0D80" w:rsidP="00ED0D8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9348F">
        <w:rPr>
          <w:rFonts w:ascii="Arial" w:hAnsi="Arial" w:cs="Arial"/>
          <w:b/>
          <w:u w:val="single"/>
        </w:rPr>
        <w:t>Reviewer details:</w:t>
      </w:r>
    </w:p>
    <w:p w14:paraId="0BFAA76F" w14:textId="77777777" w:rsidR="00ED0D80" w:rsidRPr="00A9348F" w:rsidRDefault="00ED0D80" w:rsidP="00ED0D8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9348F">
        <w:rPr>
          <w:rFonts w:ascii="Arial" w:hAnsi="Arial" w:cs="Arial"/>
          <w:b/>
          <w:color w:val="000000"/>
        </w:rPr>
        <w:t>Hooman Shababi, Iran</w:t>
      </w:r>
    </w:p>
    <w:p w14:paraId="67F75583" w14:textId="77777777" w:rsidR="002032FF" w:rsidRPr="00ED0D80" w:rsidRDefault="002032FF" w:rsidP="002032FF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ED0D80" w:rsidRDefault="004C3DF1" w:rsidP="002032F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ED0D8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2F05" w14:textId="77777777" w:rsidR="009566F2" w:rsidRPr="0000007A" w:rsidRDefault="009566F2" w:rsidP="0099583E">
      <w:r>
        <w:separator/>
      </w:r>
    </w:p>
  </w:endnote>
  <w:endnote w:type="continuationSeparator" w:id="0">
    <w:p w14:paraId="5A901A34" w14:textId="77777777" w:rsidR="009566F2" w:rsidRPr="0000007A" w:rsidRDefault="009566F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E62C" w14:textId="77777777" w:rsidR="009566F2" w:rsidRPr="0000007A" w:rsidRDefault="009566F2" w:rsidP="0099583E">
      <w:r>
        <w:separator/>
      </w:r>
    </w:p>
  </w:footnote>
  <w:footnote w:type="continuationSeparator" w:id="0">
    <w:p w14:paraId="4C71144D" w14:textId="77777777" w:rsidR="009566F2" w:rsidRPr="0000007A" w:rsidRDefault="009566F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B47FF3"/>
    <w:multiLevelType w:val="multilevel"/>
    <w:tmpl w:val="BE34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2506689">
    <w:abstractNumId w:val="4"/>
  </w:num>
  <w:num w:numId="2" w16cid:durableId="1859852959">
    <w:abstractNumId w:val="7"/>
  </w:num>
  <w:num w:numId="3" w16cid:durableId="1691099606">
    <w:abstractNumId w:val="6"/>
  </w:num>
  <w:num w:numId="4" w16cid:durableId="980770383">
    <w:abstractNumId w:val="8"/>
  </w:num>
  <w:num w:numId="5" w16cid:durableId="1727533503">
    <w:abstractNumId w:val="5"/>
  </w:num>
  <w:num w:numId="6" w16cid:durableId="406609679">
    <w:abstractNumId w:val="0"/>
  </w:num>
  <w:num w:numId="7" w16cid:durableId="750927080">
    <w:abstractNumId w:val="1"/>
  </w:num>
  <w:num w:numId="8" w16cid:durableId="2098942099">
    <w:abstractNumId w:val="10"/>
  </w:num>
  <w:num w:numId="9" w16cid:durableId="1476023478">
    <w:abstractNumId w:val="9"/>
  </w:num>
  <w:num w:numId="10" w16cid:durableId="1012993526">
    <w:abstractNumId w:val="3"/>
  </w:num>
  <w:num w:numId="11" w16cid:durableId="2131196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45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6AD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5A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32FF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55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CC2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A86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CA9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D45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04C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6F2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2B36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995"/>
    <w:rsid w:val="00A948D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4A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D80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3CA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1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D0D8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