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2C66AB" w:rsidRPr="00015A29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2C66AB" w:rsidRPr="00015A29" w:rsidRDefault="002C66AB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2C66AB" w:rsidRPr="00015A29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2C66AB" w:rsidRPr="00015A29" w:rsidRDefault="00B134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2C66AB" w:rsidRPr="00015A29" w:rsidRDefault="00B134A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15A2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Three Chinese Contemporary Artists: Plural Dimensions, Plural Revelations</w:t>
            </w:r>
          </w:p>
        </w:tc>
      </w:tr>
      <w:tr w:rsidR="002C66AB" w:rsidRPr="00015A29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2C66AB" w:rsidRPr="00015A29" w:rsidRDefault="00B134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2C66AB" w:rsidRPr="00015A29" w:rsidRDefault="00B134A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15A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Ms_BPR_6614</w:t>
            </w:r>
          </w:p>
        </w:tc>
      </w:tr>
      <w:tr w:rsidR="002C66AB" w:rsidRPr="00015A29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2C66AB" w:rsidRPr="00015A29" w:rsidRDefault="00B134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2C66AB" w:rsidRPr="00015A29" w:rsidRDefault="00B134A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15A29">
              <w:rPr>
                <w:rFonts w:ascii="Arial" w:hAnsi="Arial" w:cs="Arial"/>
                <w:b/>
                <w:sz w:val="20"/>
                <w:szCs w:val="20"/>
                <w:lang w:val="en-GB"/>
              </w:rPr>
              <w:t>Three Chinese Contemporary Artists: Plural Dimensions, Plural Revelations</w:t>
            </w:r>
          </w:p>
        </w:tc>
      </w:tr>
      <w:tr w:rsidR="002C66AB" w:rsidRPr="00015A29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2C66AB" w:rsidRPr="00015A29" w:rsidRDefault="00B134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2C66AB" w:rsidRPr="00015A29" w:rsidRDefault="00B134A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2C66AB" w:rsidRPr="00015A29" w:rsidRDefault="002C66A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2C66AB" w:rsidRPr="00015A29" w:rsidRDefault="002C66A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2C66AB" w:rsidRPr="00015A29" w:rsidRDefault="002C66AB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2C66AB" w:rsidRPr="00015A29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2C66AB" w:rsidRPr="00015A29" w:rsidRDefault="00B134A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5A2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5A2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2C66AB" w:rsidRPr="00015A29" w:rsidRDefault="002C66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C66AB" w:rsidRPr="00015A29" w14:paraId="5EA12279" w14:textId="77777777">
        <w:tc>
          <w:tcPr>
            <w:tcW w:w="1265" w:type="pct"/>
            <w:noWrap/>
          </w:tcPr>
          <w:p w14:paraId="7AE9682F" w14:textId="77777777" w:rsidR="002C66AB" w:rsidRPr="00015A29" w:rsidRDefault="002C66A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2C66AB" w:rsidRPr="00015A29" w:rsidRDefault="00B134A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5A2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2C66AB" w:rsidRPr="00015A29" w:rsidRDefault="00B134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A2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2C66AB" w:rsidRPr="00015A29" w:rsidRDefault="002C66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2" w:type="pct"/>
          </w:tcPr>
          <w:p w14:paraId="57792C30" w14:textId="77777777" w:rsidR="002C66AB" w:rsidRPr="00015A29" w:rsidRDefault="00B134A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5A29">
              <w:rPr>
                <w:rFonts w:ascii="Arial" w:hAnsi="Arial" w:cs="Arial"/>
                <w:lang w:val="en-GB"/>
              </w:rPr>
              <w:t>Author’s Feedback</w:t>
            </w:r>
            <w:r w:rsidRPr="00015A2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5A2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C66AB" w:rsidRPr="00015A29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2C66AB" w:rsidRPr="00015A29" w:rsidRDefault="00B13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2C66AB" w:rsidRPr="00015A29" w:rsidRDefault="002C66AB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400EED6" w14:textId="77777777" w:rsidR="002C66AB" w:rsidRPr="00015A29" w:rsidRDefault="00B134A9">
            <w:pPr>
              <w:rPr>
                <w:rFonts w:ascii="Arial" w:hAnsi="Arial" w:cs="Arial"/>
                <w:sz w:val="20"/>
                <w:szCs w:val="20"/>
              </w:rPr>
            </w:pPr>
            <w:r w:rsidRPr="00015A29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ar"/>
              </w:rPr>
              <w:t xml:space="preserve">The six essays collected in this volume each examine key works from different stages of these </w:t>
            </w:r>
          </w:p>
          <w:p w14:paraId="3AB619F6" w14:textId="77777777" w:rsidR="002C66AB" w:rsidRPr="00015A29" w:rsidRDefault="00B134A9">
            <w:pPr>
              <w:rPr>
                <w:rFonts w:ascii="Arial" w:hAnsi="Arial" w:cs="Arial"/>
                <w:sz w:val="20"/>
                <w:szCs w:val="20"/>
              </w:rPr>
            </w:pPr>
            <w:r w:rsidRPr="00015A29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ar"/>
              </w:rPr>
              <w:t>artists’ practices. Employing methodologies that span visual rhetoric analysis, semiotic critique, cross-cultural comparison, gender and queer theory, posthuman ecological philosophy, and beyond, the book seeks to transcend the limitations of traditional art history or single-perspective criticism, and to construct a discourse of art theory that is both politically charged and emotionally resonant.</w:t>
            </w:r>
          </w:p>
          <w:p w14:paraId="06844746" w14:textId="77777777" w:rsidR="002C66AB" w:rsidRPr="00015A29" w:rsidRDefault="00B134A9">
            <w:pPr>
              <w:rPr>
                <w:rFonts w:ascii="Arial" w:hAnsi="Arial" w:cs="Arial"/>
                <w:sz w:val="20"/>
                <w:szCs w:val="20"/>
              </w:rPr>
            </w:pPr>
            <w:r w:rsidRPr="00015A29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ar"/>
              </w:rPr>
              <w:t xml:space="preserve">The six essays collected in this volume each examine key works from different stages of these </w:t>
            </w:r>
          </w:p>
          <w:p w14:paraId="12B70AE0" w14:textId="77777777" w:rsidR="002C66AB" w:rsidRPr="00015A29" w:rsidRDefault="00B134A9">
            <w:pPr>
              <w:rPr>
                <w:rFonts w:ascii="Arial" w:hAnsi="Arial" w:cs="Arial"/>
                <w:sz w:val="20"/>
                <w:szCs w:val="20"/>
              </w:rPr>
            </w:pPr>
            <w:r w:rsidRPr="00015A29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ar"/>
              </w:rPr>
              <w:t>artists’ practices. Employing methodologies that span visual rhetoric analysis, semiotic critique, cross-cultural comparison, gender and queer theory, posthuman ecological philosophy, and beyond, the book seeks to transcend the limitations of traditional art history or single-perspective criticism, and to construct a discourse of art theory that is both politically charged and emotionally resonant.</w:t>
            </w:r>
          </w:p>
          <w:p w14:paraId="57A07316" w14:textId="77777777" w:rsidR="002C66AB" w:rsidRPr="00015A29" w:rsidRDefault="002C66AB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2" w:type="pct"/>
          </w:tcPr>
          <w:p w14:paraId="462A339C" w14:textId="77777777" w:rsidR="002C66AB" w:rsidRPr="00015A29" w:rsidRDefault="002C66A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C66AB" w:rsidRPr="00015A29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2C66AB" w:rsidRPr="00015A29" w:rsidRDefault="00B13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2C66AB" w:rsidRPr="00015A29" w:rsidRDefault="00B13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2C66AB" w:rsidRPr="00015A29" w:rsidRDefault="002C66A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2C66AB" w:rsidRPr="00015A29" w:rsidRDefault="00B13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sz w:val="20"/>
                <w:szCs w:val="20"/>
              </w:rPr>
              <w:t>Title of the article is suitable.</w:t>
            </w:r>
          </w:p>
        </w:tc>
        <w:tc>
          <w:tcPr>
            <w:tcW w:w="1522" w:type="pct"/>
          </w:tcPr>
          <w:p w14:paraId="405B6701" w14:textId="77777777" w:rsidR="002C66AB" w:rsidRPr="00015A29" w:rsidRDefault="002C66A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C66AB" w:rsidRPr="00015A29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2C66AB" w:rsidRPr="00015A29" w:rsidRDefault="00B134A9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5A2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2C66AB" w:rsidRPr="00015A29" w:rsidRDefault="002C66A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2C66AB" w:rsidRPr="00015A29" w:rsidRDefault="00B13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sz w:val="20"/>
                <w:szCs w:val="20"/>
              </w:rPr>
              <w:t>The abstract of the article is sufficiently comprehensive.</w:t>
            </w:r>
          </w:p>
        </w:tc>
        <w:tc>
          <w:tcPr>
            <w:tcW w:w="1522" w:type="pct"/>
          </w:tcPr>
          <w:p w14:paraId="1D54B730" w14:textId="77777777" w:rsidR="002C66AB" w:rsidRPr="00015A29" w:rsidRDefault="002C66A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C66AB" w:rsidRPr="00015A29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2C66AB" w:rsidRPr="00015A29" w:rsidRDefault="00B13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5A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2C66AB" w:rsidRPr="00015A29" w:rsidRDefault="00B13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sz w:val="20"/>
                <w:szCs w:val="20"/>
              </w:rPr>
              <w:t>The manuscript is scientifically correct.</w:t>
            </w:r>
          </w:p>
        </w:tc>
        <w:tc>
          <w:tcPr>
            <w:tcW w:w="1522" w:type="pct"/>
          </w:tcPr>
          <w:p w14:paraId="4898F764" w14:textId="77777777" w:rsidR="002C66AB" w:rsidRPr="00015A29" w:rsidRDefault="002C66A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C66AB" w:rsidRPr="00015A29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2C66AB" w:rsidRPr="00015A29" w:rsidRDefault="00B13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2C66AB" w:rsidRPr="00015A29" w:rsidRDefault="00B13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5A2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2C66AB" w:rsidRPr="00015A29" w:rsidRDefault="00B13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sz w:val="20"/>
                <w:szCs w:val="20"/>
              </w:rPr>
              <w:t>The writer researcher of the manuscript has utilized relevant and proper references castigating sufficiency in his manuscript.</w:t>
            </w:r>
          </w:p>
        </w:tc>
        <w:tc>
          <w:tcPr>
            <w:tcW w:w="1522" w:type="pct"/>
          </w:tcPr>
          <w:p w14:paraId="40220055" w14:textId="77777777" w:rsidR="002C66AB" w:rsidRPr="00015A29" w:rsidRDefault="002C66A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C66AB" w:rsidRPr="00015A29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2C66AB" w:rsidRPr="00015A29" w:rsidRDefault="002C66A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2C66AB" w:rsidRPr="00015A29" w:rsidRDefault="00B134A9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5A2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2C66AB" w:rsidRPr="00015A29" w:rsidRDefault="002C66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77777777" w:rsidR="002C66AB" w:rsidRPr="00015A29" w:rsidRDefault="00B13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sz w:val="20"/>
                <w:szCs w:val="20"/>
              </w:rPr>
              <w:t>The English quality of the article is suitable for the scholarly communications.</w:t>
            </w:r>
          </w:p>
        </w:tc>
        <w:tc>
          <w:tcPr>
            <w:tcW w:w="1522" w:type="pct"/>
          </w:tcPr>
          <w:p w14:paraId="0351CA58" w14:textId="77777777" w:rsidR="002C66AB" w:rsidRPr="00015A29" w:rsidRDefault="002C66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C66AB" w:rsidRPr="00015A29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2C66AB" w:rsidRPr="00015A29" w:rsidRDefault="00B134A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5A2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15A2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15A2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2C66AB" w:rsidRPr="00015A29" w:rsidRDefault="002C66A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CD807B8" w14:textId="77777777" w:rsidR="002C66AB" w:rsidRPr="00015A29" w:rsidRDefault="002C66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C5065F" w14:textId="77777777" w:rsidR="002C66AB" w:rsidRPr="00015A29" w:rsidRDefault="002C66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2" w:type="pct"/>
          </w:tcPr>
          <w:p w14:paraId="465E098E" w14:textId="77777777" w:rsidR="002C66AB" w:rsidRPr="00015A29" w:rsidRDefault="002C66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D65B5B0" w14:textId="77777777" w:rsidR="002C66AB" w:rsidRPr="00015A29" w:rsidRDefault="002C66A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2C66AB" w:rsidRPr="00015A29" w:rsidRDefault="002C66A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2C66AB" w:rsidRPr="00015A29" w:rsidRDefault="002C66A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2C66AB" w:rsidRPr="00015A29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2C66AB" w:rsidRPr="00015A29" w:rsidRDefault="00B134A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15A2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15A2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2C66AB" w:rsidRPr="00015A29" w:rsidRDefault="002C66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C66AB" w:rsidRPr="00015A29" w14:paraId="5356501F" w14:textId="77777777">
        <w:trPr>
          <w:trHeight w:val="935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2C66AB" w:rsidRPr="00015A29" w:rsidRDefault="002C66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EDC2" w14:textId="77777777" w:rsidR="002C66AB" w:rsidRPr="00015A29" w:rsidRDefault="002C66AB">
            <w:pPr>
              <w:pStyle w:val="Heading2"/>
              <w:ind w:firstLineChars="300" w:firstLine="602"/>
              <w:jc w:val="left"/>
              <w:rPr>
                <w:rFonts w:ascii="Arial" w:hAnsi="Arial" w:cs="Arial"/>
                <w:lang w:val="en-GB"/>
              </w:rPr>
            </w:pPr>
          </w:p>
          <w:p w14:paraId="4C8040F4" w14:textId="77777777" w:rsidR="002C66AB" w:rsidRPr="00015A29" w:rsidRDefault="00B134A9">
            <w:pPr>
              <w:pStyle w:val="Heading2"/>
              <w:ind w:firstLineChars="300" w:firstLine="602"/>
              <w:jc w:val="left"/>
              <w:rPr>
                <w:rFonts w:ascii="Arial" w:hAnsi="Arial" w:cs="Arial"/>
                <w:lang w:val="en-GB"/>
              </w:rPr>
            </w:pPr>
            <w:r w:rsidRPr="00015A2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EBFFFF"/>
          </w:tcPr>
          <w:p w14:paraId="6F48B50B" w14:textId="77777777" w:rsidR="002C66AB" w:rsidRPr="00015A29" w:rsidRDefault="00B134A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5A29">
              <w:rPr>
                <w:rFonts w:ascii="Arial" w:hAnsi="Arial" w:cs="Arial"/>
                <w:lang w:val="en-GB"/>
              </w:rPr>
              <w:t>Author’s comment</w:t>
            </w:r>
            <w:r w:rsidRPr="00015A2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5A2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2C66AB" w:rsidRPr="00015A29" w14:paraId="3944C8A3" w14:textId="77777777" w:rsidTr="000135D3">
        <w:trPr>
          <w:trHeight w:val="697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2C66AB" w:rsidRPr="00015A29" w:rsidRDefault="00B134A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2C66AB" w:rsidRPr="00015A29" w:rsidRDefault="002C66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2C66AB" w:rsidRPr="00015A29" w:rsidRDefault="00B134A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5A29">
              <w:rPr>
                <w:rFonts w:ascii="Arial" w:hAnsi="Arial" w:cs="Arial"/>
                <w:sz w:val="20"/>
                <w:szCs w:val="20"/>
              </w:rPr>
              <w:t>I do not think there is any ethical issues in the manuscript.</w:t>
            </w:r>
          </w:p>
        </w:tc>
        <w:tc>
          <w:tcPr>
            <w:tcW w:w="1342" w:type="pct"/>
            <w:shd w:val="clear" w:color="auto" w:fill="EBFFFF"/>
            <w:vAlign w:val="center"/>
          </w:tcPr>
          <w:p w14:paraId="780A9F8E" w14:textId="77777777" w:rsidR="002C66AB" w:rsidRPr="00015A29" w:rsidRDefault="002C66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2C66AB" w:rsidRPr="00015A29" w:rsidRDefault="002C66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2C66AB" w:rsidRPr="00015A29" w:rsidRDefault="002C66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2C66AB" w:rsidRPr="00015A29" w:rsidRDefault="002C66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2C66AB" w:rsidRDefault="002C66AB">
      <w:pPr>
        <w:rPr>
          <w:rFonts w:ascii="Arial" w:hAnsi="Arial" w:cs="Arial"/>
          <w:b/>
          <w:sz w:val="20"/>
          <w:szCs w:val="20"/>
          <w:lang w:val="en-GB"/>
        </w:rPr>
      </w:pPr>
    </w:p>
    <w:p w14:paraId="044F7B54" w14:textId="77777777" w:rsidR="00015A29" w:rsidRPr="00A13FDC" w:rsidRDefault="00015A29" w:rsidP="00015A2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13FDC">
        <w:rPr>
          <w:rFonts w:ascii="Arial" w:hAnsi="Arial" w:cs="Arial"/>
          <w:b/>
          <w:u w:val="single"/>
        </w:rPr>
        <w:t>Reviewer details:</w:t>
      </w:r>
    </w:p>
    <w:p w14:paraId="783AFE02" w14:textId="77777777" w:rsidR="00015A29" w:rsidRPr="00A13FDC" w:rsidRDefault="00015A29" w:rsidP="00015A2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13FDC">
        <w:rPr>
          <w:rFonts w:ascii="Arial" w:hAnsi="Arial" w:cs="Arial"/>
          <w:b/>
          <w:color w:val="000000"/>
        </w:rPr>
        <w:t>Chandramani P Singh, Gujarat Technological University, India</w:t>
      </w:r>
    </w:p>
    <w:p w14:paraId="44626CA9" w14:textId="77777777" w:rsidR="00015A29" w:rsidRPr="00015A29" w:rsidRDefault="00015A29">
      <w:pPr>
        <w:rPr>
          <w:rFonts w:ascii="Arial" w:hAnsi="Arial" w:cs="Arial"/>
          <w:b/>
          <w:sz w:val="20"/>
          <w:szCs w:val="20"/>
        </w:rPr>
      </w:pPr>
    </w:p>
    <w:sectPr w:rsidR="00015A29" w:rsidRPr="00015A29">
      <w:headerReference w:type="default" r:id="rId6"/>
      <w:footerReference w:type="default" r:id="rId7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861CE" w14:textId="77777777" w:rsidR="00650D45" w:rsidRDefault="00650D45">
      <w:r>
        <w:separator/>
      </w:r>
    </w:p>
  </w:endnote>
  <w:endnote w:type="continuationSeparator" w:id="0">
    <w:p w14:paraId="65345B0C" w14:textId="77777777" w:rsidR="00650D45" w:rsidRDefault="0065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2C66AB" w:rsidRDefault="00B134A9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B9B9" w14:textId="77777777" w:rsidR="00650D45" w:rsidRDefault="00650D45">
      <w:r>
        <w:separator/>
      </w:r>
    </w:p>
  </w:footnote>
  <w:footnote w:type="continuationSeparator" w:id="0">
    <w:p w14:paraId="5C678753" w14:textId="77777777" w:rsidR="00650D45" w:rsidRDefault="00650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2C66AB" w:rsidRDefault="002C66A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2C66AB" w:rsidRDefault="002C66A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2C66AB" w:rsidRDefault="00B134A9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5D3"/>
    <w:rsid w:val="00015A29"/>
    <w:rsid w:val="000168A9"/>
    <w:rsid w:val="00021981"/>
    <w:rsid w:val="000234E1"/>
    <w:rsid w:val="0002598E"/>
    <w:rsid w:val="00037D52"/>
    <w:rsid w:val="000450FC"/>
    <w:rsid w:val="00054BC4"/>
    <w:rsid w:val="00056CB0"/>
    <w:rsid w:val="0005785D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66AB"/>
    <w:rsid w:val="002D1AF0"/>
    <w:rsid w:val="002D60EF"/>
    <w:rsid w:val="002E10DF"/>
    <w:rsid w:val="002E1211"/>
    <w:rsid w:val="002E2339"/>
    <w:rsid w:val="002E5C81"/>
    <w:rsid w:val="002E6D86"/>
    <w:rsid w:val="002E7787"/>
    <w:rsid w:val="002F570A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0D45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1C2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56D3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4D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34A9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48C1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169B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977C8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68BF"/>
    <w:rsid w:val="00F77BC1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3C7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7ED5C"/>
  <w15:docId w15:val="{3743238F-38E9-4514-9EB1-1504A1C7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77BC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15A2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454</Words>
  <Characters>2594</Characters>
  <Application>Microsoft Office Word</Application>
  <DocSecurity>0</DocSecurity>
  <Lines>21</Lines>
  <Paragraphs>6</Paragraphs>
  <ScaleCrop>false</ScaleCrop>
  <Company>HP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2025-11-01T12:59:00Z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1033-12.2.0.22549</vt:lpwstr>
  </property>
  <property fmtid="{D5CDD505-2E9C-101B-9397-08002B2CF9AE}" pid="4" name="ICV">
    <vt:lpwstr>73DC722BF4A24D788C7DBEA43AC14643_12</vt:lpwstr>
  </property>
</Properties>
</file>