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429D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429D0" w:rsidRDefault="00602F7D" w:rsidP="00F2643C">
            <w:pPr>
              <w:pStyle w:val="Heading2"/>
              <w:jc w:val="left"/>
              <w:rPr>
                <w:rFonts w:ascii="Aptos Narrow" w:hAnsi="Aptos Narrow" w:cs="Arial"/>
                <w:b w:val="0"/>
                <w:bCs w:val="0"/>
                <w:lang w:val="en-US"/>
              </w:rPr>
            </w:pPr>
          </w:p>
        </w:tc>
      </w:tr>
      <w:tr w:rsidR="0000007A" w:rsidRPr="00B429D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429D0" w:rsidRDefault="00D27A79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429D0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E7AE0F1" w:rsidR="0000007A" w:rsidRPr="00B429D0" w:rsidRDefault="000C6966" w:rsidP="00054BC4">
            <w:pPr>
              <w:pStyle w:val="NormalWeb"/>
              <w:rPr>
                <w:rFonts w:ascii="Aptos Narrow" w:hAnsi="Aptos Narrow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429D0">
                <w:rPr>
                  <w:rStyle w:val="Hyperlink"/>
                  <w:rFonts w:ascii="Aptos Narrow" w:hAnsi="Aptos Narrow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B429D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429D0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3534F5" w:rsidR="0000007A" w:rsidRPr="00B429D0" w:rsidRDefault="00E72A8E" w:rsidP="00F3669D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429D0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429D0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R</w:t>
            </w:r>
            <w:r w:rsidRPr="00B429D0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_</w:t>
            </w:r>
            <w:r w:rsidR="00FD2038" w:rsidRPr="00B429D0">
              <w:rPr>
                <w:rFonts w:ascii="Aptos Narrow" w:hAnsi="Aptos Narrow" w:cs="Arial"/>
                <w:b/>
                <w:bCs/>
                <w:sz w:val="20"/>
                <w:szCs w:val="20"/>
                <w:lang w:val="en-GB"/>
              </w:rPr>
              <w:t>6644</w:t>
            </w:r>
          </w:p>
        </w:tc>
      </w:tr>
      <w:tr w:rsidR="0000007A" w:rsidRPr="00B429D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429D0" w:rsidRDefault="0000007A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98F7" w:rsidR="0000007A" w:rsidRPr="00B429D0" w:rsidRDefault="002E529A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highlight w:val="yellow"/>
                <w:lang w:val="en-GB"/>
              </w:rPr>
            </w:pPr>
            <w:r w:rsidRPr="00B429D0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Can Continuous Glucose Monitoring be Successful in Managing Diabetes Mellitus in the General Internal Medicine Residency Clinic</w:t>
            </w:r>
          </w:p>
        </w:tc>
      </w:tr>
      <w:tr w:rsidR="00CF0BBB" w:rsidRPr="00B429D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429D0" w:rsidRDefault="00CF0BBB" w:rsidP="00696CAD">
            <w:pPr>
              <w:pStyle w:val="BodyText"/>
              <w:ind w:left="90"/>
              <w:jc w:val="left"/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123918" w:rsidR="00CF0BBB" w:rsidRPr="00B429D0" w:rsidRDefault="00FD2038" w:rsidP="000450FC">
            <w:pPr>
              <w:pStyle w:val="NormalWeb"/>
              <w:spacing w:before="0" w:beforeAutospacing="0" w:after="0" w:afterAutospacing="0"/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429D0" w:rsidRDefault="00037D52" w:rsidP="0000007A">
      <w:pPr>
        <w:pStyle w:val="BodyText"/>
        <w:rPr>
          <w:rFonts w:ascii="Aptos Narrow" w:hAnsi="Aptos Narrow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B429D0" w:rsidRDefault="00D27A79" w:rsidP="00D9392F">
      <w:pPr>
        <w:pStyle w:val="BodyText"/>
        <w:ind w:left="1440"/>
        <w:rPr>
          <w:rFonts w:ascii="Aptos Narrow" w:hAnsi="Aptos Narrow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429D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B429D0">
              <w:rPr>
                <w:rFonts w:ascii="Aptos Narrow" w:hAnsi="Aptos Narrow"/>
                <w:highlight w:val="yellow"/>
                <w:lang w:val="en-GB"/>
              </w:rPr>
              <w:t>PART  1:</w:t>
            </w:r>
            <w:r w:rsidRPr="00B429D0">
              <w:rPr>
                <w:rFonts w:ascii="Aptos Narrow" w:hAnsi="Aptos Narrow"/>
                <w:lang w:val="en-GB"/>
              </w:rPr>
              <w:t xml:space="preserve"> Comments</w:t>
            </w:r>
          </w:p>
          <w:p w14:paraId="1287753C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B429D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B429D0">
              <w:rPr>
                <w:rFonts w:ascii="Aptos Narrow" w:hAnsi="Aptos Narrow"/>
                <w:lang w:val="en-GB"/>
              </w:rPr>
              <w:t>Reviewer’s comment</w:t>
            </w:r>
          </w:p>
          <w:p w14:paraId="693A9C4D" w14:textId="77777777" w:rsidR="00421DBF" w:rsidRPr="00B429D0" w:rsidRDefault="00421DBF" w:rsidP="00421DBF">
            <w:pPr>
              <w:rPr>
                <w:rFonts w:ascii="Aptos Narrow" w:hAnsi="Aptos Narrow" w:cs="Arial"/>
                <w:b/>
                <w:bCs/>
                <w:sz w:val="20"/>
                <w:szCs w:val="20"/>
              </w:rPr>
            </w:pPr>
            <w:r w:rsidRPr="00B429D0">
              <w:rPr>
                <w:rFonts w:ascii="Aptos Narrow" w:hAnsi="Aptos Narrow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429D0" w:rsidRDefault="00421DBF" w:rsidP="00421DBF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  <w:r w:rsidRPr="00B429D0">
              <w:rPr>
                <w:rFonts w:ascii="Aptos Narrow" w:hAnsi="Aptos Narrow"/>
                <w:lang w:val="en-GB"/>
              </w:rPr>
              <w:t>Author’s Feedback</w:t>
            </w:r>
            <w:r w:rsidRPr="00B429D0">
              <w:rPr>
                <w:rFonts w:ascii="Aptos Narrow" w:hAnsi="Aptos Narrow"/>
                <w:b w:val="0"/>
                <w:lang w:val="en-GB"/>
              </w:rPr>
              <w:t xml:space="preserve"> </w:t>
            </w:r>
            <w:r w:rsidRPr="00B429D0">
              <w:rPr>
                <w:rFonts w:ascii="Aptos Narrow" w:hAnsi="Aptos Narrow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429D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429D0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429D0" w:rsidRDefault="00F1171E" w:rsidP="007222C8">
            <w:pPr>
              <w:ind w:left="360"/>
              <w:rPr>
                <w:rFonts w:ascii="Aptos Narrow" w:eastAsia="MS Mincho" w:hAnsi="Aptos Narrow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47346CC" w:rsidR="00F1171E" w:rsidRPr="00B429D0" w:rsidRDefault="0057242C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sz w:val="20"/>
                <w:szCs w:val="20"/>
              </w:rPr>
              <w:t xml:space="preserve">This study evaluates the potential of </w:t>
            </w:r>
            <w:proofErr w:type="gramStart"/>
            <w:r w:rsidRPr="00B429D0">
              <w:rPr>
                <w:rFonts w:ascii="Aptos Narrow" w:hAnsi="Aptos Narrow"/>
                <w:sz w:val="20"/>
                <w:szCs w:val="20"/>
              </w:rPr>
              <w:t>CGM  over</w:t>
            </w:r>
            <w:proofErr w:type="gramEnd"/>
            <w:r w:rsidRPr="00B429D0">
              <w:rPr>
                <w:rFonts w:ascii="Aptos Narrow" w:hAnsi="Aptos Narrow"/>
                <w:sz w:val="20"/>
                <w:szCs w:val="20"/>
              </w:rPr>
              <w:t xml:space="preserve"> SMBG, which is helpful in monitoring the DM.</w:t>
            </w:r>
          </w:p>
        </w:tc>
        <w:tc>
          <w:tcPr>
            <w:tcW w:w="1523" w:type="pct"/>
          </w:tcPr>
          <w:p w14:paraId="462A339C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B429D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429D0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429D0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FDFE655" w:rsidR="00F1171E" w:rsidRPr="00B429D0" w:rsidRDefault="0057242C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B429D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429D0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lang w:val="en-GB"/>
              </w:rPr>
            </w:pPr>
            <w:r w:rsidRPr="00B429D0">
              <w:rPr>
                <w:rFonts w:ascii="Aptos Narrow" w:hAnsi="Aptos Narrow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0B59F3" w:rsidR="00F1171E" w:rsidRPr="00B429D0" w:rsidRDefault="0057242C" w:rsidP="0057242C">
            <w:pPr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Instaed</w:t>
            </w:r>
            <w:proofErr w:type="spellEnd"/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 of starting the abstract with objectives, Author can write some background about the study.</w:t>
            </w:r>
          </w:p>
        </w:tc>
        <w:tc>
          <w:tcPr>
            <w:tcW w:w="1523" w:type="pct"/>
          </w:tcPr>
          <w:p w14:paraId="1D54B730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B429D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429D0" w:rsidRDefault="00DC6FED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2851019" w:rsidR="00F1171E" w:rsidRPr="00B429D0" w:rsidRDefault="0057242C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Yes, Simple Paragraph Justification is required </w:t>
            </w:r>
          </w:p>
        </w:tc>
        <w:tc>
          <w:tcPr>
            <w:tcW w:w="1523" w:type="pct"/>
          </w:tcPr>
          <w:p w14:paraId="4898F764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B429D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429D0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429D0" w:rsidRDefault="00F1171E" w:rsidP="007222C8">
            <w:pPr>
              <w:ind w:left="360"/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1CFEC92" w:rsidR="00F1171E" w:rsidRPr="00B429D0" w:rsidRDefault="0057242C" w:rsidP="007222C8">
            <w:pPr>
              <w:pStyle w:val="ListParagraph"/>
              <w:ind w:left="0"/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Some references (RF-11) </w:t>
            </w:r>
            <w:proofErr w:type="gramStart"/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B429D0">
              <w:rPr>
                <w:rFonts w:ascii="Aptos Narrow" w:hAnsi="Aptos Narrow"/>
                <w:b/>
                <w:bCs/>
                <w:sz w:val="20"/>
                <w:szCs w:val="20"/>
                <w:lang w:val="en-GB"/>
              </w:rPr>
              <w:t xml:space="preserve"> to re-check</w:t>
            </w:r>
          </w:p>
        </w:tc>
        <w:tc>
          <w:tcPr>
            <w:tcW w:w="1523" w:type="pct"/>
          </w:tcPr>
          <w:p w14:paraId="40220055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</w:tr>
      <w:tr w:rsidR="00F1171E" w:rsidRPr="00B429D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  <w:p w14:paraId="589C16C7" w14:textId="77777777" w:rsidR="00F1171E" w:rsidRPr="00B429D0" w:rsidRDefault="00F1171E" w:rsidP="007222C8">
            <w:pPr>
              <w:pStyle w:val="Heading2"/>
              <w:ind w:left="360"/>
              <w:jc w:val="left"/>
              <w:rPr>
                <w:rFonts w:ascii="Aptos Narrow" w:hAnsi="Aptos Narrow"/>
                <w:bCs w:val="0"/>
                <w:lang w:val="en-GB"/>
              </w:rPr>
            </w:pPr>
            <w:r w:rsidRPr="00B429D0">
              <w:rPr>
                <w:rFonts w:ascii="Aptos Narrow" w:hAnsi="Aptos Narrow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46286F" w:rsidR="00F1171E" w:rsidRPr="00B429D0" w:rsidRDefault="0057242C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41E28118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297F52DB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149A6CEF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  <w:tr w:rsidR="00F1171E" w:rsidRPr="00B429D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bCs w:val="0"/>
                <w:lang w:val="en-GB"/>
              </w:rPr>
            </w:pPr>
            <w:r w:rsidRPr="00B429D0">
              <w:rPr>
                <w:rFonts w:ascii="Aptos Narrow" w:hAnsi="Aptos Narrow"/>
                <w:bCs w:val="0"/>
                <w:u w:val="single"/>
                <w:lang w:val="en-GB"/>
              </w:rPr>
              <w:t>Optional/General</w:t>
            </w:r>
            <w:r w:rsidRPr="00B429D0">
              <w:rPr>
                <w:rFonts w:ascii="Aptos Narrow" w:hAnsi="Aptos Narrow"/>
                <w:bCs w:val="0"/>
                <w:lang w:val="en-GB"/>
              </w:rPr>
              <w:t xml:space="preserve"> </w:t>
            </w:r>
            <w:r w:rsidRPr="00B429D0">
              <w:rPr>
                <w:rFonts w:ascii="Aptos Narrow" w:hAnsi="Aptos Narrow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F08BED6" w14:textId="77777777" w:rsidR="00CD5097" w:rsidRPr="00B429D0" w:rsidRDefault="0057242C" w:rsidP="00CD5097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/>
                <w:sz w:val="20"/>
                <w:szCs w:val="20"/>
                <w:lang w:val="en-GB"/>
              </w:rPr>
              <w:t>Good work</w:t>
            </w:r>
            <w:r w:rsidR="00CD5097" w:rsidRPr="00B429D0">
              <w:rPr>
                <w:rFonts w:ascii="Aptos Narrow" w:hAnsi="Aptos Narrow"/>
                <w:sz w:val="20"/>
                <w:szCs w:val="20"/>
                <w:lang w:val="en-GB"/>
              </w:rPr>
              <w:t xml:space="preserve"> </w:t>
            </w:r>
            <w:r w:rsidR="00CD5097" w:rsidRPr="00B429D0">
              <w:rPr>
                <w:rFonts w:ascii="Aptos Narrow" w:hAnsi="Aptos Narrow" w:cs="Times New Roman"/>
                <w:sz w:val="20"/>
                <w:szCs w:val="20"/>
                <w:lang w:val="en-GB"/>
              </w:rPr>
              <w:t>Accept the manuscript</w:t>
            </w:r>
          </w:p>
          <w:p w14:paraId="7EB58C99" w14:textId="3312B078" w:rsidR="00F1171E" w:rsidRPr="00B429D0" w:rsidRDefault="00F1171E" w:rsidP="0057242C">
            <w:pPr>
              <w:tabs>
                <w:tab w:val="left" w:pos="1620"/>
              </w:tabs>
              <w:rPr>
                <w:rFonts w:ascii="Aptos Narrow" w:hAnsi="Aptos Narrow"/>
                <w:sz w:val="20"/>
                <w:szCs w:val="20"/>
                <w:lang w:val="en-GB"/>
              </w:rPr>
            </w:pPr>
          </w:p>
          <w:p w14:paraId="15DFD0E8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429D0" w:rsidRDefault="00F1171E" w:rsidP="007222C8">
            <w:pPr>
              <w:rPr>
                <w:rFonts w:ascii="Aptos Narrow" w:hAnsi="Aptos Narrow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429D0" w:rsidRDefault="00F1171E" w:rsidP="00F1171E">
      <w:pPr>
        <w:pStyle w:val="BodyText"/>
        <w:rPr>
          <w:rFonts w:ascii="Aptos Narrow" w:hAnsi="Aptos Narrow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429D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u w:val="single"/>
                <w:lang w:val="en-GB"/>
              </w:rPr>
            </w:pPr>
            <w:r w:rsidRPr="00B429D0">
              <w:rPr>
                <w:rFonts w:ascii="Aptos Narrow" w:hAnsi="Aptos Narrow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429D0">
              <w:rPr>
                <w:rFonts w:ascii="Aptos Narrow" w:hAnsi="Aptos Narrow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429D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lang w:val="en-GB"/>
              </w:rPr>
            </w:pPr>
            <w:r w:rsidRPr="00B429D0">
              <w:rPr>
                <w:rFonts w:ascii="Aptos Narrow" w:hAnsi="Aptos Narrow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429D0" w:rsidRDefault="00F1171E" w:rsidP="007222C8">
            <w:pPr>
              <w:pStyle w:val="Heading2"/>
              <w:jc w:val="left"/>
              <w:rPr>
                <w:rFonts w:ascii="Aptos Narrow" w:hAnsi="Aptos Narrow"/>
                <w:b w:val="0"/>
                <w:lang w:val="en-GB"/>
              </w:rPr>
            </w:pPr>
            <w:r w:rsidRPr="00B429D0">
              <w:rPr>
                <w:rFonts w:ascii="Aptos Narrow" w:hAnsi="Aptos Narrow"/>
                <w:lang w:val="en-GB"/>
              </w:rPr>
              <w:t>Author’s comment</w:t>
            </w:r>
            <w:r w:rsidRPr="00B429D0">
              <w:rPr>
                <w:rFonts w:ascii="Aptos Narrow" w:hAnsi="Aptos Narrow"/>
                <w:b w:val="0"/>
                <w:lang w:val="en-GB"/>
              </w:rPr>
              <w:t xml:space="preserve"> </w:t>
            </w:r>
            <w:r w:rsidRPr="00B429D0">
              <w:rPr>
                <w:rFonts w:ascii="Aptos Narrow" w:hAnsi="Aptos Narrow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429D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b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B429D0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29D0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29D0">
              <w:rPr>
                <w:rFonts w:ascii="Aptos Narrow" w:hAnsi="Aptos Narrow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  <w:p w14:paraId="7B654B67" w14:textId="51512860" w:rsidR="00F1171E" w:rsidRPr="00B429D0" w:rsidRDefault="0057242C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  <w:r w:rsidRPr="00B429D0">
              <w:rPr>
                <w:rFonts w:ascii="Aptos Narrow" w:hAnsi="Aptos Narrow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B429D0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4A981594" w14:textId="77777777" w:rsidR="00F1171E" w:rsidRPr="00B429D0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4780A682" w14:textId="77777777" w:rsidR="00F1171E" w:rsidRPr="00B429D0" w:rsidRDefault="00F1171E" w:rsidP="007222C8">
            <w:pPr>
              <w:rPr>
                <w:rFonts w:ascii="Aptos Narrow" w:eastAsia="Arial Unicode MS" w:hAnsi="Aptos Narrow"/>
                <w:sz w:val="20"/>
                <w:szCs w:val="20"/>
                <w:lang w:val="en-GB"/>
              </w:rPr>
            </w:pPr>
          </w:p>
          <w:p w14:paraId="2D80979A" w14:textId="77777777" w:rsidR="00F1171E" w:rsidRPr="00B429D0" w:rsidRDefault="00F1171E" w:rsidP="007222C8">
            <w:pPr>
              <w:pStyle w:val="NormalWeb"/>
              <w:spacing w:before="0" w:beforeAutospacing="0" w:after="0" w:afterAutospacing="0"/>
              <w:rPr>
                <w:rFonts w:ascii="Aptos Narrow" w:hAnsi="Aptos Narrow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ptos Narrow" w:hAnsi="Aptos Narrow" w:cs="Arial"/>
          <w:b/>
          <w:sz w:val="20"/>
          <w:szCs w:val="20"/>
          <w:lang w:val="en-GB"/>
        </w:rPr>
      </w:pPr>
    </w:p>
    <w:p w14:paraId="7EC43E68" w14:textId="77777777" w:rsidR="00B429D0" w:rsidRPr="00AD133B" w:rsidRDefault="00B429D0" w:rsidP="00B429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133B">
        <w:rPr>
          <w:rFonts w:ascii="Arial" w:hAnsi="Arial" w:cs="Arial"/>
          <w:b/>
          <w:u w:val="single"/>
        </w:rPr>
        <w:t>Reviewer details:</w:t>
      </w:r>
    </w:p>
    <w:p w14:paraId="499B12EB" w14:textId="77777777" w:rsidR="00B429D0" w:rsidRPr="00AD133B" w:rsidRDefault="00B429D0" w:rsidP="00B429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D133B">
        <w:rPr>
          <w:rFonts w:ascii="Arial" w:hAnsi="Arial" w:cs="Arial"/>
          <w:b/>
          <w:color w:val="000000"/>
        </w:rPr>
        <w:t xml:space="preserve">Nikita N. </w:t>
      </w:r>
      <w:proofErr w:type="spellStart"/>
      <w:r w:rsidRPr="00AD133B">
        <w:rPr>
          <w:rFonts w:ascii="Arial" w:hAnsi="Arial" w:cs="Arial"/>
          <w:b/>
          <w:color w:val="000000"/>
        </w:rPr>
        <w:t>Kanbarkar</w:t>
      </w:r>
      <w:proofErr w:type="spellEnd"/>
      <w:r w:rsidRPr="00AD133B">
        <w:rPr>
          <w:rFonts w:ascii="Arial" w:hAnsi="Arial" w:cs="Arial"/>
          <w:b/>
          <w:color w:val="000000"/>
        </w:rPr>
        <w:t>, Rani Chennamma College of Pharmacy, India</w:t>
      </w:r>
      <w:r w:rsidRPr="00AD133B">
        <w:rPr>
          <w:rFonts w:ascii="Arial" w:hAnsi="Arial" w:cs="Arial"/>
          <w:b/>
          <w:color w:val="000000"/>
        </w:rPr>
        <w:br/>
      </w:r>
    </w:p>
    <w:p w14:paraId="1691C98E" w14:textId="77777777" w:rsidR="00B429D0" w:rsidRPr="00B429D0" w:rsidRDefault="00B429D0">
      <w:pPr>
        <w:rPr>
          <w:rFonts w:ascii="Aptos Narrow" w:hAnsi="Aptos Narrow" w:cs="Arial"/>
          <w:b/>
          <w:sz w:val="20"/>
          <w:szCs w:val="20"/>
        </w:rPr>
      </w:pPr>
    </w:p>
    <w:sectPr w:rsidR="00B429D0" w:rsidRPr="00B429D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7310" w14:textId="77777777" w:rsidR="00252A91" w:rsidRPr="0000007A" w:rsidRDefault="00252A91" w:rsidP="0099583E">
      <w:r>
        <w:separator/>
      </w:r>
    </w:p>
  </w:endnote>
  <w:endnote w:type="continuationSeparator" w:id="0">
    <w:p w14:paraId="6F73B672" w14:textId="77777777" w:rsidR="00252A91" w:rsidRPr="0000007A" w:rsidRDefault="00252A9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2AFD" w14:textId="77777777" w:rsidR="00252A91" w:rsidRPr="0000007A" w:rsidRDefault="00252A91" w:rsidP="0099583E">
      <w:r>
        <w:separator/>
      </w:r>
    </w:p>
  </w:footnote>
  <w:footnote w:type="continuationSeparator" w:id="0">
    <w:p w14:paraId="57839600" w14:textId="77777777" w:rsidR="00252A91" w:rsidRPr="0000007A" w:rsidRDefault="00252A9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814132">
    <w:abstractNumId w:val="3"/>
  </w:num>
  <w:num w:numId="2" w16cid:durableId="1300460060">
    <w:abstractNumId w:val="6"/>
  </w:num>
  <w:num w:numId="3" w16cid:durableId="1983271833">
    <w:abstractNumId w:val="5"/>
  </w:num>
  <w:num w:numId="4" w16cid:durableId="1664357217">
    <w:abstractNumId w:val="7"/>
  </w:num>
  <w:num w:numId="5" w16cid:durableId="1377774752">
    <w:abstractNumId w:val="4"/>
  </w:num>
  <w:num w:numId="6" w16cid:durableId="1007560242">
    <w:abstractNumId w:val="0"/>
  </w:num>
  <w:num w:numId="7" w16cid:durableId="339354061">
    <w:abstractNumId w:val="1"/>
  </w:num>
  <w:num w:numId="8" w16cid:durableId="1527329966">
    <w:abstractNumId w:val="9"/>
  </w:num>
  <w:num w:numId="9" w16cid:durableId="1927373085">
    <w:abstractNumId w:val="8"/>
  </w:num>
  <w:num w:numId="10" w16cid:durableId="786238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A10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966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2A91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118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29A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4A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242C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3F5"/>
    <w:rsid w:val="007F1385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2EE5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C02"/>
    <w:rsid w:val="00B429D0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9DF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06E"/>
    <w:rsid w:val="00C635B6"/>
    <w:rsid w:val="00C70DFC"/>
    <w:rsid w:val="00C82466"/>
    <w:rsid w:val="00C84097"/>
    <w:rsid w:val="00CA4B20"/>
    <w:rsid w:val="00CA7853"/>
    <w:rsid w:val="00CB429B"/>
    <w:rsid w:val="00CC2753"/>
    <w:rsid w:val="00CC2912"/>
    <w:rsid w:val="00CD093E"/>
    <w:rsid w:val="00CD1556"/>
    <w:rsid w:val="00CD18D1"/>
    <w:rsid w:val="00CD1FD7"/>
    <w:rsid w:val="00CD5091"/>
    <w:rsid w:val="00CD5097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6DC3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25B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038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29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