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303C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303C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303C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303C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303C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2564B8" w:rsidR="0000007A" w:rsidRPr="006303C2" w:rsidRDefault="003F02E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Cytology in COVID 19 and </w:t>
            </w:r>
            <w:proofErr w:type="spell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Laryngopharngeal</w:t>
            </w:r>
            <w:proofErr w:type="spellEnd"/>
            <w:r w:rsidRPr="006303C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Reflux Disease Edition II</w:t>
            </w:r>
          </w:p>
        </w:tc>
      </w:tr>
      <w:tr w:rsidR="0000007A" w:rsidRPr="006303C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303C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1AE979" w:rsidR="0000007A" w:rsidRPr="006303C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15437"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6674</w:t>
            </w:r>
          </w:p>
        </w:tc>
      </w:tr>
      <w:tr w:rsidR="0000007A" w:rsidRPr="006303C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303C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F255A43" w:rsidR="0000007A" w:rsidRPr="006303C2" w:rsidRDefault="003D30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303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Cytology in COVID 19 and </w:t>
            </w:r>
            <w:proofErr w:type="spellStart"/>
            <w:r w:rsidRPr="006303C2">
              <w:rPr>
                <w:rFonts w:ascii="Arial" w:hAnsi="Arial" w:cs="Arial"/>
                <w:b/>
                <w:sz w:val="20"/>
                <w:szCs w:val="20"/>
                <w:lang w:val="en-GB"/>
              </w:rPr>
              <w:t>Laryngopharngeal</w:t>
            </w:r>
            <w:proofErr w:type="spellEnd"/>
            <w:r w:rsidRPr="006303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Reflux Disease Edition II</w:t>
            </w:r>
          </w:p>
        </w:tc>
      </w:tr>
      <w:tr w:rsidR="00CF0BBB" w:rsidRPr="006303C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303C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AE9DB2" w:rsidR="00CF0BBB" w:rsidRPr="006303C2" w:rsidRDefault="001154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6303C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303C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303C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03C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303C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303C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303C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E6789BA" w:rsidR="00640538" w:rsidRPr="006303C2" w:rsidRDefault="000607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303C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78CC4D2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59951477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8DBF56D" w:rsidR="00E03C32" w:rsidRDefault="002D258B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proofErr w:type="spellStart"/>
                            <w:r w:rsidRPr="002D258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Cureus</w:t>
                            </w:r>
                            <w:proofErr w:type="spellEnd"/>
                            <w:r w:rsidRPr="002D258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17(4): e82593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21D74DA" w:rsidR="00E03C32" w:rsidRPr="007B54A4" w:rsidRDefault="00F939BC" w:rsidP="00F939B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F939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 10.7759/cureus.82593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8DBF56D" w:rsidR="00E03C32" w:rsidRDefault="002D258B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proofErr w:type="spellStart"/>
                      <w:r w:rsidRPr="002D258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Cureus</w:t>
                      </w:r>
                      <w:proofErr w:type="spellEnd"/>
                      <w:r w:rsidRPr="002D258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17(4): e82593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21D74DA" w:rsidR="00E03C32" w:rsidRPr="007B54A4" w:rsidRDefault="00F939BC" w:rsidP="00F939B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F939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 10.7759/cureus.82593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6303C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303C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303C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303C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03C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303C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03C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03C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303C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303C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03C2">
              <w:rPr>
                <w:rFonts w:ascii="Arial" w:hAnsi="Arial" w:cs="Arial"/>
                <w:lang w:val="en-GB"/>
              </w:rPr>
              <w:t>Author’s Feedback</w:t>
            </w:r>
            <w:r w:rsidRPr="006303C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03C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303C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303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303C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8FA01D" w14:textId="77777777" w:rsidR="00F1171E" w:rsidRPr="006303C2" w:rsidRDefault="003253F9" w:rsidP="003253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COVID-19 remains a threat to humans in the contemporary </w:t>
            </w:r>
            <w:proofErr w:type="gram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world .</w:t>
            </w:r>
            <w:proofErr w:type="gramEnd"/>
          </w:p>
          <w:p w14:paraId="5E9C0753" w14:textId="77777777" w:rsidR="003253F9" w:rsidRPr="006303C2" w:rsidRDefault="003253F9" w:rsidP="003253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significance of COVID-19 cytology and epidemiology research could not be overstressed given the last </w:t>
            </w:r>
            <w:proofErr w:type="gram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pandemic .</w:t>
            </w:r>
            <w:proofErr w:type="gramEnd"/>
          </w:p>
          <w:p w14:paraId="7DBC9196" w14:textId="13AC4B1E" w:rsidR="003253F9" w:rsidRPr="006303C2" w:rsidRDefault="003253F9" w:rsidP="003253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COVID-19 is one of the viruses that could trigger the next pandemic according to WHO</w:t>
            </w:r>
            <w:r w:rsidR="00741344"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hence any research on it is </w:t>
            </w:r>
            <w:proofErr w:type="gramStart"/>
            <w:r w:rsidR="00741344"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valuable .</w:t>
            </w:r>
            <w:proofErr w:type="gramEnd"/>
            <w:r w:rsidR="00741344"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03C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303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303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296DC07" w:rsidR="00F1171E" w:rsidRPr="006303C2" w:rsidRDefault="0074134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</w:t>
            </w:r>
            <w:proofErr w:type="gram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.</w:t>
            </w:r>
            <w:proofErr w:type="gramEnd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03C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303C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303C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0B4A9D" w:rsidR="00F1171E" w:rsidRPr="006303C2" w:rsidRDefault="0074134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 </w:t>
            </w:r>
          </w:p>
        </w:tc>
        <w:tc>
          <w:tcPr>
            <w:tcW w:w="1523" w:type="pct"/>
          </w:tcPr>
          <w:p w14:paraId="1D54B730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03C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303C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C13608F" w:rsidR="00F1171E" w:rsidRPr="006303C2" w:rsidRDefault="007413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</w:t>
            </w:r>
            <w:proofErr w:type="gramStart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 .</w:t>
            </w:r>
            <w:proofErr w:type="gramEnd"/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03C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303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303C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4F922DC" w:rsidR="00F1171E" w:rsidRPr="006303C2" w:rsidRDefault="007413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303C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303C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303C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0B366CA" w:rsidR="00F1171E" w:rsidRPr="006303C2" w:rsidRDefault="007413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is adequate </w:t>
            </w:r>
          </w:p>
          <w:p w14:paraId="297F52DB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303C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303C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303C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303C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24E33FFD" w:rsidR="00F1171E" w:rsidRPr="006303C2" w:rsidRDefault="007413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The literature review needs to be </w:t>
            </w:r>
            <w:proofErr w:type="gramStart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>reconstructed .</w:t>
            </w:r>
            <w:proofErr w:type="gramEnd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 They look like summaries of different scholars. The author should rearrange and engage and categorise the sources to make the review more </w:t>
            </w:r>
            <w:proofErr w:type="gramStart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>engaging  before</w:t>
            </w:r>
            <w:proofErr w:type="gramEnd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 illuminating the </w:t>
            </w:r>
            <w:proofErr w:type="gramStart"/>
            <w:r w:rsidR="0006079B" w:rsidRPr="006303C2">
              <w:rPr>
                <w:rFonts w:ascii="Arial" w:hAnsi="Arial" w:cs="Arial"/>
                <w:sz w:val="20"/>
                <w:szCs w:val="20"/>
                <w:lang w:val="en-GB"/>
              </w:rPr>
              <w:t>gap .</w:t>
            </w:r>
            <w:proofErr w:type="gramEnd"/>
            <w:r w:rsidR="0006079B"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933FC50" w14:textId="17FE24D9" w:rsidR="00741344" w:rsidRPr="006303C2" w:rsidRDefault="007413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They can arrange the literature review in 2 or 3 </w:t>
            </w:r>
            <w:proofErr w:type="gramStart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paragraph </w:t>
            </w:r>
            <w:r w:rsidR="0006079B" w:rsidRPr="006303C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proofErr w:type="gramEnd"/>
            <w:r w:rsidR="0006079B"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80A954D" w14:textId="77777777" w:rsidR="0006079B" w:rsidRPr="006303C2" w:rsidRDefault="000607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A37AF3" w14:textId="35F8CD28" w:rsidR="0006079B" w:rsidRPr="006303C2" w:rsidRDefault="000607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authors should explicitly itemise the contribution of the article to the </w:t>
            </w:r>
            <w:proofErr w:type="spellStart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>bodyof</w:t>
            </w:r>
            <w:proofErr w:type="spellEnd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>knowledge .</w:t>
            </w:r>
            <w:proofErr w:type="gramEnd"/>
          </w:p>
          <w:p w14:paraId="15DFD0E8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303C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303C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6303C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303C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303C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303C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303C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303C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303C2">
              <w:rPr>
                <w:rFonts w:ascii="Arial" w:hAnsi="Arial" w:cs="Arial"/>
                <w:lang w:val="en-GB"/>
              </w:rPr>
              <w:t>Author’s comment</w:t>
            </w:r>
            <w:r w:rsidRPr="006303C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303C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303C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303C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303C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303C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0739CD5" w:rsidR="00F1171E" w:rsidRPr="006303C2" w:rsidRDefault="0006079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303C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303C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303C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303C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303C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11001BF" w14:textId="77777777" w:rsidR="00C9171A" w:rsidRPr="00300A43" w:rsidRDefault="00C9171A" w:rsidP="00C9171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00A43">
        <w:rPr>
          <w:rFonts w:ascii="Arial" w:hAnsi="Arial" w:cs="Arial"/>
          <w:b/>
          <w:u w:val="single"/>
        </w:rPr>
        <w:t>Reviewer details:</w:t>
      </w:r>
    </w:p>
    <w:p w14:paraId="5E1FB7CE" w14:textId="77777777" w:rsidR="00C9171A" w:rsidRPr="00300A43" w:rsidRDefault="00C9171A" w:rsidP="00C9171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00A43">
        <w:rPr>
          <w:rFonts w:ascii="Arial" w:hAnsi="Arial" w:cs="Arial"/>
          <w:b/>
          <w:color w:val="000000"/>
        </w:rPr>
        <w:t xml:space="preserve">Olusola Bamidele </w:t>
      </w:r>
      <w:proofErr w:type="gramStart"/>
      <w:r w:rsidRPr="00300A43">
        <w:rPr>
          <w:rFonts w:ascii="Arial" w:hAnsi="Arial" w:cs="Arial"/>
          <w:b/>
          <w:color w:val="000000"/>
        </w:rPr>
        <w:t>Ojo ,</w:t>
      </w:r>
      <w:proofErr w:type="gramEnd"/>
      <w:r w:rsidRPr="00300A43">
        <w:rPr>
          <w:rFonts w:ascii="Arial" w:hAnsi="Arial" w:cs="Arial"/>
          <w:b/>
          <w:color w:val="000000"/>
        </w:rPr>
        <w:t xml:space="preserve"> Seychelles</w:t>
      </w:r>
    </w:p>
    <w:p w14:paraId="231CBA20" w14:textId="77777777" w:rsidR="006303C2" w:rsidRPr="006303C2" w:rsidRDefault="006303C2" w:rsidP="00C9171A">
      <w:pPr>
        <w:rPr>
          <w:rFonts w:ascii="Arial" w:hAnsi="Arial" w:cs="Arial"/>
          <w:b/>
          <w:sz w:val="20"/>
          <w:szCs w:val="20"/>
        </w:rPr>
      </w:pPr>
    </w:p>
    <w:sectPr w:rsidR="006303C2" w:rsidRPr="006303C2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2A0D" w14:textId="77777777" w:rsidR="00693D40" w:rsidRPr="0000007A" w:rsidRDefault="00693D40" w:rsidP="0099583E">
      <w:r>
        <w:separator/>
      </w:r>
    </w:p>
  </w:endnote>
  <w:endnote w:type="continuationSeparator" w:id="0">
    <w:p w14:paraId="3846FFCB" w14:textId="77777777" w:rsidR="00693D40" w:rsidRPr="0000007A" w:rsidRDefault="00693D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AC4E" w14:textId="77777777" w:rsidR="00693D40" w:rsidRPr="0000007A" w:rsidRDefault="00693D40" w:rsidP="0099583E">
      <w:r>
        <w:separator/>
      </w:r>
    </w:p>
  </w:footnote>
  <w:footnote w:type="continuationSeparator" w:id="0">
    <w:p w14:paraId="05ED60A0" w14:textId="77777777" w:rsidR="00693D40" w:rsidRPr="0000007A" w:rsidRDefault="00693D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12D5A"/>
    <w:multiLevelType w:val="hybridMultilevel"/>
    <w:tmpl w:val="A162CB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1673614">
    <w:abstractNumId w:val="3"/>
  </w:num>
  <w:num w:numId="2" w16cid:durableId="1098676314">
    <w:abstractNumId w:val="7"/>
  </w:num>
  <w:num w:numId="3" w16cid:durableId="1628926097">
    <w:abstractNumId w:val="6"/>
  </w:num>
  <w:num w:numId="4" w16cid:durableId="222646254">
    <w:abstractNumId w:val="8"/>
  </w:num>
  <w:num w:numId="5" w16cid:durableId="1169559334">
    <w:abstractNumId w:val="5"/>
  </w:num>
  <w:num w:numId="6" w16cid:durableId="412314385">
    <w:abstractNumId w:val="0"/>
  </w:num>
  <w:num w:numId="7" w16cid:durableId="813529676">
    <w:abstractNumId w:val="1"/>
  </w:num>
  <w:num w:numId="8" w16cid:durableId="942608486">
    <w:abstractNumId w:val="10"/>
  </w:num>
  <w:num w:numId="9" w16cid:durableId="1749033556">
    <w:abstractNumId w:val="9"/>
  </w:num>
  <w:num w:numId="10" w16cid:durableId="984354356">
    <w:abstractNumId w:val="2"/>
  </w:num>
  <w:num w:numId="11" w16cid:durableId="1415400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079B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9AC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43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58B"/>
    <w:rsid w:val="002D60EF"/>
    <w:rsid w:val="002E10DF"/>
    <w:rsid w:val="002E1211"/>
    <w:rsid w:val="002E2339"/>
    <w:rsid w:val="002E5C81"/>
    <w:rsid w:val="002E6D86"/>
    <w:rsid w:val="002E7787"/>
    <w:rsid w:val="002F6935"/>
    <w:rsid w:val="002F7C95"/>
    <w:rsid w:val="00312559"/>
    <w:rsid w:val="003204B8"/>
    <w:rsid w:val="003253F9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0B3"/>
    <w:rsid w:val="003E746A"/>
    <w:rsid w:val="003F02E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5D8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3C2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3D40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504"/>
    <w:rsid w:val="007317C3"/>
    <w:rsid w:val="0073332F"/>
    <w:rsid w:val="00734756"/>
    <w:rsid w:val="00734BFB"/>
    <w:rsid w:val="0073538B"/>
    <w:rsid w:val="00737BC9"/>
    <w:rsid w:val="00741344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0EC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CED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48C5"/>
    <w:rsid w:val="00C150D6"/>
    <w:rsid w:val="00C22886"/>
    <w:rsid w:val="00C25C8F"/>
    <w:rsid w:val="00C263C6"/>
    <w:rsid w:val="00C268B8"/>
    <w:rsid w:val="00C435C6"/>
    <w:rsid w:val="00C54F3B"/>
    <w:rsid w:val="00C635B6"/>
    <w:rsid w:val="00C70DFC"/>
    <w:rsid w:val="00C82466"/>
    <w:rsid w:val="00C84097"/>
    <w:rsid w:val="00C9171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424C"/>
    <w:rsid w:val="00E03C32"/>
    <w:rsid w:val="00E07F3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D32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9B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303C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2025-11-05T18:29:00Z</dcterms:created>
  <dcterms:modified xsi:type="dcterms:W3CDTF">2025-11-11T11:35:00Z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