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9144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9144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rtl/>
                <w:lang w:val="en-US" w:bidi="ar-BH"/>
              </w:rPr>
            </w:pPr>
          </w:p>
        </w:tc>
      </w:tr>
      <w:tr w:rsidR="0000007A" w:rsidRPr="0009144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9144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14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9144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1B82BBC" w:rsidR="0000007A" w:rsidRPr="00091445" w:rsidRDefault="00323D8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9144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09144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9144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144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ABEBF0E" w:rsidR="0000007A" w:rsidRPr="0009144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914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914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914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70CF5" w:rsidRPr="000914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6710</w:t>
            </w:r>
          </w:p>
        </w:tc>
      </w:tr>
      <w:tr w:rsidR="0000007A" w:rsidRPr="0009144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9144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14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5A88AC1" w:rsidR="0000007A" w:rsidRPr="00091445" w:rsidRDefault="00182B9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91445">
              <w:rPr>
                <w:rFonts w:ascii="Arial" w:hAnsi="Arial" w:cs="Arial"/>
                <w:b/>
                <w:sz w:val="20"/>
                <w:szCs w:val="20"/>
                <w:lang w:val="en-GB"/>
              </w:rPr>
              <w:t>Study of Insulin Resistance in Polycystic Ovarian Syndrome</w:t>
            </w:r>
          </w:p>
        </w:tc>
      </w:tr>
      <w:tr w:rsidR="00CF0BBB" w:rsidRPr="0009144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9144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144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A7D058F" w:rsidR="00CF0BBB" w:rsidRPr="00091445" w:rsidRDefault="00C70CF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144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9144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091445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09144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09144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9144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9144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9144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9144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09144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9144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5EED863" w:rsidR="00E03C32" w:rsidRDefault="005922F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922F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Biochemistry Research &amp; Review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5922F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5922F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58BA29A" w:rsidR="00E03C32" w:rsidRPr="007B54A4" w:rsidRDefault="001E5963" w:rsidP="001E596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E596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10.9734/IJBCRR/2016/28005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09144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9144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9144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9144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914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9144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9144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914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9144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914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914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9144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9144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144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9144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914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91445">
              <w:rPr>
                <w:rFonts w:ascii="Arial" w:hAnsi="Arial" w:cs="Arial"/>
                <w:lang w:val="en-GB"/>
              </w:rPr>
              <w:t>Author’s Feedback</w:t>
            </w:r>
            <w:r w:rsidRPr="0009144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9144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9144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914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14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9144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F1975D8" w:rsidR="00F1171E" w:rsidRPr="00091445" w:rsidRDefault="00B8328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1445">
              <w:rPr>
                <w:rFonts w:ascii="Arial" w:hAnsi="Arial" w:cs="Arial"/>
                <w:color w:val="0F1115"/>
                <w:sz w:val="20"/>
                <w:szCs w:val="20"/>
                <w:shd w:val="clear" w:color="auto" w:fill="FFFFFF"/>
              </w:rPr>
              <w:t>This is a well-structured research paper with a clear objective. However, it contains several significant weaknesses and mistakes that should be addressed to improve its scientific rigor and credibility.</w:t>
            </w:r>
          </w:p>
        </w:tc>
        <w:tc>
          <w:tcPr>
            <w:tcW w:w="1523" w:type="pct"/>
          </w:tcPr>
          <w:p w14:paraId="462A339C" w14:textId="77777777" w:rsidR="00F1171E" w:rsidRPr="000914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9144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914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14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914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14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9144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5D1FB3F" w:rsidR="00F1171E" w:rsidRPr="00091445" w:rsidRDefault="00B8328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14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0914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9144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9144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9144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9144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65E081D" w14:textId="77777777" w:rsidR="00B83283" w:rsidRPr="00091445" w:rsidRDefault="00B83283" w:rsidP="00B832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1445">
              <w:rPr>
                <w:rFonts w:ascii="Arial" w:hAnsi="Arial" w:cs="Arial"/>
                <w:sz w:val="20"/>
                <w:szCs w:val="20"/>
              </w:rPr>
              <w:t xml:space="preserve">Misleading Abstract: The abstract states the study aims to evaluate IR and determine if HOMA &amp; </w:t>
            </w:r>
            <w:proofErr w:type="gramStart"/>
            <w:r w:rsidRPr="00091445">
              <w:rPr>
                <w:rFonts w:ascii="Arial" w:hAnsi="Arial" w:cs="Arial"/>
                <w:sz w:val="20"/>
                <w:szCs w:val="20"/>
              </w:rPr>
              <w:t>G:I</w:t>
            </w:r>
            <w:proofErr w:type="gramEnd"/>
            <w:r w:rsidRPr="00091445">
              <w:rPr>
                <w:rFonts w:ascii="Arial" w:hAnsi="Arial" w:cs="Arial"/>
                <w:sz w:val="20"/>
                <w:szCs w:val="20"/>
              </w:rPr>
              <w:t xml:space="preserve"> can identify PCOS patients at risk for IGT &amp; Type II DM. However, the study itself is a cross-sectional snapshot. It measures current IR but does not follow patients over time to see who actually develops IGT or diabetes. It can only </w:t>
            </w:r>
            <w:r w:rsidRPr="00091445">
              <w:rPr>
                <w:rFonts w:ascii="Arial" w:hAnsi="Arial" w:cs="Arial"/>
                <w:i/>
                <w:iCs/>
                <w:sz w:val="20"/>
                <w:szCs w:val="20"/>
              </w:rPr>
              <w:t>infer</w:t>
            </w:r>
            <w:r w:rsidRPr="00091445">
              <w:rPr>
                <w:rFonts w:ascii="Arial" w:hAnsi="Arial" w:cs="Arial"/>
                <w:sz w:val="20"/>
                <w:szCs w:val="20"/>
              </w:rPr>
              <w:t> risk based on established correlations, not </w:t>
            </w:r>
            <w:r w:rsidRPr="00091445">
              <w:rPr>
                <w:rFonts w:ascii="Arial" w:hAnsi="Arial" w:cs="Arial"/>
                <w:i/>
                <w:iCs/>
                <w:sz w:val="20"/>
                <w:szCs w:val="20"/>
              </w:rPr>
              <w:t>determine</w:t>
            </w:r>
            <w:r w:rsidRPr="00091445">
              <w:rPr>
                <w:rFonts w:ascii="Arial" w:hAnsi="Arial" w:cs="Arial"/>
                <w:sz w:val="20"/>
                <w:szCs w:val="20"/>
              </w:rPr>
              <w:t> the predictive value of these markers for future disease. This is a major overstatement of the study's capabilities.</w:t>
            </w:r>
          </w:p>
          <w:p w14:paraId="0FB7E83A" w14:textId="77777777" w:rsidR="00F1171E" w:rsidRPr="000914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0914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9144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9144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914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B7FE48B" w:rsidR="00F1171E" w:rsidRPr="00091445" w:rsidRDefault="00B8328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1445">
              <w:rPr>
                <w:rFonts w:ascii="Arial" w:hAnsi="Arial" w:cs="Arial"/>
                <w:color w:val="0F1115"/>
                <w:sz w:val="20"/>
                <w:szCs w:val="20"/>
                <w:shd w:val="clear" w:color="auto" w:fill="FFFFFF"/>
              </w:rPr>
              <w:t>With 45 cases and 40 controls, the sample size is relatively small. This is particularly problematic for the subgroup analyses (Group I vs. Group II), where the numbers become even smaller (n=25 and n=20), leading to underpowered analyses and non-significant results, as seen in Table 3.</w:t>
            </w:r>
          </w:p>
        </w:tc>
        <w:tc>
          <w:tcPr>
            <w:tcW w:w="1523" w:type="pct"/>
          </w:tcPr>
          <w:p w14:paraId="4898F764" w14:textId="77777777" w:rsidR="00F1171E" w:rsidRPr="000914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9144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914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14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914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9144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A948F27" w14:textId="77777777" w:rsidR="00B83283" w:rsidRPr="00091445" w:rsidRDefault="00B83283" w:rsidP="00B8328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0448589" w14:textId="77777777" w:rsidR="00B83283" w:rsidRPr="00091445" w:rsidRDefault="00B83283" w:rsidP="00B83283">
            <w:pPr>
              <w:rPr>
                <w:rFonts w:ascii="Arial" w:hAnsi="Arial" w:cs="Arial"/>
                <w:sz w:val="20"/>
                <w:szCs w:val="20"/>
              </w:rPr>
            </w:pPr>
            <w:r w:rsidRPr="00091445">
              <w:rPr>
                <w:rFonts w:ascii="Arial" w:hAnsi="Arial" w:cs="Arial"/>
                <w:sz w:val="20"/>
                <w:szCs w:val="20"/>
              </w:rPr>
              <w:t xml:space="preserve">Reference 5 is listed as </w:t>
            </w:r>
            <w:proofErr w:type="spellStart"/>
            <w:r w:rsidRPr="00091445">
              <w:rPr>
                <w:rFonts w:ascii="Arial" w:hAnsi="Arial" w:cs="Arial"/>
                <w:sz w:val="20"/>
                <w:szCs w:val="20"/>
              </w:rPr>
              <w:t>Burghen</w:t>
            </w:r>
            <w:proofErr w:type="spellEnd"/>
            <w:r w:rsidRPr="00091445">
              <w:rPr>
                <w:rFonts w:ascii="Arial" w:hAnsi="Arial" w:cs="Arial"/>
                <w:sz w:val="20"/>
                <w:szCs w:val="20"/>
              </w:rPr>
              <w:t xml:space="preserve"> et al. (the first to note the PCOS-hyperinsulinemia link), but the citation itself is wrongly listed as "Franks S." This is a major error.</w:t>
            </w:r>
          </w:p>
          <w:p w14:paraId="6FC3C5B6" w14:textId="77777777" w:rsidR="00B83283" w:rsidRPr="00091445" w:rsidRDefault="00B83283" w:rsidP="00B83283">
            <w:pPr>
              <w:rPr>
                <w:rFonts w:ascii="Arial" w:hAnsi="Arial" w:cs="Arial"/>
                <w:sz w:val="20"/>
                <w:szCs w:val="20"/>
              </w:rPr>
            </w:pPr>
            <w:r w:rsidRPr="00091445">
              <w:rPr>
                <w:rFonts w:ascii="Arial" w:hAnsi="Arial" w:cs="Arial"/>
                <w:sz w:val="20"/>
                <w:szCs w:val="20"/>
              </w:rPr>
              <w:t xml:space="preserve">Reference 18 and 19 are mixed up. The cut-off values for HOMA and </w:t>
            </w:r>
            <w:proofErr w:type="gramStart"/>
            <w:r w:rsidRPr="00091445">
              <w:rPr>
                <w:rFonts w:ascii="Arial" w:hAnsi="Arial" w:cs="Arial"/>
                <w:sz w:val="20"/>
                <w:szCs w:val="20"/>
              </w:rPr>
              <w:t>G:I</w:t>
            </w:r>
            <w:proofErr w:type="gramEnd"/>
            <w:r w:rsidRPr="000914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91445">
              <w:rPr>
                <w:rFonts w:ascii="Arial" w:hAnsi="Arial" w:cs="Arial"/>
                <w:sz w:val="20"/>
                <w:szCs w:val="20"/>
              </w:rPr>
              <w:t>are</w:t>
            </w:r>
            <w:proofErr w:type="gramEnd"/>
            <w:r w:rsidRPr="00091445">
              <w:rPr>
                <w:rFonts w:ascii="Arial" w:hAnsi="Arial" w:cs="Arial"/>
                <w:sz w:val="20"/>
                <w:szCs w:val="20"/>
              </w:rPr>
              <w:t xml:space="preserve"> attributed to [19], but reference 19 is a paper by Mine Yavuz </w:t>
            </w:r>
            <w:proofErr w:type="spellStart"/>
            <w:r w:rsidRPr="00091445">
              <w:rPr>
                <w:rFonts w:ascii="Arial" w:hAnsi="Arial" w:cs="Arial"/>
                <w:sz w:val="20"/>
                <w:szCs w:val="20"/>
              </w:rPr>
              <w:t>Taslipinar</w:t>
            </w:r>
            <w:proofErr w:type="spellEnd"/>
            <w:r w:rsidRPr="00091445">
              <w:rPr>
                <w:rFonts w:ascii="Arial" w:hAnsi="Arial" w:cs="Arial"/>
                <w:sz w:val="20"/>
                <w:szCs w:val="20"/>
              </w:rPr>
              <w:t xml:space="preserve"> et al. from 2014, while the seminal paper by Legro et al. from 1998 (which established these ratios) is reference 20. The cut-off citations are likely incorrect.</w:t>
            </w:r>
          </w:p>
          <w:p w14:paraId="4484DB5E" w14:textId="77777777" w:rsidR="00B83283" w:rsidRPr="00091445" w:rsidRDefault="00B83283" w:rsidP="00B83283">
            <w:pPr>
              <w:rPr>
                <w:rFonts w:ascii="Arial" w:hAnsi="Arial" w:cs="Arial"/>
                <w:sz w:val="20"/>
                <w:szCs w:val="20"/>
              </w:rPr>
            </w:pPr>
            <w:r w:rsidRPr="00091445">
              <w:rPr>
                <w:rFonts w:ascii="Arial" w:hAnsi="Arial" w:cs="Arial"/>
                <w:sz w:val="20"/>
                <w:szCs w:val="20"/>
              </w:rPr>
              <w:t>The reference list has formatting inconsistencies (e.g., journal names sometimes abbreviated, sometimes not; inconsistent use of "et al.").</w:t>
            </w:r>
          </w:p>
          <w:p w14:paraId="24FE0567" w14:textId="77777777" w:rsidR="00F1171E" w:rsidRPr="00091445" w:rsidRDefault="00F1171E" w:rsidP="00B83283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0914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9144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914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9144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9144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914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914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4AC81D6" w:rsidR="00F1171E" w:rsidRPr="00091445" w:rsidRDefault="00B8328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1445">
              <w:rPr>
                <w:rFonts w:ascii="Arial" w:hAnsi="Arial" w:cs="Arial"/>
                <w:sz w:val="20"/>
                <w:szCs w:val="20"/>
                <w:lang w:val="en-GB"/>
              </w:rPr>
              <w:t>I don’t know</w:t>
            </w:r>
          </w:p>
          <w:p w14:paraId="41E28118" w14:textId="77777777" w:rsidR="00F1171E" w:rsidRPr="000914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914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914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914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9144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914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9144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9144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9144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914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914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914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3CDD9F" w14:textId="77777777" w:rsidR="00B83283" w:rsidRPr="00091445" w:rsidRDefault="00B83283" w:rsidP="00B8328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91445">
              <w:rPr>
                <w:rFonts w:ascii="Arial" w:hAnsi="Arial" w:cs="Arial"/>
                <w:b/>
                <w:bCs/>
                <w:sz w:val="20"/>
                <w:szCs w:val="20"/>
              </w:rPr>
              <w:t>Re-frame the Aims and Conclusions</w:t>
            </w:r>
            <w:r w:rsidRPr="00091445">
              <w:rPr>
                <w:rFonts w:ascii="Arial" w:hAnsi="Arial" w:cs="Arial"/>
                <w:sz w:val="20"/>
                <w:szCs w:val="20"/>
              </w:rPr>
              <w:t> to state that the study found an </w:t>
            </w:r>
            <w:r w:rsidRPr="00091445">
              <w:rPr>
                <w:rFonts w:ascii="Arial" w:hAnsi="Arial" w:cs="Arial"/>
                <w:i/>
                <w:iCs/>
                <w:sz w:val="20"/>
                <w:szCs w:val="20"/>
              </w:rPr>
              <w:t>association</w:t>
            </w:r>
            <w:r w:rsidRPr="00091445">
              <w:rPr>
                <w:rFonts w:ascii="Arial" w:hAnsi="Arial" w:cs="Arial"/>
                <w:sz w:val="20"/>
                <w:szCs w:val="20"/>
              </w:rPr>
              <w:t> between PCOS and IR, and that the proposed cut-offs can identify women with </w:t>
            </w:r>
            <w:r w:rsidRPr="00091445">
              <w:rPr>
                <w:rFonts w:ascii="Arial" w:hAnsi="Arial" w:cs="Arial"/>
                <w:i/>
                <w:iCs/>
                <w:sz w:val="20"/>
                <w:szCs w:val="20"/>
              </w:rPr>
              <w:t>current</w:t>
            </w:r>
            <w:r w:rsidRPr="00091445">
              <w:rPr>
                <w:rFonts w:ascii="Arial" w:hAnsi="Arial" w:cs="Arial"/>
                <w:sz w:val="20"/>
                <w:szCs w:val="20"/>
              </w:rPr>
              <w:t> insulin resistance, which is a </w:t>
            </w:r>
            <w:r w:rsidRPr="00091445">
              <w:rPr>
                <w:rFonts w:ascii="Arial" w:hAnsi="Arial" w:cs="Arial"/>
                <w:i/>
                <w:iCs/>
                <w:sz w:val="20"/>
                <w:szCs w:val="20"/>
              </w:rPr>
              <w:t>known risk factor</w:t>
            </w:r>
            <w:r w:rsidRPr="00091445">
              <w:rPr>
                <w:rFonts w:ascii="Arial" w:hAnsi="Arial" w:cs="Arial"/>
                <w:sz w:val="20"/>
                <w:szCs w:val="20"/>
              </w:rPr>
              <w:t> for future DM.</w:t>
            </w:r>
          </w:p>
          <w:p w14:paraId="4E0EE60B" w14:textId="77777777" w:rsidR="00B83283" w:rsidRPr="00091445" w:rsidRDefault="00B83283" w:rsidP="00B8328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91445">
              <w:rPr>
                <w:rFonts w:ascii="Arial" w:hAnsi="Arial" w:cs="Arial"/>
                <w:b/>
                <w:bCs/>
                <w:sz w:val="20"/>
                <w:szCs w:val="20"/>
              </w:rPr>
              <w:t>Correct all errors</w:t>
            </w:r>
            <w:r w:rsidRPr="00091445">
              <w:rPr>
                <w:rFonts w:ascii="Arial" w:hAnsi="Arial" w:cs="Arial"/>
                <w:sz w:val="20"/>
                <w:szCs w:val="20"/>
              </w:rPr>
              <w:t> in the tables (especially Table 1) and citations.</w:t>
            </w:r>
          </w:p>
          <w:p w14:paraId="2C9C0033" w14:textId="77777777" w:rsidR="00B83283" w:rsidRPr="00091445" w:rsidRDefault="00B83283" w:rsidP="00B8328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91445">
              <w:rPr>
                <w:rFonts w:ascii="Arial" w:hAnsi="Arial" w:cs="Arial"/>
                <w:b/>
                <w:bCs/>
                <w:sz w:val="20"/>
                <w:szCs w:val="20"/>
              </w:rPr>
              <w:t>Re-analyze the data:</w:t>
            </w:r>
            <w:r w:rsidRPr="00091445">
              <w:rPr>
                <w:rFonts w:ascii="Arial" w:hAnsi="Arial" w:cs="Arial"/>
                <w:sz w:val="20"/>
                <w:szCs w:val="20"/>
              </w:rPr>
              <w:t> Use Chi-square tests for prevalence data and correlation coefficients for relationships between variables. Investigate the suspicious p-value in Table 4.</w:t>
            </w:r>
          </w:p>
          <w:p w14:paraId="77C073F3" w14:textId="77777777" w:rsidR="00B83283" w:rsidRPr="00091445" w:rsidRDefault="00B83283" w:rsidP="00B8328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91445">
              <w:rPr>
                <w:rFonts w:ascii="Arial" w:hAnsi="Arial" w:cs="Arial"/>
                <w:b/>
                <w:bCs/>
                <w:sz w:val="20"/>
                <w:szCs w:val="20"/>
              </w:rPr>
              <w:t>Improve the Discussion:</w:t>
            </w:r>
            <w:r w:rsidRPr="00091445">
              <w:rPr>
                <w:rFonts w:ascii="Arial" w:hAnsi="Arial" w:cs="Arial"/>
                <w:sz w:val="20"/>
                <w:szCs w:val="20"/>
              </w:rPr>
              <w:t> Acknowledge the limitation of the cross-sectional design. Discuss the high variability in insulin levels as a feature of PCOS heterogeneity. Explain the limitations of the subgroup analyses due to small sample size.</w:t>
            </w:r>
          </w:p>
          <w:p w14:paraId="2D2D1FCC" w14:textId="4EDD513E" w:rsidR="00B83283" w:rsidRPr="00091445" w:rsidRDefault="00B83283" w:rsidP="00B8328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91445">
              <w:rPr>
                <w:rFonts w:ascii="Arial" w:hAnsi="Arial" w:cs="Arial"/>
                <w:b/>
                <w:bCs/>
                <w:sz w:val="20"/>
                <w:szCs w:val="20"/>
              </w:rPr>
              <w:t>Clarify the Methods:</w:t>
            </w:r>
            <w:r w:rsidRPr="00091445">
              <w:rPr>
                <w:rFonts w:ascii="Arial" w:hAnsi="Arial" w:cs="Arial"/>
                <w:sz w:val="20"/>
                <w:szCs w:val="20"/>
              </w:rPr>
              <w:t> Provide a clear, unambiguous flowchart for patient selection based on Rotterdam criteria.</w:t>
            </w:r>
          </w:p>
          <w:p w14:paraId="7EB58C99" w14:textId="77777777" w:rsidR="00F1171E" w:rsidRPr="00091445" w:rsidRDefault="00F1171E" w:rsidP="00B8328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DFD0E8" w14:textId="77777777" w:rsidR="00F1171E" w:rsidRPr="000914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914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0914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914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9144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914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9144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9144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914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91445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914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914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9144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914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91445">
              <w:rPr>
                <w:rFonts w:ascii="Arial" w:hAnsi="Arial" w:cs="Arial"/>
                <w:lang w:val="en-GB"/>
              </w:rPr>
              <w:t>Author’s comment</w:t>
            </w:r>
            <w:r w:rsidRPr="0009144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9144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91445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914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14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914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914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9144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9144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9144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0914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0914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09144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9144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9144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914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931E55B" w14:textId="77777777" w:rsidR="00091445" w:rsidRPr="000733A2" w:rsidRDefault="00091445" w:rsidP="0009144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6A38C0DA" w14:textId="77777777" w:rsidR="00091445" w:rsidRPr="000733A2" w:rsidRDefault="00091445" w:rsidP="0009144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733A2">
        <w:rPr>
          <w:rFonts w:ascii="Arial" w:hAnsi="Arial" w:cs="Arial"/>
          <w:b/>
          <w:u w:val="single"/>
        </w:rPr>
        <w:t>Reviewer details:</w:t>
      </w:r>
    </w:p>
    <w:p w14:paraId="1E4B6182" w14:textId="77777777" w:rsidR="00091445" w:rsidRDefault="00091445" w:rsidP="00091445">
      <w:r w:rsidRPr="000733A2">
        <w:rPr>
          <w:rFonts w:ascii="Arial" w:hAnsi="Arial" w:cs="Arial"/>
          <w:b/>
          <w:color w:val="000000"/>
          <w:sz w:val="20"/>
          <w:szCs w:val="20"/>
        </w:rPr>
        <w:t xml:space="preserve">Razaw </w:t>
      </w:r>
      <w:proofErr w:type="spellStart"/>
      <w:proofErr w:type="gramStart"/>
      <w:r w:rsidRPr="000733A2">
        <w:rPr>
          <w:rFonts w:ascii="Arial" w:hAnsi="Arial" w:cs="Arial"/>
          <w:b/>
          <w:color w:val="000000"/>
          <w:sz w:val="20"/>
          <w:szCs w:val="20"/>
        </w:rPr>
        <w:t>O.Ibrahim</w:t>
      </w:r>
      <w:proofErr w:type="spellEnd"/>
      <w:proofErr w:type="gramEnd"/>
      <w:r w:rsidRPr="000733A2">
        <w:rPr>
          <w:rFonts w:ascii="Arial" w:hAnsi="Arial" w:cs="Arial"/>
          <w:b/>
          <w:color w:val="000000"/>
          <w:sz w:val="20"/>
          <w:szCs w:val="20"/>
        </w:rPr>
        <w:t>, University of Kirkuk, Iraq</w:t>
      </w:r>
      <w:r w:rsidRPr="000733A2">
        <w:rPr>
          <w:rFonts w:ascii="Arial" w:hAnsi="Arial" w:cs="Arial"/>
          <w:b/>
          <w:color w:val="000000"/>
          <w:sz w:val="20"/>
          <w:szCs w:val="20"/>
        </w:rPr>
        <w:br/>
      </w:r>
    </w:p>
    <w:p w14:paraId="5A126649" w14:textId="77777777" w:rsidR="00091445" w:rsidRPr="00091445" w:rsidRDefault="00091445">
      <w:pPr>
        <w:rPr>
          <w:rFonts w:ascii="Arial" w:hAnsi="Arial" w:cs="Arial"/>
          <w:b/>
          <w:sz w:val="20"/>
          <w:szCs w:val="20"/>
        </w:rPr>
      </w:pPr>
    </w:p>
    <w:sectPr w:rsidR="00091445" w:rsidRPr="0009144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F546B" w14:textId="77777777" w:rsidR="00C84725" w:rsidRPr="0000007A" w:rsidRDefault="00C84725" w:rsidP="0099583E">
      <w:r>
        <w:separator/>
      </w:r>
    </w:p>
  </w:endnote>
  <w:endnote w:type="continuationSeparator" w:id="0">
    <w:p w14:paraId="149D5562" w14:textId="77777777" w:rsidR="00C84725" w:rsidRPr="0000007A" w:rsidRDefault="00C8472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81F9F" w14:textId="77777777" w:rsidR="00C84725" w:rsidRPr="0000007A" w:rsidRDefault="00C84725" w:rsidP="0099583E">
      <w:r>
        <w:separator/>
      </w:r>
    </w:p>
  </w:footnote>
  <w:footnote w:type="continuationSeparator" w:id="0">
    <w:p w14:paraId="013F1ABD" w14:textId="77777777" w:rsidR="00C84725" w:rsidRPr="0000007A" w:rsidRDefault="00C8472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B582D"/>
    <w:multiLevelType w:val="multilevel"/>
    <w:tmpl w:val="E8C8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7DE7A05"/>
    <w:multiLevelType w:val="multilevel"/>
    <w:tmpl w:val="CF04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A7820"/>
    <w:multiLevelType w:val="multilevel"/>
    <w:tmpl w:val="513A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1588462">
    <w:abstractNumId w:val="3"/>
  </w:num>
  <w:num w:numId="2" w16cid:durableId="334915819">
    <w:abstractNumId w:val="7"/>
  </w:num>
  <w:num w:numId="3" w16cid:durableId="600182067">
    <w:abstractNumId w:val="6"/>
  </w:num>
  <w:num w:numId="4" w16cid:durableId="1730612141">
    <w:abstractNumId w:val="9"/>
  </w:num>
  <w:num w:numId="5" w16cid:durableId="176890111">
    <w:abstractNumId w:val="5"/>
  </w:num>
  <w:num w:numId="6" w16cid:durableId="1926913782">
    <w:abstractNumId w:val="0"/>
  </w:num>
  <w:num w:numId="7" w16cid:durableId="1849559173">
    <w:abstractNumId w:val="1"/>
  </w:num>
  <w:num w:numId="8" w16cid:durableId="158622720">
    <w:abstractNumId w:val="12"/>
  </w:num>
  <w:num w:numId="9" w16cid:durableId="1174959548">
    <w:abstractNumId w:val="11"/>
  </w:num>
  <w:num w:numId="10" w16cid:durableId="1346635366">
    <w:abstractNumId w:val="2"/>
  </w:num>
  <w:num w:numId="11" w16cid:durableId="1873806025">
    <w:abstractNumId w:val="4"/>
  </w:num>
  <w:num w:numId="12" w16cid:durableId="520359082">
    <w:abstractNumId w:val="10"/>
  </w:num>
  <w:num w:numId="13" w16cid:durableId="6855174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1445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2B9E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E5963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3D88"/>
    <w:rsid w:val="00326D7D"/>
    <w:rsid w:val="0033018A"/>
    <w:rsid w:val="00330D26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E44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22FD"/>
    <w:rsid w:val="005A4F17"/>
    <w:rsid w:val="005B3509"/>
    <w:rsid w:val="005C25A0"/>
    <w:rsid w:val="005D230D"/>
    <w:rsid w:val="005E11DC"/>
    <w:rsid w:val="005E16DF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5956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1AAB"/>
    <w:rsid w:val="0091410B"/>
    <w:rsid w:val="009245E3"/>
    <w:rsid w:val="00942DEE"/>
    <w:rsid w:val="00944F67"/>
    <w:rsid w:val="009475AD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3614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4A3F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3283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43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CF5"/>
    <w:rsid w:val="00C70DFC"/>
    <w:rsid w:val="00C82466"/>
    <w:rsid w:val="00C84097"/>
    <w:rsid w:val="00C84725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534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1BC6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7BE7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22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2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922F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28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09144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4385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2025-11-15T12:41:00Z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