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73BE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73BE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73BE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73BE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73BE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60994E" w:rsidR="0000007A" w:rsidRPr="00073BE7" w:rsidRDefault="00F32D4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73BE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073BE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73BE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C1A6E1" w:rsidR="0000007A" w:rsidRPr="00073BE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E08A9"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6860</w:t>
            </w:r>
          </w:p>
        </w:tc>
      </w:tr>
      <w:tr w:rsidR="0000007A" w:rsidRPr="00073BE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73BE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7012057" w:rsidR="0000007A" w:rsidRPr="00073BE7" w:rsidRDefault="007523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73BE7">
              <w:rPr>
                <w:rFonts w:ascii="Arial" w:hAnsi="Arial" w:cs="Arial"/>
                <w:b/>
                <w:sz w:val="20"/>
                <w:szCs w:val="20"/>
                <w:lang w:val="en-GB"/>
              </w:rPr>
              <w:t>COVID-19 Lockdown as a Natural Experiment: Environmental and Atmospheric Responses Across India Using Multi-Sensor Data</w:t>
            </w:r>
          </w:p>
        </w:tc>
      </w:tr>
      <w:tr w:rsidR="00CF0BBB" w:rsidRPr="00073BE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73BE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8BFB01" w:rsidR="00CF0BBB" w:rsidRPr="00073BE7" w:rsidRDefault="005E08A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73BE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73BE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73BE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73BE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73BE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73BE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73BE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73BE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73BE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BE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73BE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73BE7">
              <w:rPr>
                <w:rFonts w:ascii="Arial" w:hAnsi="Arial" w:cs="Arial"/>
                <w:lang w:val="en-GB"/>
              </w:rPr>
              <w:t>Author’s Feedback</w:t>
            </w:r>
            <w:r w:rsidRPr="00073BE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73BE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73BE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73B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73BE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15078BD" w:rsidR="00F1171E" w:rsidRPr="00073BE7" w:rsidRDefault="00E726FE" w:rsidP="00E726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This manuscript is important to the scientific community because it provides a detailed, multi-sensor evaluation of India’s atmospheric response during the COVID-19 lockdown—an event widely regarded as a natural experiment for emission-reduction scenarios. The work enhances understanding of how meteorological conditions modulate the effectiveness of emission reductions. It also contributes to policy-relevant knowledge by showing region-specific atmospheric behavior, which is essential for air-quality management. Furthermore, the vertical treatment of ozone adds scientific value by distinguishing surface-level impacts from column-level dynamics.</w:t>
            </w:r>
          </w:p>
        </w:tc>
        <w:tc>
          <w:tcPr>
            <w:tcW w:w="1523" w:type="pct"/>
          </w:tcPr>
          <w:p w14:paraId="462A339C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3BE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73B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73B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4F79B84" w:rsidR="00F1171E" w:rsidRPr="00073BE7" w:rsidRDefault="00E726FE" w:rsidP="00E726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Yes, the title is suitable, clear, and accurately reflects the content.</w:t>
            </w:r>
          </w:p>
        </w:tc>
        <w:tc>
          <w:tcPr>
            <w:tcW w:w="1523" w:type="pct"/>
          </w:tcPr>
          <w:p w14:paraId="405B6701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3BE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73BE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73BE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017515" w14:textId="77777777" w:rsidR="00E726FE" w:rsidRPr="00073BE7" w:rsidRDefault="00E726FE" w:rsidP="00E726FE">
            <w:pPr>
              <w:rPr>
                <w:rFonts w:ascii="Arial" w:hAnsi="Arial" w:cs="Arial"/>
                <w:sz w:val="20"/>
                <w:szCs w:val="20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The abstract is comprehensive, well-structured, and captures the scope, methods, and main conclusions.</w:t>
            </w:r>
            <w:r w:rsidRPr="00073BE7">
              <w:rPr>
                <w:rFonts w:ascii="Arial" w:hAnsi="Arial" w:cs="Arial"/>
                <w:sz w:val="20"/>
                <w:szCs w:val="20"/>
              </w:rPr>
              <w:br/>
              <w:t>Suggested improvements:</w:t>
            </w:r>
          </w:p>
          <w:p w14:paraId="4FF55994" w14:textId="77777777" w:rsidR="00E726FE" w:rsidRPr="00073BE7" w:rsidRDefault="00E726FE" w:rsidP="00E726FE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 xml:space="preserve">Add 1–2 sentences explicitly stating the </w:t>
            </w:r>
            <w:r w:rsidRPr="00073BE7">
              <w:rPr>
                <w:rFonts w:ascii="Arial" w:hAnsi="Arial" w:cs="Arial"/>
                <w:i/>
                <w:iCs/>
                <w:sz w:val="20"/>
                <w:szCs w:val="20"/>
              </w:rPr>
              <w:t>scientific gap</w:t>
            </w:r>
            <w:r w:rsidRPr="00073BE7">
              <w:rPr>
                <w:rFonts w:ascii="Arial" w:hAnsi="Arial" w:cs="Arial"/>
                <w:sz w:val="20"/>
                <w:szCs w:val="20"/>
              </w:rPr>
              <w:t xml:space="preserve"> this chapter addresses.</w:t>
            </w:r>
          </w:p>
          <w:p w14:paraId="127A7064" w14:textId="77777777" w:rsidR="00E726FE" w:rsidRPr="00073BE7" w:rsidRDefault="00E726FE" w:rsidP="00E726FE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Mention the six-region partition explicitly to emphasize spatial detail.</w:t>
            </w:r>
          </w:p>
          <w:p w14:paraId="7E3655D6" w14:textId="77777777" w:rsidR="00E726FE" w:rsidRPr="00073BE7" w:rsidRDefault="00E726FE" w:rsidP="00E726FE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Clarify the contrast between tropospheric and total ozone earlier in the abstract to enhance readability.</w:t>
            </w:r>
          </w:p>
          <w:p w14:paraId="0FB7E83A" w14:textId="77777777" w:rsidR="00F1171E" w:rsidRPr="00073BE7" w:rsidRDefault="00F1171E" w:rsidP="00E726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1D54B730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3BE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73BE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03C571E" w:rsidR="00F1171E" w:rsidRPr="00073BE7" w:rsidRDefault="00E726FE" w:rsidP="00E726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The manuscript is scientifically sound. The methodology is robust, with appropriate use of multi-year climatology, anomaly calculations, t-tests, and quality screening. Interpretation of results is consistent with current atmospheric science literature. The integration of meteorological modulation is particularly strong and enhances credibility.</w:t>
            </w:r>
            <w:r w:rsidRPr="00073BE7">
              <w:rPr>
                <w:rFonts w:ascii="Arial" w:hAnsi="Arial" w:cs="Arial"/>
                <w:sz w:val="20"/>
                <w:szCs w:val="20"/>
              </w:rPr>
              <w:br/>
              <w:t>Minor suggestion: Clarify the statistical assumptions supporting t-tests given the small 2020 sample size</w:t>
            </w:r>
          </w:p>
        </w:tc>
        <w:tc>
          <w:tcPr>
            <w:tcW w:w="1523" w:type="pct"/>
          </w:tcPr>
          <w:p w14:paraId="4898F764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3BE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73B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73BE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73BE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21C4712" w:rsidR="00F1171E" w:rsidRPr="00073BE7" w:rsidRDefault="00E726FE" w:rsidP="00E726F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The references are sufficient, relevant, and include many recent works from 2020–2024.</w:t>
            </w:r>
          </w:p>
        </w:tc>
        <w:tc>
          <w:tcPr>
            <w:tcW w:w="1523" w:type="pct"/>
          </w:tcPr>
          <w:p w14:paraId="40220055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3BE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73BE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73BE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7E78AB5F" w:rsidR="00F1171E" w:rsidRPr="00073BE7" w:rsidRDefault="00E726FE" w:rsidP="00E726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The English is clear, scholarly, and suitable for publication. The structure is coherent and well organized.</w:t>
            </w:r>
            <w:r w:rsidRPr="00073BE7">
              <w:rPr>
                <w:rFonts w:ascii="Arial" w:hAnsi="Arial" w:cs="Arial"/>
                <w:sz w:val="20"/>
                <w:szCs w:val="20"/>
              </w:rPr>
              <w:br/>
            </w:r>
            <w:r w:rsidRPr="00073BE7">
              <w:rPr>
                <w:rFonts w:ascii="Arial" w:hAnsi="Arial" w:cs="Arial"/>
                <w:b/>
                <w:bCs/>
                <w:sz w:val="20"/>
                <w:szCs w:val="20"/>
              </w:rPr>
              <w:t>Only minor edits</w:t>
            </w:r>
            <w:r w:rsidRPr="00073BE7">
              <w:rPr>
                <w:rFonts w:ascii="Arial" w:hAnsi="Arial" w:cs="Arial"/>
                <w:sz w:val="20"/>
                <w:szCs w:val="20"/>
              </w:rPr>
              <w:t xml:space="preserve"> may be needed for conciseness in the Discussion section.</w:t>
            </w:r>
          </w:p>
          <w:p w14:paraId="41E28118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73BE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73BE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73BE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73BE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73BE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17297A3" w:rsidR="00F1171E" w:rsidRPr="00073BE7" w:rsidRDefault="00E726FE" w:rsidP="00E726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3BE7">
              <w:rPr>
                <w:rFonts w:ascii="Arial" w:hAnsi="Arial" w:cs="Arial"/>
                <w:sz w:val="20"/>
                <w:szCs w:val="20"/>
              </w:rPr>
              <w:t>Figures (as described) seem appropriate, but ensure all axes, units, and color scales are clearly labeled.</w:t>
            </w:r>
          </w:p>
          <w:p w14:paraId="5E946A0E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73BE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77777777" w:rsidR="00F1171E" w:rsidRPr="00073B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73BE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26715" w:rsidRPr="00073BE7" w14:paraId="706015CA" w14:textId="77777777" w:rsidTr="0042671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C413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73BE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73BE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9FED5E1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26715" w:rsidRPr="00073BE7" w14:paraId="3CAB0E1F" w14:textId="77777777" w:rsidTr="0042671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0ECA8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AFB0" w14:textId="77777777" w:rsidR="00426715" w:rsidRPr="00073BE7" w:rsidRDefault="0042671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3B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D7CA" w14:textId="77777777" w:rsidR="00426715" w:rsidRPr="00073BE7" w:rsidRDefault="0042671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73B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73B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10E4CF5" w14:textId="77777777" w:rsidR="00426715" w:rsidRPr="00073BE7" w:rsidRDefault="0042671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6715" w:rsidRPr="00073BE7" w14:paraId="3DD82F4F" w14:textId="77777777" w:rsidTr="0042671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A12B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73BE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B8A34B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68B0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73BE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3085E5C1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F156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F62A02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B690A6" w14:textId="77777777" w:rsidR="00426715" w:rsidRPr="00073BE7" w:rsidRDefault="0042671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99BBF0B" w14:textId="77777777" w:rsidR="00426715" w:rsidRPr="00073BE7" w:rsidRDefault="00426715" w:rsidP="00426715">
      <w:pPr>
        <w:rPr>
          <w:rFonts w:ascii="Arial" w:hAnsi="Arial" w:cs="Arial"/>
          <w:sz w:val="20"/>
          <w:szCs w:val="20"/>
        </w:rPr>
      </w:pPr>
    </w:p>
    <w:p w14:paraId="56FCDE90" w14:textId="77777777" w:rsidR="00426715" w:rsidRPr="00073BE7" w:rsidRDefault="00426715" w:rsidP="00426715">
      <w:pPr>
        <w:rPr>
          <w:rFonts w:ascii="Arial" w:hAnsi="Arial" w:cs="Arial"/>
          <w:sz w:val="20"/>
          <w:szCs w:val="20"/>
        </w:rPr>
      </w:pPr>
    </w:p>
    <w:p w14:paraId="213EA1A2" w14:textId="77777777" w:rsidR="00073BE7" w:rsidRPr="00B16AC1" w:rsidRDefault="00073BE7" w:rsidP="00073BE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16AC1">
        <w:rPr>
          <w:rFonts w:ascii="Arial" w:hAnsi="Arial" w:cs="Arial"/>
          <w:b/>
          <w:u w:val="single"/>
        </w:rPr>
        <w:t>Reviewer details:</w:t>
      </w:r>
    </w:p>
    <w:p w14:paraId="7ACB9419" w14:textId="77777777" w:rsidR="00073BE7" w:rsidRDefault="00073BE7" w:rsidP="00073BE7">
      <w:r w:rsidRPr="00B16AC1">
        <w:rPr>
          <w:rFonts w:ascii="Arial" w:hAnsi="Arial" w:cs="Arial"/>
          <w:b/>
          <w:color w:val="000000"/>
          <w:sz w:val="20"/>
          <w:szCs w:val="20"/>
        </w:rPr>
        <w:t>Willard Zvarevashe, Higher Colleges of Technology, United Arab Emirates</w:t>
      </w:r>
      <w:r w:rsidRPr="00B16AC1">
        <w:rPr>
          <w:rFonts w:ascii="Arial" w:hAnsi="Arial" w:cs="Arial"/>
          <w:b/>
          <w:color w:val="000000"/>
          <w:sz w:val="20"/>
          <w:szCs w:val="20"/>
        </w:rPr>
        <w:br/>
      </w:r>
    </w:p>
    <w:p w14:paraId="3DF324C9" w14:textId="77777777" w:rsidR="00426715" w:rsidRPr="00073BE7" w:rsidRDefault="00426715" w:rsidP="00426715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33D71121" w14:textId="77777777" w:rsidR="00426715" w:rsidRPr="00073BE7" w:rsidRDefault="00426715" w:rsidP="00426715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073BE7" w:rsidRDefault="004C3DF1" w:rsidP="00426715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073BE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9A289" w14:textId="77777777" w:rsidR="00C90AA7" w:rsidRPr="0000007A" w:rsidRDefault="00C90AA7" w:rsidP="0099583E">
      <w:r>
        <w:separator/>
      </w:r>
    </w:p>
  </w:endnote>
  <w:endnote w:type="continuationSeparator" w:id="0">
    <w:p w14:paraId="045EC6A6" w14:textId="77777777" w:rsidR="00C90AA7" w:rsidRPr="0000007A" w:rsidRDefault="00C90AA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B0CB" w14:textId="77777777" w:rsidR="00C90AA7" w:rsidRPr="0000007A" w:rsidRDefault="00C90AA7" w:rsidP="0099583E">
      <w:r>
        <w:separator/>
      </w:r>
    </w:p>
  </w:footnote>
  <w:footnote w:type="continuationSeparator" w:id="0">
    <w:p w14:paraId="698E0787" w14:textId="77777777" w:rsidR="00C90AA7" w:rsidRPr="0000007A" w:rsidRDefault="00C90AA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1EE4"/>
    <w:multiLevelType w:val="multilevel"/>
    <w:tmpl w:val="ABDE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810257">
    <w:abstractNumId w:val="4"/>
  </w:num>
  <w:num w:numId="2" w16cid:durableId="2099137417">
    <w:abstractNumId w:val="7"/>
  </w:num>
  <w:num w:numId="3" w16cid:durableId="737749978">
    <w:abstractNumId w:val="6"/>
  </w:num>
  <w:num w:numId="4" w16cid:durableId="1406880783">
    <w:abstractNumId w:val="8"/>
  </w:num>
  <w:num w:numId="5" w16cid:durableId="1838033530">
    <w:abstractNumId w:val="5"/>
  </w:num>
  <w:num w:numId="6" w16cid:durableId="1373770708">
    <w:abstractNumId w:val="1"/>
  </w:num>
  <w:num w:numId="7" w16cid:durableId="695816291">
    <w:abstractNumId w:val="2"/>
  </w:num>
  <w:num w:numId="8" w16cid:durableId="1077895763">
    <w:abstractNumId w:val="10"/>
  </w:num>
  <w:num w:numId="9" w16cid:durableId="10229253">
    <w:abstractNumId w:val="9"/>
  </w:num>
  <w:num w:numId="10" w16cid:durableId="1086731104">
    <w:abstractNumId w:val="3"/>
  </w:num>
  <w:num w:numId="11" w16cid:durableId="58218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3BE7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6731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AC3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54B"/>
    <w:rsid w:val="002A3D7C"/>
    <w:rsid w:val="002B0E4B"/>
    <w:rsid w:val="002C40B8"/>
    <w:rsid w:val="002D5A4A"/>
    <w:rsid w:val="002D60EF"/>
    <w:rsid w:val="002E10DF"/>
    <w:rsid w:val="002E1211"/>
    <w:rsid w:val="002E2339"/>
    <w:rsid w:val="002E4978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61B"/>
    <w:rsid w:val="00421DBF"/>
    <w:rsid w:val="0042465A"/>
    <w:rsid w:val="0042671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08A9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2396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CA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0AA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A0D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6FE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2D47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905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6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216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73BE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