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D57C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D57C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D57C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D57C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D57C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C68021" w:rsidR="0000007A" w:rsidRPr="00ED57C0" w:rsidRDefault="003A520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D57C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ED57C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D57C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6331CA9" w:rsidR="0000007A" w:rsidRPr="00ED57C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D57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D57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B75ED" w:rsidRPr="00ED57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6480</w:t>
            </w:r>
          </w:p>
        </w:tc>
      </w:tr>
      <w:tr w:rsidR="0000007A" w:rsidRPr="00ED57C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D57C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404809" w:rsidR="0000007A" w:rsidRPr="00ED57C0" w:rsidRDefault="004A0D7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D57C0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Role of Monocytes and Macrophages in the Pathogenesis of Non-AIDS Defining Events: Mechanisms and Therapeutic Implications</w:t>
            </w:r>
          </w:p>
        </w:tc>
      </w:tr>
      <w:tr w:rsidR="00CF0BBB" w:rsidRPr="00ED57C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D57C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0E0A53B" w:rsidR="00CF0BBB" w:rsidRPr="00ED57C0" w:rsidRDefault="00BB75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D57C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D57C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ED57C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D57C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D57C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D57C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D57C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D57C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D57C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D57C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44521CA" w:rsidR="00E03C32" w:rsidRDefault="00BC077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C077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Immunology 8 (1):120-33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2B3A8F0" w:rsidR="00E03C32" w:rsidRPr="007B54A4" w:rsidRDefault="009B6AC3" w:rsidP="009B6AC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B6AC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10.9734/aji/2025/v8i1166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D57C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D57C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D57C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D57C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57C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D57C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D57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57C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57C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D57C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D57C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57C0">
              <w:rPr>
                <w:rFonts w:ascii="Arial" w:hAnsi="Arial" w:cs="Arial"/>
                <w:lang w:val="en-GB"/>
              </w:rPr>
              <w:t>Author’s Feedback</w:t>
            </w:r>
            <w:r w:rsidRPr="00ED57C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57C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D57C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D57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D57C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A75DF11" w:rsidR="00F1171E" w:rsidRPr="00ED57C0" w:rsidRDefault="008A128E" w:rsidP="007222C8">
            <w:pPr>
              <w:pStyle w:val="ListParagraph"/>
              <w:ind w:left="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i/>
                <w:iCs/>
                <w:sz w:val="20"/>
                <w:szCs w:val="20"/>
              </w:rPr>
              <w:t>This manuscript is highly relevant and important for the scientific community. It provides a comprehensive and timely synthesis of the critical role monocytes and macrophages play in driving chronic inflammation and non-AIDS defining events (</w:t>
            </w:r>
            <w:proofErr w:type="spellStart"/>
            <w:r w:rsidRPr="00ED57C0">
              <w:rPr>
                <w:rFonts w:ascii="Arial" w:hAnsi="Arial" w:cs="Arial"/>
                <w:i/>
                <w:iCs/>
                <w:sz w:val="20"/>
                <w:szCs w:val="20"/>
              </w:rPr>
              <w:t>nADEs</w:t>
            </w:r>
            <w:proofErr w:type="spellEnd"/>
            <w:r w:rsidRPr="00ED57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in people living with HIV (PLWH). As HIV management shifts focus from survival to quality of life and long-term health, understanding these underlying mechanisms is paramount. The review effectively bridges basic science on viral persistence and immune activation with clinical manifestations of </w:t>
            </w:r>
            <w:proofErr w:type="spellStart"/>
            <w:r w:rsidRPr="00ED57C0">
              <w:rPr>
                <w:rFonts w:ascii="Arial" w:hAnsi="Arial" w:cs="Arial"/>
                <w:i/>
                <w:iCs/>
                <w:sz w:val="20"/>
                <w:szCs w:val="20"/>
              </w:rPr>
              <w:t>nADEs</w:t>
            </w:r>
            <w:proofErr w:type="spellEnd"/>
            <w:r w:rsidRPr="00ED57C0">
              <w:rPr>
                <w:rFonts w:ascii="Arial" w:hAnsi="Arial" w:cs="Arial"/>
                <w:i/>
                <w:iCs/>
                <w:sz w:val="20"/>
                <w:szCs w:val="20"/>
              </w:rPr>
              <w:t>, making it a valuable resource for both researchers and clinicians. Furthermore, the discussion on therapeutic implications offers a forward-looking perspective on potential strategies to improve outcomes for PLWH.</w:t>
            </w:r>
          </w:p>
        </w:tc>
        <w:tc>
          <w:tcPr>
            <w:tcW w:w="1523" w:type="pct"/>
          </w:tcPr>
          <w:p w14:paraId="462A339C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57C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D57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D57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5765E03" w:rsidR="00F1171E" w:rsidRPr="00ED57C0" w:rsidRDefault="008A128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57C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D57C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D57C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5D6DC3A" w:rsidR="00F1171E" w:rsidRPr="00ED57C0" w:rsidRDefault="008A128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</w:rPr>
              <w:t>The abstract is comprehensive and well-structured. It effectively outlines the problem, the central role of monocytes/macrophages, key mechanisms (reservoirs, inflammation, tissue damage), and therapeutic implications. No major additions or deletions are necessary.</w:t>
            </w:r>
          </w:p>
        </w:tc>
        <w:tc>
          <w:tcPr>
            <w:tcW w:w="1523" w:type="pct"/>
          </w:tcPr>
          <w:p w14:paraId="1D54B730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57C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D57C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7A2B27A" w:rsidR="00F1171E" w:rsidRPr="00ED57C0" w:rsidRDefault="008A128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</w:rPr>
              <w:t>The manuscript is scientifically robust and technically sound. The mechanisms described, from viral infection of myeloid cells and chronic immune activation to organ-specific pathogenesis, are accurately presented and supported by current literature. The explanations of complex processes like NLRP3 inflammasome activation, foam cell formation, and macrophage polarization are clear and correct.</w:t>
            </w:r>
          </w:p>
        </w:tc>
        <w:tc>
          <w:tcPr>
            <w:tcW w:w="1523" w:type="pct"/>
          </w:tcPr>
          <w:p w14:paraId="4898F764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57C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D57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D57C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647AE71" w:rsidR="00F1171E" w:rsidRPr="00ED57C0" w:rsidRDefault="008A128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Okay</w:t>
            </w:r>
          </w:p>
        </w:tc>
        <w:tc>
          <w:tcPr>
            <w:tcW w:w="1523" w:type="pct"/>
          </w:tcPr>
          <w:p w14:paraId="40220055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57C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D57C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D57C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D57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D57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D57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D349F26" w:rsidR="00F1171E" w:rsidRPr="00ED57C0" w:rsidRDefault="008A128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sz w:val="20"/>
                <w:szCs w:val="20"/>
              </w:rPr>
              <w:t>The language is generally of a high standard and suitable for scholarly communication. </w:t>
            </w:r>
          </w:p>
          <w:p w14:paraId="297F52DB" w14:textId="77777777" w:rsidR="00F1171E" w:rsidRPr="00ED57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D57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D57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57C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D57C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D57C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D57C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D57C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D57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0E0758F" w:rsidR="00F1171E" w:rsidRPr="00ED57C0" w:rsidRDefault="008A128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7C0">
              <w:rPr>
                <w:rFonts w:ascii="Arial" w:hAnsi="Arial" w:cs="Arial"/>
                <w:sz w:val="20"/>
                <w:szCs w:val="20"/>
              </w:rPr>
              <w:t xml:space="preserve">This is a well-written and informative review. The figures (conceptual diagrams for HAND and HIVAN) are a good addition that enhances clarity. The table summarizing the mechanisms of amelioration of </w:t>
            </w:r>
            <w:proofErr w:type="spellStart"/>
            <w:r w:rsidRPr="00ED57C0">
              <w:rPr>
                <w:rFonts w:ascii="Arial" w:hAnsi="Arial" w:cs="Arial"/>
                <w:sz w:val="20"/>
                <w:szCs w:val="20"/>
              </w:rPr>
              <w:t>nADEs</w:t>
            </w:r>
            <w:proofErr w:type="spellEnd"/>
            <w:r w:rsidRPr="00ED57C0">
              <w:rPr>
                <w:rFonts w:ascii="Arial" w:hAnsi="Arial" w:cs="Arial"/>
                <w:sz w:val="20"/>
                <w:szCs w:val="20"/>
              </w:rPr>
              <w:t xml:space="preserve"> is particularly effective.</w:t>
            </w:r>
          </w:p>
          <w:p w14:paraId="7EB58C99" w14:textId="77777777" w:rsidR="00F1171E" w:rsidRPr="00ED57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D57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D57C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D57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D57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D57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D57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D57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D57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D57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D57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D57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D57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7965FA" w:rsidRPr="00ED57C0" w14:paraId="2BB3FCAB" w14:textId="77777777" w:rsidTr="0042782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07C86" w14:textId="77777777" w:rsidR="007965FA" w:rsidRPr="00ED57C0" w:rsidRDefault="007965FA" w:rsidP="0042782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D57C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D57C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B05E1CA" w14:textId="77777777" w:rsidR="007965FA" w:rsidRPr="00ED57C0" w:rsidRDefault="007965FA" w:rsidP="0042782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965FA" w:rsidRPr="00ED57C0" w14:paraId="054DDC44" w14:textId="77777777" w:rsidTr="0042782E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0F062" w14:textId="77777777" w:rsidR="007965FA" w:rsidRPr="00ED57C0" w:rsidRDefault="007965FA" w:rsidP="004278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A549" w14:textId="77777777" w:rsidR="007965FA" w:rsidRPr="00ED57C0" w:rsidRDefault="007965FA" w:rsidP="0042782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57C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7CBB882" w14:textId="77777777" w:rsidR="007965FA" w:rsidRPr="00ED57C0" w:rsidRDefault="007965FA" w:rsidP="0042782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D57C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D57C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D724F02" w14:textId="77777777" w:rsidR="007965FA" w:rsidRPr="00ED57C0" w:rsidRDefault="007965FA" w:rsidP="0042782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965FA" w:rsidRPr="00ED57C0" w14:paraId="130C4157" w14:textId="77777777" w:rsidTr="0042782E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7DCB2" w14:textId="77777777" w:rsidR="007965FA" w:rsidRPr="00ED57C0" w:rsidRDefault="007965FA" w:rsidP="0042782E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D57C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3AA50CA" w14:textId="77777777" w:rsidR="007965FA" w:rsidRPr="00ED57C0" w:rsidRDefault="007965FA" w:rsidP="004278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A0ABB" w14:textId="77777777" w:rsidR="007965FA" w:rsidRPr="00ED57C0" w:rsidRDefault="007965FA" w:rsidP="0042782E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D57C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D57C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D57C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8AA8E5C" w14:textId="77777777" w:rsidR="007965FA" w:rsidRPr="00ED57C0" w:rsidRDefault="007965FA" w:rsidP="004278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22444E0" w14:textId="77777777" w:rsidR="007965FA" w:rsidRPr="00ED57C0" w:rsidRDefault="007965FA" w:rsidP="004278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4731CF7" w14:textId="77777777" w:rsidR="007965FA" w:rsidRPr="00ED57C0" w:rsidRDefault="007965FA" w:rsidP="004278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2B1688" w14:textId="77777777" w:rsidR="007965FA" w:rsidRPr="00ED57C0" w:rsidRDefault="007965FA" w:rsidP="004278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8336997" w14:textId="77777777" w:rsidR="007965FA" w:rsidRPr="00ED57C0" w:rsidRDefault="007965FA" w:rsidP="007965FA">
      <w:pPr>
        <w:rPr>
          <w:rFonts w:ascii="Arial" w:hAnsi="Arial" w:cs="Arial"/>
          <w:sz w:val="20"/>
          <w:szCs w:val="20"/>
        </w:rPr>
      </w:pPr>
    </w:p>
    <w:p w14:paraId="2C750112" w14:textId="77777777" w:rsidR="00ED57C0" w:rsidRPr="00CC1C41" w:rsidRDefault="00ED57C0" w:rsidP="00ED57C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C1C41">
        <w:rPr>
          <w:rFonts w:ascii="Arial" w:hAnsi="Arial" w:cs="Arial"/>
          <w:b/>
          <w:u w:val="single"/>
        </w:rPr>
        <w:t>Reviewer details:</w:t>
      </w:r>
    </w:p>
    <w:p w14:paraId="1FB6E8DB" w14:textId="77777777" w:rsidR="00ED57C0" w:rsidRPr="00CC1C41" w:rsidRDefault="00ED57C0" w:rsidP="00ED57C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CC1C41">
        <w:rPr>
          <w:rFonts w:ascii="Arial" w:hAnsi="Arial" w:cs="Arial"/>
          <w:b/>
          <w:color w:val="000000"/>
        </w:rPr>
        <w:t>Ashiqur</w:t>
      </w:r>
      <w:proofErr w:type="spellEnd"/>
      <w:r w:rsidRPr="00CC1C41">
        <w:rPr>
          <w:rFonts w:ascii="Arial" w:hAnsi="Arial" w:cs="Arial"/>
          <w:b/>
          <w:color w:val="000000"/>
        </w:rPr>
        <w:t xml:space="preserve"> Rahman, Bangladesh</w:t>
      </w:r>
    </w:p>
    <w:p w14:paraId="4766AE88" w14:textId="77777777" w:rsidR="007965FA" w:rsidRPr="00ED57C0" w:rsidRDefault="007965FA" w:rsidP="007965FA">
      <w:pPr>
        <w:rPr>
          <w:rFonts w:ascii="Arial" w:hAnsi="Arial" w:cs="Arial"/>
          <w:sz w:val="20"/>
          <w:szCs w:val="20"/>
        </w:rPr>
      </w:pPr>
    </w:p>
    <w:p w14:paraId="494267BB" w14:textId="77777777" w:rsidR="007965FA" w:rsidRPr="00ED57C0" w:rsidRDefault="007965FA" w:rsidP="007965FA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3923FFC" w14:textId="77777777" w:rsidR="007965FA" w:rsidRPr="00ED57C0" w:rsidRDefault="007965FA" w:rsidP="007965FA">
      <w:pPr>
        <w:rPr>
          <w:rFonts w:ascii="Arial" w:hAnsi="Arial" w:cs="Arial"/>
          <w:sz w:val="20"/>
          <w:szCs w:val="20"/>
        </w:rPr>
      </w:pPr>
    </w:p>
    <w:p w14:paraId="4437A01F" w14:textId="77777777" w:rsidR="00F1171E" w:rsidRPr="00ED57C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ED57C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7A252" w14:textId="77777777" w:rsidR="00F02DF0" w:rsidRPr="0000007A" w:rsidRDefault="00F02DF0" w:rsidP="0099583E">
      <w:r>
        <w:separator/>
      </w:r>
    </w:p>
  </w:endnote>
  <w:endnote w:type="continuationSeparator" w:id="0">
    <w:p w14:paraId="2E0A673B" w14:textId="77777777" w:rsidR="00F02DF0" w:rsidRPr="0000007A" w:rsidRDefault="00F02DF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BB7B0" w14:textId="77777777" w:rsidR="00F02DF0" w:rsidRPr="0000007A" w:rsidRDefault="00F02DF0" w:rsidP="0099583E">
      <w:r>
        <w:separator/>
      </w:r>
    </w:p>
  </w:footnote>
  <w:footnote w:type="continuationSeparator" w:id="0">
    <w:p w14:paraId="60D68237" w14:textId="77777777" w:rsidR="00F02DF0" w:rsidRPr="0000007A" w:rsidRDefault="00F02DF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2752650">
    <w:abstractNumId w:val="3"/>
  </w:num>
  <w:num w:numId="2" w16cid:durableId="1987541561">
    <w:abstractNumId w:val="6"/>
  </w:num>
  <w:num w:numId="3" w16cid:durableId="161360249">
    <w:abstractNumId w:val="5"/>
  </w:num>
  <w:num w:numId="4" w16cid:durableId="236478298">
    <w:abstractNumId w:val="7"/>
  </w:num>
  <w:num w:numId="5" w16cid:durableId="852111818">
    <w:abstractNumId w:val="4"/>
  </w:num>
  <w:num w:numId="6" w16cid:durableId="1650788333">
    <w:abstractNumId w:val="0"/>
  </w:num>
  <w:num w:numId="7" w16cid:durableId="1506356599">
    <w:abstractNumId w:val="1"/>
  </w:num>
  <w:num w:numId="8" w16cid:durableId="927076604">
    <w:abstractNumId w:val="9"/>
  </w:num>
  <w:num w:numId="9" w16cid:durableId="237446114">
    <w:abstractNumId w:val="8"/>
  </w:num>
  <w:num w:numId="10" w16cid:durableId="786965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785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5A5A"/>
    <w:rsid w:val="000936AC"/>
    <w:rsid w:val="00095A59"/>
    <w:rsid w:val="000A2134"/>
    <w:rsid w:val="000A2D36"/>
    <w:rsid w:val="000A6F41"/>
    <w:rsid w:val="000B3777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208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D70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905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4332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836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65FA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128E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5BEE"/>
    <w:rsid w:val="0099583E"/>
    <w:rsid w:val="009A0242"/>
    <w:rsid w:val="009A59ED"/>
    <w:rsid w:val="009B101F"/>
    <w:rsid w:val="009B239B"/>
    <w:rsid w:val="009B6AC3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5C7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75ED"/>
    <w:rsid w:val="00BC077A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ACD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13AC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7C0"/>
    <w:rsid w:val="00ED6B12"/>
    <w:rsid w:val="00ED7400"/>
    <w:rsid w:val="00EF326D"/>
    <w:rsid w:val="00EF53FE"/>
    <w:rsid w:val="00F02DF0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470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D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5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A0D7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5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B635C7"/>
  </w:style>
  <w:style w:type="paragraph" w:customStyle="1" w:styleId="Affiliation">
    <w:name w:val="Affiliation"/>
    <w:basedOn w:val="Normal"/>
    <w:rsid w:val="00ED57C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2025-09-27T12:56:00Z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