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708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708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708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6708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7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58AFEC" w:rsidR="0000007A" w:rsidRPr="0026708A" w:rsidRDefault="009872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708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26708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670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911AE9" w:rsidR="0000007A" w:rsidRPr="0026708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3626" w:rsidRPr="0026708A">
              <w:rPr>
                <w:rFonts w:ascii="Arial" w:hAnsi="Arial" w:cs="Arial"/>
                <w:b/>
                <w:bCs/>
                <w:sz w:val="20"/>
                <w:szCs w:val="20"/>
              </w:rPr>
              <w:t>6735</w:t>
            </w:r>
          </w:p>
        </w:tc>
      </w:tr>
      <w:tr w:rsidR="0000007A" w:rsidRPr="0026708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670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6955D1" w:rsidR="0000007A" w:rsidRPr="0026708A" w:rsidRDefault="00D8289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708A">
              <w:rPr>
                <w:rFonts w:ascii="Arial" w:hAnsi="Arial" w:cs="Arial"/>
                <w:b/>
                <w:sz w:val="20"/>
                <w:szCs w:val="20"/>
                <w:lang w:val="en-GB"/>
              </w:rPr>
              <w:t>Biopolymer-based food packaging: current methods, trends, applications and developments - a review</w:t>
            </w:r>
          </w:p>
        </w:tc>
      </w:tr>
      <w:tr w:rsidR="00CF0BBB" w:rsidRPr="0026708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6708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04D3F7" w:rsidR="00CF0BBB" w:rsidRPr="0026708A" w:rsidRDefault="00EF36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708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A57A551" w14:textId="77777777" w:rsidR="00D93809" w:rsidRDefault="00D9380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6BF3F5B" w14:textId="77777777" w:rsidR="00D93809" w:rsidRDefault="00D9380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56B17FB" w14:textId="77777777" w:rsidR="00D93809" w:rsidRPr="0026708A" w:rsidRDefault="00D9380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708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08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708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708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08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708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708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708A">
              <w:rPr>
                <w:rFonts w:ascii="Arial" w:hAnsi="Arial" w:cs="Arial"/>
                <w:lang w:val="en-GB"/>
              </w:rPr>
              <w:t>Author’s Feedback</w:t>
            </w:r>
            <w:r w:rsidRPr="002670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708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708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708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6708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08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08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670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708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08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708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26708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08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67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708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26708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08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670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708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708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708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708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708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EE753E" w14:textId="77777777" w:rsidR="00EC5C58" w:rsidRPr="0026708A" w:rsidRDefault="00EC5C58" w:rsidP="00EC5C58">
            <w:pPr>
              <w:pStyle w:val="Heading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6708A">
              <w:rPr>
                <w:rFonts w:ascii="Arial" w:hAnsi="Arial" w:cs="Arial"/>
                <w:color w:val="auto"/>
                <w:sz w:val="20"/>
                <w:szCs w:val="20"/>
              </w:rPr>
              <w:t>Concise Reviewer Comments for Manuscript BPR_6735</w:t>
            </w:r>
          </w:p>
          <w:p w14:paraId="7E14BBC3" w14:textId="77777777" w:rsidR="00EC5C58" w:rsidRPr="0026708A" w:rsidRDefault="00EC5C58" w:rsidP="00EC5C58">
            <w:pPr>
              <w:pStyle w:val="Heading2"/>
              <w:rPr>
                <w:rFonts w:ascii="Arial" w:hAnsi="Arial" w:cs="Arial"/>
              </w:rPr>
            </w:pPr>
            <w:r w:rsidRPr="0026708A">
              <w:rPr>
                <w:rFonts w:ascii="Arial" w:hAnsi="Arial" w:cs="Arial"/>
              </w:rPr>
              <w:t xml:space="preserve">Major </w:t>
            </w:r>
            <w:proofErr w:type="spellStart"/>
            <w:r w:rsidRPr="0026708A">
              <w:rPr>
                <w:rFonts w:ascii="Arial" w:hAnsi="Arial" w:cs="Arial"/>
              </w:rPr>
              <w:t>Comments</w:t>
            </w:r>
            <w:proofErr w:type="spellEnd"/>
          </w:p>
          <w:p w14:paraId="7C742BC9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Clarify biopolymer classification in Section 3; add polymers from microorganisms like PHAs explicitly.</w:t>
            </w:r>
          </w:p>
          <w:p w14:paraId="0FC0B948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Unify terminology in Section 10; clearly differentiate or combine active and intelligent packaging.</w:t>
            </w:r>
          </w:p>
          <w:p w14:paraId="6F90AAFD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Add critical analysis: compare materials, highlight trade-offs, and emphasize knowledge gaps earlier.</w:t>
            </w:r>
          </w:p>
          <w:p w14:paraId="1BFC8FB8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Rephrase ambiguous phrases like 'higher altar'; simplify language and fix grammar inconsistencies.</w:t>
            </w:r>
          </w:p>
          <w:p w14:paraId="43223739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Correct technical inaccuracies in data and typos (e.g., '1000C' → 100 °C, 'chitosan' repeated).</w:t>
            </w:r>
          </w:p>
          <w:p w14:paraId="12AD5416" w14:textId="77777777" w:rsidR="00EC5C58" w:rsidRPr="0026708A" w:rsidRDefault="00EC5C58" w:rsidP="00EC5C58">
            <w:pPr>
              <w:pStyle w:val="Heading2"/>
              <w:rPr>
                <w:rFonts w:ascii="Arial" w:hAnsi="Arial" w:cs="Arial"/>
              </w:rPr>
            </w:pPr>
            <w:r w:rsidRPr="0026708A">
              <w:rPr>
                <w:rFonts w:ascii="Arial" w:hAnsi="Arial" w:cs="Arial"/>
              </w:rPr>
              <w:t xml:space="preserve">Minor </w:t>
            </w:r>
            <w:proofErr w:type="spellStart"/>
            <w:r w:rsidRPr="0026708A">
              <w:rPr>
                <w:rFonts w:ascii="Arial" w:hAnsi="Arial" w:cs="Arial"/>
              </w:rPr>
              <w:t>Comments</w:t>
            </w:r>
            <w:proofErr w:type="spellEnd"/>
          </w:p>
          <w:p w14:paraId="1E7F8352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Fix typos (e.g., '</w:t>
            </w:r>
            <w:proofErr w:type="spellStart"/>
            <w:r w:rsidRPr="0026708A">
              <w:rPr>
                <w:rFonts w:ascii="Arial" w:hAnsi="Arial" w:cs="Arial"/>
                <w:sz w:val="20"/>
                <w:szCs w:val="20"/>
              </w:rPr>
              <w:t>developmemt</w:t>
            </w:r>
            <w:proofErr w:type="spellEnd"/>
            <w:r w:rsidRPr="0026708A">
              <w:rPr>
                <w:rFonts w:ascii="Arial" w:hAnsi="Arial" w:cs="Arial"/>
                <w:sz w:val="20"/>
                <w:szCs w:val="20"/>
              </w:rPr>
              <w:t>' → development, 'pack packing' → packaging).</w:t>
            </w:r>
          </w:p>
          <w:p w14:paraId="1CDDA487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Define all abbreviations at first use and ensure consistency (e.g., LLDPE, PEN).</w:t>
            </w:r>
          </w:p>
          <w:p w14:paraId="7DFD8A4F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Ensure consistent formatting in headings and subsection numbering (e.g., space after 4.0).</w:t>
            </w:r>
          </w:p>
          <w:p w14:paraId="02AFEC8B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Correct and complete all in-text citations and reference list entries.</w:t>
            </w:r>
          </w:p>
          <w:p w14:paraId="32123D14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Use proper units and formatting for numeric data (e.g., 100 °C, not 1000C).</w:t>
            </w:r>
          </w:p>
          <w:p w14:paraId="00BE0509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Ensure all figures and tables are labeled, accurate, and discussed in text.</w:t>
            </w:r>
          </w:p>
          <w:p w14:paraId="14D3C971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Keep legislation section focused on biopolymer packaging laws, not general trade policies.</w:t>
            </w:r>
          </w:p>
          <w:p w14:paraId="1BE3BD1C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Ensure conclusion reflects the main content; avoid new, unrelated topics (e.g., biodegradable metals).</w:t>
            </w:r>
          </w:p>
          <w:p w14:paraId="0ADA9DF9" w14:textId="77777777" w:rsidR="00EC5C58" w:rsidRPr="0026708A" w:rsidRDefault="00EC5C58" w:rsidP="00EC5C58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26708A">
              <w:rPr>
                <w:rFonts w:ascii="Arial" w:hAnsi="Arial" w:cs="Arial"/>
                <w:sz w:val="20"/>
                <w:szCs w:val="20"/>
              </w:rPr>
              <w:t>Clarify points in biodegradation and toxicology sections; define acronyms clearly.</w:t>
            </w:r>
          </w:p>
          <w:p w14:paraId="7FEB1D87" w14:textId="77777777" w:rsidR="00EC5C58" w:rsidRPr="0026708A" w:rsidRDefault="00EC5C58" w:rsidP="00EC5C58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EB58C99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67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C5C952" w14:textId="77777777" w:rsidR="00BC54D7" w:rsidRPr="0026708A" w:rsidRDefault="00BC54D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D4894E" w14:textId="77777777" w:rsidR="00C846DC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903048" w14:textId="77777777" w:rsidR="00C846DC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FF4882" w14:textId="77777777" w:rsidR="00C846DC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64D47C" w14:textId="77777777" w:rsidR="00C846DC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318DE6" w14:textId="77777777" w:rsidR="00C846DC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2A0A2A" w14:textId="77777777" w:rsidR="00C846DC" w:rsidRPr="0026708A" w:rsidRDefault="00C846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67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708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708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6708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708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08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67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708A">
              <w:rPr>
                <w:rFonts w:ascii="Arial" w:hAnsi="Arial" w:cs="Arial"/>
                <w:lang w:val="en-GB"/>
              </w:rPr>
              <w:t>Author’s comment</w:t>
            </w:r>
            <w:r w:rsidRPr="002670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708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708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708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70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70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70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670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70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70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70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6708A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6A51535" w14:textId="77777777" w:rsidR="00BC54D7" w:rsidRPr="0026708A" w:rsidRDefault="00BC54D7" w:rsidP="00BC54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6C95BA09" w14:textId="05C661DD" w:rsidR="00BC54D7" w:rsidRPr="0026708A" w:rsidRDefault="00BC54D7" w:rsidP="00BC54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6708A">
        <w:rPr>
          <w:rFonts w:ascii="Arial" w:hAnsi="Arial" w:cs="Arial"/>
          <w:b/>
          <w:u w:val="single"/>
        </w:rPr>
        <w:t>Reviewer details:</w:t>
      </w:r>
    </w:p>
    <w:p w14:paraId="53103252" w14:textId="77777777" w:rsidR="00BC54D7" w:rsidRPr="0026708A" w:rsidRDefault="00BC54D7">
      <w:pPr>
        <w:rPr>
          <w:rFonts w:ascii="Arial" w:hAnsi="Arial" w:cs="Arial"/>
          <w:b/>
          <w:sz w:val="20"/>
          <w:szCs w:val="20"/>
          <w:lang w:val="en-GB"/>
        </w:rPr>
      </w:pPr>
    </w:p>
    <w:p w14:paraId="2ADD36DC" w14:textId="038E4E1F" w:rsidR="00BC54D7" w:rsidRPr="0026708A" w:rsidRDefault="00BC54D7">
      <w:pPr>
        <w:rPr>
          <w:rFonts w:ascii="Arial" w:hAnsi="Arial" w:cs="Arial"/>
          <w:b/>
          <w:sz w:val="20"/>
          <w:szCs w:val="20"/>
          <w:lang w:val="en-GB"/>
        </w:rPr>
      </w:pPr>
      <w:r w:rsidRPr="0026708A">
        <w:rPr>
          <w:rFonts w:ascii="Arial" w:hAnsi="Arial" w:cs="Arial"/>
          <w:b/>
          <w:bCs/>
          <w:color w:val="000000"/>
          <w:sz w:val="20"/>
          <w:szCs w:val="20"/>
        </w:rPr>
        <w:t xml:space="preserve">Prabhakar Sharma, </w:t>
      </w:r>
      <w:proofErr w:type="spellStart"/>
      <w:r w:rsidRPr="0026708A">
        <w:rPr>
          <w:rFonts w:ascii="Arial" w:hAnsi="Arial" w:cs="Arial"/>
          <w:b/>
          <w:bCs/>
          <w:color w:val="000000"/>
          <w:sz w:val="20"/>
          <w:szCs w:val="20"/>
        </w:rPr>
        <w:t>Teerthanker</w:t>
      </w:r>
      <w:proofErr w:type="spellEnd"/>
      <w:r w:rsidRPr="0026708A">
        <w:rPr>
          <w:rFonts w:ascii="Arial" w:hAnsi="Arial" w:cs="Arial"/>
          <w:b/>
          <w:bCs/>
          <w:color w:val="000000"/>
          <w:sz w:val="20"/>
          <w:szCs w:val="20"/>
        </w:rPr>
        <w:t xml:space="preserve"> Mahaveer University, India</w:t>
      </w:r>
    </w:p>
    <w:sectPr w:rsidR="00BC54D7" w:rsidRPr="0026708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9BFD" w14:textId="77777777" w:rsidR="005E72BE" w:rsidRPr="0000007A" w:rsidRDefault="005E72BE" w:rsidP="0099583E">
      <w:r>
        <w:separator/>
      </w:r>
    </w:p>
  </w:endnote>
  <w:endnote w:type="continuationSeparator" w:id="0">
    <w:p w14:paraId="0E83FF0F" w14:textId="77777777" w:rsidR="005E72BE" w:rsidRPr="0000007A" w:rsidRDefault="005E72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3731" w14:textId="77777777" w:rsidR="005E72BE" w:rsidRPr="0000007A" w:rsidRDefault="005E72BE" w:rsidP="0099583E">
      <w:r>
        <w:separator/>
      </w:r>
    </w:p>
  </w:footnote>
  <w:footnote w:type="continuationSeparator" w:id="0">
    <w:p w14:paraId="4D9E74E8" w14:textId="77777777" w:rsidR="005E72BE" w:rsidRPr="0000007A" w:rsidRDefault="005E72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4C89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485541">
    <w:abstractNumId w:val="4"/>
  </w:num>
  <w:num w:numId="2" w16cid:durableId="971331142">
    <w:abstractNumId w:val="7"/>
  </w:num>
  <w:num w:numId="3" w16cid:durableId="344133549">
    <w:abstractNumId w:val="6"/>
  </w:num>
  <w:num w:numId="4" w16cid:durableId="820577844">
    <w:abstractNumId w:val="8"/>
  </w:num>
  <w:num w:numId="5" w16cid:durableId="451705335">
    <w:abstractNumId w:val="5"/>
  </w:num>
  <w:num w:numId="6" w16cid:durableId="1478692168">
    <w:abstractNumId w:val="1"/>
  </w:num>
  <w:num w:numId="7" w16cid:durableId="601378968">
    <w:abstractNumId w:val="2"/>
  </w:num>
  <w:num w:numId="8" w16cid:durableId="1239168951">
    <w:abstractNumId w:val="10"/>
  </w:num>
  <w:num w:numId="9" w16cid:durableId="1031104166">
    <w:abstractNumId w:val="9"/>
  </w:num>
  <w:num w:numId="10" w16cid:durableId="1568564803">
    <w:abstractNumId w:val="3"/>
  </w:num>
  <w:num w:numId="11" w16cid:durableId="59880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7E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1A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08A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0C7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2BE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E2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9F7"/>
    <w:rsid w:val="00942DEE"/>
    <w:rsid w:val="00944F67"/>
    <w:rsid w:val="009553EC"/>
    <w:rsid w:val="00955E45"/>
    <w:rsid w:val="00962B70"/>
    <w:rsid w:val="00967C62"/>
    <w:rsid w:val="00982766"/>
    <w:rsid w:val="009852C4"/>
    <w:rsid w:val="009872DD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7AC"/>
    <w:rsid w:val="00AF3016"/>
    <w:rsid w:val="00B00D04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4D7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6D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ECA"/>
    <w:rsid w:val="00D56059"/>
    <w:rsid w:val="00D709EB"/>
    <w:rsid w:val="00D7603E"/>
    <w:rsid w:val="00D82890"/>
    <w:rsid w:val="00D90124"/>
    <w:rsid w:val="00D93809"/>
    <w:rsid w:val="00D9392F"/>
    <w:rsid w:val="00D9427C"/>
    <w:rsid w:val="00DA2679"/>
    <w:rsid w:val="00DA2BBC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C58"/>
    <w:rsid w:val="00EC6894"/>
    <w:rsid w:val="00ED6B12"/>
    <w:rsid w:val="00ED7400"/>
    <w:rsid w:val="00EF326D"/>
    <w:rsid w:val="00EF3626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C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C5C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ListBullet">
    <w:name w:val="List Bullet"/>
    <w:basedOn w:val="Normal"/>
    <w:uiPriority w:val="99"/>
    <w:unhideWhenUsed/>
    <w:rsid w:val="00EC5C58"/>
    <w:pPr>
      <w:numPr>
        <w:numId w:val="1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4A40C7"/>
    <w:rPr>
      <w:b/>
      <w:bCs/>
    </w:rPr>
  </w:style>
  <w:style w:type="paragraph" w:customStyle="1" w:styleId="Affiliation">
    <w:name w:val="Affiliation"/>
    <w:basedOn w:val="Normal"/>
    <w:rsid w:val="00BC54D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